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7D" w:rsidRDefault="0099107D" w:rsidP="0099107D">
      <w:pPr>
        <w:rPr>
          <w:rFonts w:ascii="Arial" w:hAnsi="Arial" w:cs="Arial"/>
          <w:sz w:val="24"/>
          <w:szCs w:val="24"/>
        </w:rPr>
      </w:pPr>
    </w:p>
    <w:p w:rsidR="00EA7861" w:rsidRDefault="00EA7861" w:rsidP="00EA7861">
      <w:pPr>
        <w:jc w:val="center"/>
        <w:rPr>
          <w:rFonts w:ascii="Arial" w:hAnsi="Arial" w:cs="Arial"/>
          <w:b/>
          <w:sz w:val="36"/>
          <w:szCs w:val="36"/>
        </w:rPr>
      </w:pPr>
    </w:p>
    <w:p w:rsidR="00EA7861" w:rsidRPr="00EA7861" w:rsidRDefault="00EA7861" w:rsidP="00EA7861">
      <w:pPr>
        <w:jc w:val="center"/>
        <w:rPr>
          <w:rFonts w:ascii="Arial" w:hAnsi="Arial" w:cs="Arial"/>
          <w:b/>
          <w:sz w:val="36"/>
          <w:szCs w:val="36"/>
        </w:rPr>
      </w:pPr>
      <w:r w:rsidRPr="00EA7861">
        <w:rPr>
          <w:rFonts w:ascii="Arial" w:hAnsi="Arial" w:cs="Arial"/>
          <w:b/>
          <w:sz w:val="36"/>
          <w:szCs w:val="36"/>
        </w:rPr>
        <w:t>Protecting the rights of elder Australians from abuse</w:t>
      </w:r>
    </w:p>
    <w:p w:rsidR="00EA7861" w:rsidRDefault="00EA7861" w:rsidP="00EA7861">
      <w:pPr>
        <w:jc w:val="center"/>
        <w:rPr>
          <w:rFonts w:ascii="Arial" w:hAnsi="Arial" w:cs="Arial"/>
          <w:b/>
          <w:sz w:val="36"/>
          <w:szCs w:val="36"/>
        </w:rPr>
      </w:pPr>
    </w:p>
    <w:p w:rsidR="00EA7861" w:rsidRDefault="009D2547" w:rsidP="00EA7861">
      <w:pPr>
        <w:jc w:val="center"/>
        <w:rPr>
          <w:rFonts w:ascii="Arial" w:hAnsi="Arial" w:cs="Arial"/>
          <w:b/>
          <w:sz w:val="36"/>
          <w:szCs w:val="36"/>
        </w:rPr>
      </w:pPr>
      <w:r>
        <w:rPr>
          <w:rFonts w:ascii="Arial" w:hAnsi="Arial" w:cs="Arial"/>
          <w:b/>
          <w:sz w:val="36"/>
          <w:szCs w:val="36"/>
        </w:rPr>
        <w:t xml:space="preserve">A </w:t>
      </w:r>
      <w:proofErr w:type="gramStart"/>
      <w:r w:rsidR="00EA7861">
        <w:rPr>
          <w:rFonts w:ascii="Arial" w:hAnsi="Arial" w:cs="Arial"/>
          <w:b/>
          <w:sz w:val="36"/>
          <w:szCs w:val="36"/>
        </w:rPr>
        <w:t>s</w:t>
      </w:r>
      <w:r w:rsidR="00EA7861" w:rsidRPr="00EA7861">
        <w:rPr>
          <w:rFonts w:ascii="Arial" w:hAnsi="Arial" w:cs="Arial"/>
          <w:b/>
          <w:sz w:val="36"/>
          <w:szCs w:val="36"/>
        </w:rPr>
        <w:t>ubmission  in</w:t>
      </w:r>
      <w:proofErr w:type="gramEnd"/>
      <w:r w:rsidR="00EA7861" w:rsidRPr="00EA7861">
        <w:rPr>
          <w:rFonts w:ascii="Arial" w:hAnsi="Arial" w:cs="Arial"/>
          <w:b/>
          <w:sz w:val="36"/>
          <w:szCs w:val="36"/>
        </w:rPr>
        <w:t xml:space="preserve"> response to  IP 47</w:t>
      </w:r>
    </w:p>
    <w:p w:rsidR="00EA7861" w:rsidRPr="00EA7861" w:rsidRDefault="00EA7861" w:rsidP="00EA7861">
      <w:pPr>
        <w:jc w:val="center"/>
        <w:rPr>
          <w:rFonts w:ascii="Arial" w:hAnsi="Arial" w:cs="Arial"/>
          <w:b/>
          <w:sz w:val="36"/>
          <w:szCs w:val="36"/>
        </w:rPr>
      </w:pPr>
      <w:proofErr w:type="gramStart"/>
      <w:r>
        <w:rPr>
          <w:rFonts w:ascii="Arial" w:hAnsi="Arial" w:cs="Arial"/>
          <w:b/>
          <w:sz w:val="36"/>
          <w:szCs w:val="36"/>
        </w:rPr>
        <w:t>by</w:t>
      </w:r>
      <w:proofErr w:type="gramEnd"/>
      <w:r>
        <w:rPr>
          <w:rFonts w:ascii="Arial" w:hAnsi="Arial" w:cs="Arial"/>
          <w:b/>
          <w:sz w:val="36"/>
          <w:szCs w:val="36"/>
        </w:rPr>
        <w:t xml:space="preserve"> Lynne Barratt </w:t>
      </w:r>
    </w:p>
    <w:p w:rsidR="00EA7861" w:rsidRDefault="00EA7861">
      <w:pPr>
        <w:spacing w:after="200" w:line="276" w:lineRule="auto"/>
        <w:rPr>
          <w:rFonts w:ascii="Arial" w:hAnsi="Arial" w:cs="Arial"/>
          <w:sz w:val="36"/>
          <w:szCs w:val="36"/>
        </w:rPr>
      </w:pPr>
    </w:p>
    <w:p w:rsidR="00EA7861" w:rsidRDefault="00EA7861">
      <w:pPr>
        <w:spacing w:after="200" w:line="276" w:lineRule="auto"/>
        <w:rPr>
          <w:rFonts w:ascii="Arial" w:hAnsi="Arial" w:cs="Arial"/>
          <w:sz w:val="36"/>
          <w:szCs w:val="36"/>
        </w:rPr>
      </w:pPr>
    </w:p>
    <w:p w:rsidR="00EA7861" w:rsidRDefault="00EA7861">
      <w:pPr>
        <w:spacing w:after="200" w:line="276" w:lineRule="auto"/>
        <w:rPr>
          <w:rFonts w:ascii="Arial" w:hAnsi="Arial" w:cs="Arial"/>
          <w:sz w:val="28"/>
          <w:szCs w:val="28"/>
        </w:rPr>
      </w:pPr>
      <w:r w:rsidRPr="00EA7861">
        <w:rPr>
          <w:rFonts w:ascii="Arial" w:hAnsi="Arial" w:cs="Arial"/>
          <w:sz w:val="28"/>
          <w:szCs w:val="28"/>
        </w:rPr>
        <w:t xml:space="preserve">About the </w:t>
      </w:r>
      <w:r>
        <w:rPr>
          <w:rFonts w:ascii="Arial" w:hAnsi="Arial" w:cs="Arial"/>
          <w:sz w:val="28"/>
          <w:szCs w:val="28"/>
        </w:rPr>
        <w:t>writer</w:t>
      </w:r>
    </w:p>
    <w:p w:rsidR="00EA7861" w:rsidRDefault="00EA7861">
      <w:pPr>
        <w:spacing w:after="200" w:line="276" w:lineRule="auto"/>
        <w:rPr>
          <w:rFonts w:ascii="Arial" w:hAnsi="Arial" w:cs="Arial"/>
          <w:sz w:val="28"/>
          <w:szCs w:val="28"/>
        </w:rPr>
      </w:pPr>
      <w:r>
        <w:rPr>
          <w:rFonts w:ascii="Arial" w:hAnsi="Arial" w:cs="Arial"/>
          <w:sz w:val="28"/>
          <w:szCs w:val="28"/>
        </w:rPr>
        <w:t>The writer is the Chair of the Law Institute of Victoria Elder Law section, formerly Principal Solicitor of Seniors Rights Victoria</w:t>
      </w:r>
      <w:proofErr w:type="gramStart"/>
      <w:r>
        <w:rPr>
          <w:rFonts w:ascii="Arial" w:hAnsi="Arial" w:cs="Arial"/>
          <w:sz w:val="28"/>
          <w:szCs w:val="28"/>
        </w:rPr>
        <w:t>,  author</w:t>
      </w:r>
      <w:proofErr w:type="gramEnd"/>
      <w:r>
        <w:rPr>
          <w:rFonts w:ascii="Arial" w:hAnsi="Arial" w:cs="Arial"/>
          <w:sz w:val="28"/>
          <w:szCs w:val="28"/>
        </w:rPr>
        <w:t xml:space="preserve"> of two chapters in a new publication entitled </w:t>
      </w:r>
      <w:r w:rsidRPr="00EA7861">
        <w:rPr>
          <w:rFonts w:ascii="Arial" w:hAnsi="Arial" w:cs="Arial"/>
          <w:i/>
          <w:sz w:val="28"/>
          <w:szCs w:val="28"/>
        </w:rPr>
        <w:t>Elder Law in Australia</w:t>
      </w:r>
      <w:r>
        <w:rPr>
          <w:rFonts w:ascii="Arial" w:hAnsi="Arial" w:cs="Arial"/>
          <w:sz w:val="28"/>
          <w:szCs w:val="28"/>
        </w:rPr>
        <w:t xml:space="preserve">  (2015) and has previously taught Law for Social workers at RMIT and conducted seminars funded by Professional Standards Councils on prevention of Financial Elder Abuse for legal practitioners. </w:t>
      </w:r>
    </w:p>
    <w:p w:rsidR="00EA7861" w:rsidRDefault="00EA7861">
      <w:pPr>
        <w:spacing w:after="200" w:line="276" w:lineRule="auto"/>
        <w:rPr>
          <w:rFonts w:ascii="Arial" w:hAnsi="Arial" w:cs="Arial"/>
          <w:sz w:val="28"/>
          <w:szCs w:val="28"/>
        </w:rPr>
      </w:pPr>
    </w:p>
    <w:p w:rsidR="00EA7861" w:rsidRDefault="00EA7861">
      <w:pPr>
        <w:spacing w:after="200" w:line="276" w:lineRule="auto"/>
        <w:rPr>
          <w:rFonts w:ascii="Arial" w:hAnsi="Arial" w:cs="Arial"/>
          <w:sz w:val="28"/>
          <w:szCs w:val="28"/>
        </w:rPr>
      </w:pPr>
      <w:r>
        <w:rPr>
          <w:rFonts w:ascii="Arial" w:hAnsi="Arial" w:cs="Arial"/>
          <w:sz w:val="28"/>
          <w:szCs w:val="28"/>
        </w:rPr>
        <w:t>About the case studies</w:t>
      </w:r>
    </w:p>
    <w:p w:rsidR="008E28C0" w:rsidRDefault="00EA7861" w:rsidP="008E28C0">
      <w:pPr>
        <w:spacing w:after="200" w:line="276" w:lineRule="auto"/>
        <w:rPr>
          <w:rFonts w:ascii="Arial" w:hAnsi="Arial" w:cs="Arial"/>
          <w:sz w:val="28"/>
          <w:szCs w:val="28"/>
        </w:rPr>
      </w:pPr>
      <w:r>
        <w:rPr>
          <w:rFonts w:ascii="Arial" w:hAnsi="Arial" w:cs="Arial"/>
          <w:sz w:val="28"/>
          <w:szCs w:val="28"/>
        </w:rPr>
        <w:t>The case studies are all drawn from the writer’s case work practice.</w:t>
      </w:r>
    </w:p>
    <w:p w:rsidR="008E28C0" w:rsidRDefault="00EA7861" w:rsidP="008E28C0">
      <w:pPr>
        <w:spacing w:after="200" w:line="276" w:lineRule="auto"/>
        <w:rPr>
          <w:rFonts w:ascii="Arial" w:hAnsi="Arial" w:cs="Arial"/>
          <w:color w:val="222222"/>
          <w:sz w:val="28"/>
          <w:szCs w:val="28"/>
        </w:rPr>
      </w:pPr>
      <w:r>
        <w:rPr>
          <w:rFonts w:ascii="Arial" w:hAnsi="Arial" w:cs="Arial"/>
          <w:sz w:val="28"/>
          <w:szCs w:val="28"/>
        </w:rPr>
        <w:t xml:space="preserve">If some of them seem familiar it is because they were previously submitted as examples in a submission from Moreland Community Legal Centre to the </w:t>
      </w:r>
      <w:r w:rsidR="008E28C0">
        <w:rPr>
          <w:rFonts w:ascii="Arial" w:hAnsi="Arial" w:cs="Arial"/>
          <w:sz w:val="28"/>
          <w:szCs w:val="28"/>
        </w:rPr>
        <w:t xml:space="preserve">Australian parliamentary </w:t>
      </w:r>
      <w:r>
        <w:rPr>
          <w:rFonts w:ascii="Arial" w:hAnsi="Arial" w:cs="Arial"/>
          <w:sz w:val="28"/>
          <w:szCs w:val="28"/>
        </w:rPr>
        <w:t xml:space="preserve">enquiry </w:t>
      </w:r>
      <w:r w:rsidR="008E28C0">
        <w:rPr>
          <w:rFonts w:ascii="Arial" w:hAnsi="Arial" w:cs="Arial"/>
          <w:sz w:val="28"/>
          <w:szCs w:val="28"/>
        </w:rPr>
        <w:t xml:space="preserve">into </w:t>
      </w:r>
      <w:r w:rsidR="008E28C0" w:rsidRPr="008E28C0">
        <w:rPr>
          <w:rFonts w:ascii="Arial" w:hAnsi="Arial" w:cs="Arial"/>
          <w:color w:val="222222"/>
          <w:sz w:val="28"/>
          <w:szCs w:val="28"/>
        </w:rPr>
        <w:t>Violence, abuse and neglect against people with disability in institutional and residential settings</w:t>
      </w:r>
      <w:r w:rsidR="008E28C0">
        <w:rPr>
          <w:rFonts w:ascii="Arial" w:hAnsi="Arial" w:cs="Arial"/>
          <w:color w:val="222222"/>
          <w:sz w:val="28"/>
          <w:szCs w:val="28"/>
        </w:rPr>
        <w:t xml:space="preserve"> in 2015, and because they seem to have been picked up and included in the submission from the Law Council of Australia to this present enquiry.</w:t>
      </w:r>
    </w:p>
    <w:p w:rsidR="008E28C0" w:rsidRDefault="008E28C0" w:rsidP="008E28C0">
      <w:pPr>
        <w:spacing w:after="200" w:line="276" w:lineRule="auto"/>
        <w:rPr>
          <w:rFonts w:ascii="Arial" w:hAnsi="Arial" w:cs="Arial"/>
          <w:color w:val="222222"/>
          <w:sz w:val="28"/>
          <w:szCs w:val="28"/>
        </w:rPr>
      </w:pPr>
    </w:p>
    <w:p w:rsidR="004F3A28" w:rsidRDefault="004F3A28" w:rsidP="008E28C0">
      <w:pPr>
        <w:spacing w:after="200" w:line="276" w:lineRule="auto"/>
        <w:rPr>
          <w:rFonts w:ascii="Arial" w:hAnsi="Arial" w:cs="Arial"/>
          <w:color w:val="222222"/>
          <w:sz w:val="28"/>
          <w:szCs w:val="28"/>
        </w:rPr>
      </w:pPr>
      <w:r>
        <w:rPr>
          <w:rFonts w:ascii="Arial" w:hAnsi="Arial" w:cs="Arial"/>
          <w:color w:val="222222"/>
          <w:sz w:val="28"/>
          <w:szCs w:val="28"/>
        </w:rPr>
        <w:t xml:space="preserve">Not all questions in Issues </w:t>
      </w:r>
      <w:proofErr w:type="gramStart"/>
      <w:r>
        <w:rPr>
          <w:rFonts w:ascii="Arial" w:hAnsi="Arial" w:cs="Arial"/>
          <w:color w:val="222222"/>
          <w:sz w:val="28"/>
          <w:szCs w:val="28"/>
        </w:rPr>
        <w:t>Paper  47</w:t>
      </w:r>
      <w:proofErr w:type="gramEnd"/>
      <w:r>
        <w:rPr>
          <w:rFonts w:ascii="Arial" w:hAnsi="Arial" w:cs="Arial"/>
          <w:color w:val="222222"/>
          <w:sz w:val="28"/>
          <w:szCs w:val="28"/>
        </w:rPr>
        <w:t xml:space="preserve"> are addressed in this submission.</w:t>
      </w:r>
    </w:p>
    <w:p w:rsidR="004F3A28" w:rsidRDefault="004F3A28" w:rsidP="008E28C0">
      <w:pPr>
        <w:spacing w:after="200" w:line="276" w:lineRule="auto"/>
        <w:rPr>
          <w:rFonts w:ascii="Arial" w:hAnsi="Arial" w:cs="Arial"/>
          <w:color w:val="222222"/>
          <w:sz w:val="28"/>
          <w:szCs w:val="28"/>
        </w:rPr>
      </w:pPr>
    </w:p>
    <w:p w:rsidR="008E28C0" w:rsidRDefault="008E28C0" w:rsidP="008E28C0">
      <w:pPr>
        <w:spacing w:after="200" w:line="276" w:lineRule="auto"/>
        <w:rPr>
          <w:rFonts w:ascii="Arial" w:hAnsi="Arial" w:cs="Arial"/>
          <w:color w:val="222222"/>
          <w:sz w:val="28"/>
          <w:szCs w:val="28"/>
        </w:rPr>
      </w:pPr>
      <w:r>
        <w:rPr>
          <w:rFonts w:ascii="Arial" w:hAnsi="Arial" w:cs="Arial"/>
          <w:color w:val="222222"/>
          <w:sz w:val="28"/>
          <w:szCs w:val="28"/>
        </w:rPr>
        <w:t>Lynne Barratt</w:t>
      </w:r>
    </w:p>
    <w:p w:rsidR="0099107D" w:rsidRPr="00EA7861" w:rsidRDefault="008E28C0" w:rsidP="008E28C0">
      <w:pPr>
        <w:spacing w:after="200" w:line="276" w:lineRule="auto"/>
        <w:rPr>
          <w:rFonts w:ascii="Arial" w:hAnsi="Arial" w:cs="Arial"/>
          <w:sz w:val="28"/>
          <w:szCs w:val="28"/>
        </w:rPr>
      </w:pPr>
      <w:r>
        <w:rPr>
          <w:rFonts w:ascii="Arial" w:hAnsi="Arial" w:cs="Arial"/>
          <w:color w:val="222222"/>
          <w:sz w:val="28"/>
          <w:szCs w:val="28"/>
        </w:rPr>
        <w:t>2</w:t>
      </w:r>
      <w:r w:rsidR="00B37D6E">
        <w:rPr>
          <w:rFonts w:ascii="Arial" w:hAnsi="Arial" w:cs="Arial"/>
          <w:color w:val="222222"/>
          <w:sz w:val="28"/>
          <w:szCs w:val="28"/>
        </w:rPr>
        <w:t>6</w:t>
      </w:r>
      <w:r>
        <w:rPr>
          <w:rFonts w:ascii="Arial" w:hAnsi="Arial" w:cs="Arial"/>
          <w:color w:val="222222"/>
          <w:sz w:val="28"/>
          <w:szCs w:val="28"/>
        </w:rPr>
        <w:t xml:space="preserve"> August 2016 </w:t>
      </w:r>
      <w:r w:rsidR="0099107D" w:rsidRPr="00EA7861">
        <w:rPr>
          <w:rFonts w:ascii="Arial" w:hAnsi="Arial" w:cs="Arial"/>
          <w:sz w:val="28"/>
          <w:szCs w:val="28"/>
        </w:rPr>
        <w:br w:type="page"/>
      </w:r>
    </w:p>
    <w:p w:rsidR="0099107D" w:rsidRPr="0099107D" w:rsidRDefault="0099107D" w:rsidP="0099107D">
      <w:pPr>
        <w:rPr>
          <w:rFonts w:ascii="Arial" w:hAnsi="Arial" w:cs="Arial"/>
          <w:b/>
          <w:bCs/>
          <w:sz w:val="24"/>
          <w:szCs w:val="24"/>
        </w:rPr>
      </w:pPr>
      <w:r w:rsidRPr="0099107D">
        <w:rPr>
          <w:rFonts w:ascii="Arial" w:hAnsi="Arial" w:cs="Arial"/>
          <w:b/>
          <w:bCs/>
          <w:sz w:val="24"/>
          <w:szCs w:val="24"/>
        </w:rPr>
        <w:lastRenderedPageBreak/>
        <w:t>Introduction</w:t>
      </w:r>
    </w:p>
    <w:p w:rsidR="0099107D" w:rsidRPr="0099107D" w:rsidRDefault="0099107D" w:rsidP="0099107D">
      <w:pPr>
        <w:rPr>
          <w:rFonts w:ascii="Arial" w:hAnsi="Arial" w:cs="Arial"/>
          <w:sz w:val="24"/>
          <w:szCs w:val="24"/>
        </w:rPr>
      </w:pPr>
    </w:p>
    <w:p w:rsidR="0099107D" w:rsidRPr="0099107D" w:rsidRDefault="0099107D" w:rsidP="007A5C9E">
      <w:pPr>
        <w:pBdr>
          <w:top w:val="single" w:sz="4" w:space="1" w:color="auto"/>
          <w:left w:val="single" w:sz="4" w:space="4" w:color="auto"/>
          <w:bottom w:val="single" w:sz="4" w:space="1" w:color="auto"/>
          <w:right w:val="single" w:sz="4" w:space="4" w:color="auto"/>
        </w:pBdr>
        <w:rPr>
          <w:rFonts w:ascii="Arial" w:hAnsi="Arial" w:cs="Arial"/>
          <w:sz w:val="24"/>
          <w:szCs w:val="24"/>
          <w:u w:val="single"/>
        </w:rPr>
      </w:pPr>
      <w:r w:rsidRPr="0099107D">
        <w:rPr>
          <w:rFonts w:ascii="Arial" w:hAnsi="Arial" w:cs="Arial"/>
          <w:sz w:val="24"/>
          <w:szCs w:val="24"/>
          <w:u w:val="single"/>
        </w:rPr>
        <w:t>Case Study</w:t>
      </w:r>
      <w:r w:rsidR="008E3DEC">
        <w:rPr>
          <w:rFonts w:ascii="Arial" w:hAnsi="Arial" w:cs="Arial"/>
          <w:sz w:val="24"/>
          <w:szCs w:val="24"/>
          <w:u w:val="single"/>
        </w:rPr>
        <w:t xml:space="preserve"> </w:t>
      </w:r>
      <w:proofErr w:type="gramStart"/>
      <w:r w:rsidR="008E3DEC">
        <w:rPr>
          <w:rFonts w:ascii="Arial" w:hAnsi="Arial" w:cs="Arial"/>
          <w:sz w:val="24"/>
          <w:szCs w:val="24"/>
          <w:u w:val="single"/>
        </w:rPr>
        <w:t xml:space="preserve">- </w:t>
      </w:r>
      <w:r w:rsidRPr="0099107D">
        <w:rPr>
          <w:rFonts w:ascii="Arial" w:hAnsi="Arial" w:cs="Arial"/>
          <w:sz w:val="24"/>
          <w:szCs w:val="24"/>
          <w:u w:val="single"/>
        </w:rPr>
        <w:t xml:space="preserve"> Daisy</w:t>
      </w:r>
      <w:proofErr w:type="gramEnd"/>
      <w:r w:rsidRPr="0099107D">
        <w:rPr>
          <w:rFonts w:ascii="Arial" w:hAnsi="Arial" w:cs="Arial"/>
          <w:sz w:val="24"/>
          <w:szCs w:val="24"/>
          <w:u w:val="single"/>
        </w:rPr>
        <w:t xml:space="preserve"> </w:t>
      </w:r>
    </w:p>
    <w:p w:rsidR="008E3DEC" w:rsidRDefault="008E3DEC"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5A6186" w:rsidRPr="00A224DB" w:rsidRDefault="00A224DB"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A224DB">
        <w:rPr>
          <w:rFonts w:ascii="Arial" w:hAnsi="Arial" w:cs="Arial"/>
          <w:i/>
          <w:sz w:val="24"/>
          <w:szCs w:val="24"/>
        </w:rPr>
        <w:t xml:space="preserve">An </w:t>
      </w:r>
      <w:r w:rsidR="0099107D" w:rsidRPr="00A224DB">
        <w:rPr>
          <w:rFonts w:ascii="Arial" w:hAnsi="Arial" w:cs="Arial"/>
          <w:i/>
          <w:sz w:val="24"/>
          <w:szCs w:val="24"/>
        </w:rPr>
        <w:t xml:space="preserve">older woman </w:t>
      </w:r>
      <w:r w:rsidRPr="00A224DB">
        <w:rPr>
          <w:rFonts w:ascii="Arial" w:hAnsi="Arial" w:cs="Arial"/>
          <w:i/>
          <w:sz w:val="24"/>
          <w:szCs w:val="24"/>
        </w:rPr>
        <w:t>w</w:t>
      </w:r>
      <w:r w:rsidR="0099107D" w:rsidRPr="00A224DB">
        <w:rPr>
          <w:rFonts w:ascii="Arial" w:hAnsi="Arial" w:cs="Arial"/>
          <w:i/>
          <w:sz w:val="24"/>
          <w:szCs w:val="24"/>
        </w:rPr>
        <w:t xml:space="preserve">as brought in </w:t>
      </w:r>
      <w:r w:rsidRPr="00A224DB">
        <w:rPr>
          <w:rFonts w:ascii="Arial" w:hAnsi="Arial" w:cs="Arial"/>
          <w:i/>
          <w:sz w:val="24"/>
          <w:szCs w:val="24"/>
        </w:rPr>
        <w:t xml:space="preserve">by a friend </w:t>
      </w:r>
      <w:r w:rsidR="0099107D" w:rsidRPr="00A224DB">
        <w:rPr>
          <w:rFonts w:ascii="Arial" w:hAnsi="Arial" w:cs="Arial"/>
          <w:i/>
          <w:sz w:val="24"/>
          <w:szCs w:val="24"/>
        </w:rPr>
        <w:t>to seek legal advice</w:t>
      </w:r>
      <w:r w:rsidRPr="00A224DB">
        <w:rPr>
          <w:rFonts w:ascii="Arial" w:hAnsi="Arial" w:cs="Arial"/>
          <w:i/>
          <w:sz w:val="24"/>
          <w:szCs w:val="24"/>
        </w:rPr>
        <w:t xml:space="preserve">. She was aged 93 years </w:t>
      </w:r>
      <w:r w:rsidR="0099107D" w:rsidRPr="00A224DB">
        <w:rPr>
          <w:rFonts w:ascii="Arial" w:hAnsi="Arial" w:cs="Arial"/>
          <w:i/>
          <w:sz w:val="24"/>
          <w:szCs w:val="24"/>
        </w:rPr>
        <w:t xml:space="preserve">but </w:t>
      </w:r>
      <w:r w:rsidRPr="00A224DB">
        <w:rPr>
          <w:rFonts w:ascii="Arial" w:hAnsi="Arial" w:cs="Arial"/>
          <w:i/>
          <w:sz w:val="24"/>
          <w:szCs w:val="24"/>
        </w:rPr>
        <w:t xml:space="preserve">was </w:t>
      </w:r>
      <w:r w:rsidR="0099107D" w:rsidRPr="00A224DB">
        <w:rPr>
          <w:rFonts w:ascii="Arial" w:hAnsi="Arial" w:cs="Arial"/>
          <w:i/>
          <w:sz w:val="24"/>
          <w:szCs w:val="24"/>
        </w:rPr>
        <w:t xml:space="preserve">generally in good health. </w:t>
      </w:r>
      <w:r w:rsidRPr="00A224DB">
        <w:rPr>
          <w:rFonts w:ascii="Arial" w:hAnsi="Arial" w:cs="Arial"/>
          <w:i/>
          <w:sz w:val="24"/>
          <w:szCs w:val="24"/>
        </w:rPr>
        <w:t xml:space="preserve">She </w:t>
      </w:r>
      <w:r w:rsidR="008E3DEC">
        <w:rPr>
          <w:rFonts w:ascii="Arial" w:hAnsi="Arial" w:cs="Arial"/>
          <w:i/>
          <w:sz w:val="24"/>
          <w:szCs w:val="24"/>
        </w:rPr>
        <w:t xml:space="preserve">said </w:t>
      </w:r>
      <w:r w:rsidR="0099107D" w:rsidRPr="00A224DB">
        <w:rPr>
          <w:rFonts w:ascii="Arial" w:hAnsi="Arial" w:cs="Arial"/>
          <w:i/>
          <w:sz w:val="24"/>
          <w:szCs w:val="24"/>
        </w:rPr>
        <w:t xml:space="preserve">that she had a younger man living with her who had </w:t>
      </w:r>
      <w:r w:rsidR="008E3DEC">
        <w:rPr>
          <w:rFonts w:ascii="Arial" w:hAnsi="Arial" w:cs="Arial"/>
          <w:i/>
          <w:sz w:val="24"/>
          <w:szCs w:val="24"/>
        </w:rPr>
        <w:t xml:space="preserve">over </w:t>
      </w:r>
      <w:r w:rsidRPr="00A224DB">
        <w:rPr>
          <w:rFonts w:ascii="Arial" w:hAnsi="Arial" w:cs="Arial"/>
          <w:i/>
          <w:sz w:val="24"/>
          <w:szCs w:val="24"/>
        </w:rPr>
        <w:t xml:space="preserve">a period of years </w:t>
      </w:r>
      <w:r w:rsidR="005A6186" w:rsidRPr="00A224DB">
        <w:rPr>
          <w:rFonts w:ascii="Arial" w:hAnsi="Arial" w:cs="Arial"/>
          <w:i/>
          <w:sz w:val="24"/>
          <w:szCs w:val="24"/>
        </w:rPr>
        <w:t xml:space="preserve">withdrawn over $75,000 in cash from </w:t>
      </w:r>
      <w:r w:rsidR="0099107D" w:rsidRPr="00A224DB">
        <w:rPr>
          <w:rFonts w:ascii="Arial" w:hAnsi="Arial" w:cs="Arial"/>
          <w:i/>
          <w:sz w:val="24"/>
          <w:szCs w:val="24"/>
        </w:rPr>
        <w:t>her debit account</w:t>
      </w:r>
      <w:r w:rsidRPr="00A224DB">
        <w:rPr>
          <w:rFonts w:ascii="Arial" w:hAnsi="Arial" w:cs="Arial"/>
          <w:i/>
          <w:sz w:val="24"/>
          <w:szCs w:val="24"/>
        </w:rPr>
        <w:t xml:space="preserve">. He had also </w:t>
      </w:r>
      <w:r w:rsidR="0099107D" w:rsidRPr="00A224DB">
        <w:rPr>
          <w:rFonts w:ascii="Arial" w:hAnsi="Arial" w:cs="Arial"/>
          <w:i/>
          <w:sz w:val="24"/>
          <w:szCs w:val="24"/>
        </w:rPr>
        <w:t>set up a</w:t>
      </w:r>
      <w:r w:rsidR="005A6186" w:rsidRPr="00A224DB">
        <w:rPr>
          <w:rFonts w:ascii="Arial" w:hAnsi="Arial" w:cs="Arial"/>
          <w:i/>
          <w:sz w:val="24"/>
          <w:szCs w:val="24"/>
        </w:rPr>
        <w:t xml:space="preserve">n </w:t>
      </w:r>
      <w:proofErr w:type="gramStart"/>
      <w:r w:rsidR="005A6186" w:rsidRPr="00A224DB">
        <w:rPr>
          <w:rFonts w:ascii="Arial" w:hAnsi="Arial" w:cs="Arial"/>
          <w:i/>
          <w:sz w:val="24"/>
          <w:szCs w:val="24"/>
        </w:rPr>
        <w:t xml:space="preserve">internet </w:t>
      </w:r>
      <w:r w:rsidR="0099107D" w:rsidRPr="00A224DB">
        <w:rPr>
          <w:rFonts w:ascii="Arial" w:hAnsi="Arial" w:cs="Arial"/>
          <w:i/>
          <w:sz w:val="24"/>
          <w:szCs w:val="24"/>
        </w:rPr>
        <w:t xml:space="preserve"> banking</w:t>
      </w:r>
      <w:proofErr w:type="gramEnd"/>
      <w:r w:rsidR="0099107D" w:rsidRPr="00A224DB">
        <w:rPr>
          <w:rFonts w:ascii="Arial" w:hAnsi="Arial" w:cs="Arial"/>
          <w:i/>
          <w:sz w:val="24"/>
          <w:szCs w:val="24"/>
        </w:rPr>
        <w:t xml:space="preserve"> </w:t>
      </w:r>
      <w:r w:rsidR="005A6186" w:rsidRPr="00A224DB">
        <w:rPr>
          <w:rFonts w:ascii="Arial" w:hAnsi="Arial" w:cs="Arial"/>
          <w:i/>
          <w:sz w:val="24"/>
          <w:szCs w:val="24"/>
        </w:rPr>
        <w:t xml:space="preserve">arrangement in her name </w:t>
      </w:r>
      <w:r w:rsidR="0099107D" w:rsidRPr="00A224DB">
        <w:rPr>
          <w:rFonts w:ascii="Arial" w:hAnsi="Arial" w:cs="Arial"/>
          <w:i/>
          <w:sz w:val="24"/>
          <w:szCs w:val="24"/>
        </w:rPr>
        <w:t xml:space="preserve"> by which he would transfer funds out of her savings account to cover payments that were drawn out of her debit account.</w:t>
      </w:r>
      <w:r w:rsidRPr="00A224DB">
        <w:rPr>
          <w:rFonts w:ascii="Arial" w:hAnsi="Arial" w:cs="Arial"/>
          <w:i/>
          <w:sz w:val="24"/>
          <w:szCs w:val="24"/>
        </w:rPr>
        <w:t xml:space="preserve"> She had almost no funds left.</w:t>
      </w:r>
    </w:p>
    <w:p w:rsidR="005A6186" w:rsidRPr="00A224DB" w:rsidRDefault="005A6186"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F6443A" w:rsidRDefault="0099107D"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A224DB">
        <w:rPr>
          <w:rFonts w:ascii="Arial" w:hAnsi="Arial" w:cs="Arial"/>
          <w:i/>
          <w:sz w:val="24"/>
          <w:szCs w:val="24"/>
        </w:rPr>
        <w:t xml:space="preserve">He also arranged for her to </w:t>
      </w:r>
      <w:r w:rsidR="00F6443A" w:rsidRPr="00A224DB">
        <w:rPr>
          <w:rFonts w:ascii="Arial" w:hAnsi="Arial" w:cs="Arial"/>
          <w:i/>
          <w:sz w:val="24"/>
          <w:szCs w:val="24"/>
        </w:rPr>
        <w:t xml:space="preserve">attend a lawyer and make </w:t>
      </w:r>
      <w:r w:rsidRPr="00A224DB">
        <w:rPr>
          <w:rFonts w:ascii="Arial" w:hAnsi="Arial" w:cs="Arial"/>
          <w:i/>
          <w:sz w:val="24"/>
          <w:szCs w:val="24"/>
        </w:rPr>
        <w:t xml:space="preserve">a Will in his favour </w:t>
      </w:r>
      <w:r w:rsidR="00F6443A" w:rsidRPr="00A224DB">
        <w:rPr>
          <w:rFonts w:ascii="Arial" w:hAnsi="Arial" w:cs="Arial"/>
          <w:i/>
          <w:sz w:val="24"/>
          <w:szCs w:val="24"/>
        </w:rPr>
        <w:t xml:space="preserve">(she had no children </w:t>
      </w:r>
      <w:r w:rsidR="008E3DEC">
        <w:rPr>
          <w:rFonts w:ascii="Arial" w:hAnsi="Arial" w:cs="Arial"/>
          <w:i/>
          <w:sz w:val="24"/>
          <w:szCs w:val="24"/>
        </w:rPr>
        <w:t xml:space="preserve">herself </w:t>
      </w:r>
      <w:r w:rsidR="00F6443A" w:rsidRPr="00A224DB">
        <w:rPr>
          <w:rFonts w:ascii="Arial" w:hAnsi="Arial" w:cs="Arial"/>
          <w:i/>
          <w:sz w:val="24"/>
          <w:szCs w:val="24"/>
        </w:rPr>
        <w:t xml:space="preserve">but a nephew living overseas) </w:t>
      </w:r>
      <w:r w:rsidRPr="00A224DB">
        <w:rPr>
          <w:rFonts w:ascii="Arial" w:hAnsi="Arial" w:cs="Arial"/>
          <w:i/>
          <w:sz w:val="24"/>
          <w:szCs w:val="24"/>
        </w:rPr>
        <w:t>and arranged for her to purchase a vehicle registered in her name which she did not drive and which was in his possession.</w:t>
      </w:r>
    </w:p>
    <w:p w:rsidR="008E3DEC" w:rsidRDefault="008E3DEC"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8E3DEC" w:rsidRPr="00A224DB" w:rsidRDefault="008E3DEC"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A224DB">
        <w:rPr>
          <w:rFonts w:ascii="Arial" w:hAnsi="Arial" w:cs="Arial"/>
          <w:i/>
          <w:sz w:val="24"/>
          <w:szCs w:val="24"/>
        </w:rPr>
        <w:t>She said that she met him in a shopping centre where he was promoting the sale of products and that she got to know him and his children, who had visited her. After he separated from his wife he came live with her. He offered her no assistance around the house in terms of cooking and cleaning, personal support or gardening. He ate meals at home that she prepared for him but otherwise did not engage with her and usually read the paper while he was eating.</w:t>
      </w:r>
    </w:p>
    <w:p w:rsidR="00F6443A" w:rsidRPr="00A224DB" w:rsidRDefault="00F6443A"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5A6186" w:rsidRPr="00A224DB" w:rsidRDefault="00F6443A"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A224DB">
        <w:rPr>
          <w:rFonts w:ascii="Arial" w:hAnsi="Arial" w:cs="Arial"/>
          <w:i/>
          <w:sz w:val="24"/>
          <w:szCs w:val="24"/>
        </w:rPr>
        <w:t>He worked as a p</w:t>
      </w:r>
      <w:r w:rsidR="0099107D" w:rsidRPr="00A224DB">
        <w:rPr>
          <w:rFonts w:ascii="Arial" w:hAnsi="Arial" w:cs="Arial"/>
          <w:i/>
          <w:sz w:val="24"/>
          <w:szCs w:val="24"/>
        </w:rPr>
        <w:t xml:space="preserve">sychiatric nurse and </w:t>
      </w:r>
      <w:r w:rsidR="008E3DEC">
        <w:rPr>
          <w:rFonts w:ascii="Arial" w:hAnsi="Arial" w:cs="Arial"/>
          <w:i/>
          <w:sz w:val="24"/>
          <w:szCs w:val="24"/>
        </w:rPr>
        <w:t>I was</w:t>
      </w:r>
      <w:r w:rsidRPr="00A224DB">
        <w:rPr>
          <w:rFonts w:ascii="Arial" w:hAnsi="Arial" w:cs="Arial"/>
          <w:i/>
          <w:sz w:val="24"/>
          <w:szCs w:val="24"/>
        </w:rPr>
        <w:t xml:space="preserve"> concerned that</w:t>
      </w:r>
      <w:r w:rsidR="0099107D" w:rsidRPr="00A224DB">
        <w:rPr>
          <w:rFonts w:ascii="Arial" w:hAnsi="Arial" w:cs="Arial"/>
          <w:i/>
          <w:sz w:val="24"/>
          <w:szCs w:val="24"/>
        </w:rPr>
        <w:t xml:space="preserve"> as he had access </w:t>
      </w:r>
      <w:r w:rsidRPr="00A224DB">
        <w:rPr>
          <w:rFonts w:ascii="Arial" w:hAnsi="Arial" w:cs="Arial"/>
          <w:i/>
          <w:sz w:val="24"/>
          <w:szCs w:val="24"/>
        </w:rPr>
        <w:t>to</w:t>
      </w:r>
      <w:r w:rsidR="0099107D" w:rsidRPr="00A224DB">
        <w:rPr>
          <w:rFonts w:ascii="Arial" w:hAnsi="Arial" w:cs="Arial"/>
          <w:i/>
          <w:sz w:val="24"/>
          <w:szCs w:val="24"/>
        </w:rPr>
        <w:t xml:space="preserve"> dangerous drugs that she might be at risk</w:t>
      </w:r>
      <w:r w:rsidR="005A6186" w:rsidRPr="00A224DB">
        <w:rPr>
          <w:rFonts w:ascii="Arial" w:hAnsi="Arial" w:cs="Arial"/>
          <w:i/>
          <w:sz w:val="24"/>
          <w:szCs w:val="24"/>
        </w:rPr>
        <w:t xml:space="preserve"> of harm</w:t>
      </w:r>
      <w:r w:rsidR="0099107D" w:rsidRPr="00A224DB">
        <w:rPr>
          <w:rFonts w:ascii="Arial" w:hAnsi="Arial" w:cs="Arial"/>
          <w:i/>
          <w:sz w:val="24"/>
          <w:szCs w:val="24"/>
        </w:rPr>
        <w:t xml:space="preserve">, particularly in view of the Will  made in his favour and a </w:t>
      </w:r>
      <w:r w:rsidR="005A6186" w:rsidRPr="00A224DB">
        <w:rPr>
          <w:rFonts w:ascii="Arial" w:hAnsi="Arial" w:cs="Arial"/>
          <w:i/>
          <w:sz w:val="24"/>
          <w:szCs w:val="24"/>
        </w:rPr>
        <w:t>low l</w:t>
      </w:r>
      <w:r w:rsidR="0099107D" w:rsidRPr="00A224DB">
        <w:rPr>
          <w:rFonts w:ascii="Arial" w:hAnsi="Arial" w:cs="Arial"/>
          <w:i/>
          <w:sz w:val="24"/>
          <w:szCs w:val="24"/>
        </w:rPr>
        <w:t xml:space="preserve">ikelihood that that there would be any </w:t>
      </w:r>
      <w:r w:rsidR="005A6186" w:rsidRPr="00A224DB">
        <w:rPr>
          <w:rFonts w:ascii="Arial" w:hAnsi="Arial" w:cs="Arial"/>
          <w:i/>
          <w:sz w:val="24"/>
          <w:szCs w:val="24"/>
        </w:rPr>
        <w:t>c</w:t>
      </w:r>
      <w:r w:rsidR="0099107D" w:rsidRPr="00A224DB">
        <w:rPr>
          <w:rFonts w:ascii="Arial" w:hAnsi="Arial" w:cs="Arial"/>
          <w:i/>
          <w:sz w:val="24"/>
          <w:szCs w:val="24"/>
        </w:rPr>
        <w:t xml:space="preserve">oronial </w:t>
      </w:r>
      <w:r w:rsidR="005A6186" w:rsidRPr="00A224DB">
        <w:rPr>
          <w:rFonts w:ascii="Arial" w:hAnsi="Arial" w:cs="Arial"/>
          <w:i/>
          <w:sz w:val="24"/>
          <w:szCs w:val="24"/>
        </w:rPr>
        <w:t>e</w:t>
      </w:r>
      <w:r w:rsidR="0099107D" w:rsidRPr="00A224DB">
        <w:rPr>
          <w:rFonts w:ascii="Arial" w:hAnsi="Arial" w:cs="Arial"/>
          <w:i/>
          <w:sz w:val="24"/>
          <w:szCs w:val="24"/>
        </w:rPr>
        <w:t>nquiry</w:t>
      </w:r>
      <w:r w:rsidR="005A6186" w:rsidRPr="00A224DB">
        <w:rPr>
          <w:rFonts w:ascii="Arial" w:hAnsi="Arial" w:cs="Arial"/>
          <w:i/>
          <w:sz w:val="24"/>
          <w:szCs w:val="24"/>
        </w:rPr>
        <w:t xml:space="preserve"> if she passed away</w:t>
      </w:r>
      <w:r w:rsidR="007F1F7A">
        <w:rPr>
          <w:rFonts w:ascii="Arial" w:hAnsi="Arial" w:cs="Arial"/>
          <w:i/>
          <w:sz w:val="24"/>
          <w:szCs w:val="24"/>
        </w:rPr>
        <w:t xml:space="preserve"> at the </w:t>
      </w:r>
      <w:proofErr w:type="spellStart"/>
      <w:r w:rsidR="007F1F7A">
        <w:rPr>
          <w:rFonts w:ascii="Arial" w:hAnsi="Arial" w:cs="Arial"/>
          <w:i/>
          <w:sz w:val="24"/>
          <w:szCs w:val="24"/>
        </w:rPr>
        <w:t>ae</w:t>
      </w:r>
      <w:proofErr w:type="spellEnd"/>
      <w:r w:rsidR="007F1F7A">
        <w:rPr>
          <w:rFonts w:ascii="Arial" w:hAnsi="Arial" w:cs="Arial"/>
          <w:i/>
          <w:sz w:val="24"/>
          <w:szCs w:val="24"/>
        </w:rPr>
        <w:t xml:space="preserve"> of 93 years</w:t>
      </w:r>
      <w:r w:rsidR="0099107D" w:rsidRPr="00A224DB">
        <w:rPr>
          <w:rFonts w:ascii="Arial" w:hAnsi="Arial" w:cs="Arial"/>
          <w:i/>
          <w:sz w:val="24"/>
          <w:szCs w:val="24"/>
        </w:rPr>
        <w:t>.</w:t>
      </w:r>
      <w:r w:rsidR="008E3DEC">
        <w:rPr>
          <w:rFonts w:ascii="Arial" w:hAnsi="Arial" w:cs="Arial"/>
          <w:i/>
          <w:sz w:val="24"/>
          <w:szCs w:val="24"/>
        </w:rPr>
        <w:t xml:space="preserve"> I</w:t>
      </w:r>
      <w:r w:rsidR="005A6186" w:rsidRPr="00A224DB">
        <w:rPr>
          <w:rFonts w:ascii="Arial" w:hAnsi="Arial" w:cs="Arial"/>
          <w:i/>
          <w:sz w:val="24"/>
          <w:szCs w:val="24"/>
        </w:rPr>
        <w:t xml:space="preserve"> sought </w:t>
      </w:r>
      <w:r w:rsidR="0099107D" w:rsidRPr="00A224DB">
        <w:rPr>
          <w:rFonts w:ascii="Arial" w:hAnsi="Arial" w:cs="Arial"/>
          <w:i/>
          <w:sz w:val="24"/>
          <w:szCs w:val="24"/>
        </w:rPr>
        <w:t>instructions to seek an intervention order, start proceedings to recover the vehicle a</w:t>
      </w:r>
      <w:r w:rsidR="007F1F7A">
        <w:rPr>
          <w:rFonts w:ascii="Arial" w:hAnsi="Arial" w:cs="Arial"/>
          <w:i/>
          <w:sz w:val="24"/>
          <w:szCs w:val="24"/>
        </w:rPr>
        <w:t xml:space="preserve">s well as </w:t>
      </w:r>
      <w:r w:rsidR="0099107D" w:rsidRPr="00A224DB">
        <w:rPr>
          <w:rFonts w:ascii="Arial" w:hAnsi="Arial" w:cs="Arial"/>
          <w:i/>
          <w:sz w:val="24"/>
          <w:szCs w:val="24"/>
        </w:rPr>
        <w:t xml:space="preserve">the funds and to </w:t>
      </w:r>
      <w:r w:rsidR="007F1F7A">
        <w:rPr>
          <w:rFonts w:ascii="Arial" w:hAnsi="Arial" w:cs="Arial"/>
          <w:i/>
          <w:sz w:val="24"/>
          <w:szCs w:val="24"/>
        </w:rPr>
        <w:t>draw up</w:t>
      </w:r>
      <w:r w:rsidR="0099107D" w:rsidRPr="00A224DB">
        <w:rPr>
          <w:rFonts w:ascii="Arial" w:hAnsi="Arial" w:cs="Arial"/>
          <w:i/>
          <w:sz w:val="24"/>
          <w:szCs w:val="24"/>
        </w:rPr>
        <w:t xml:space="preserve"> another Will. </w:t>
      </w:r>
    </w:p>
    <w:p w:rsidR="005A6186" w:rsidRPr="00A224DB" w:rsidRDefault="005A6186"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5A6186" w:rsidRPr="00A224DB" w:rsidRDefault="0099107D"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A224DB">
        <w:rPr>
          <w:rFonts w:ascii="Arial" w:hAnsi="Arial" w:cs="Arial"/>
          <w:i/>
          <w:sz w:val="24"/>
          <w:szCs w:val="24"/>
        </w:rPr>
        <w:t xml:space="preserve">She </w:t>
      </w:r>
      <w:r w:rsidR="005A6186" w:rsidRPr="00A224DB">
        <w:rPr>
          <w:rFonts w:ascii="Arial" w:hAnsi="Arial" w:cs="Arial"/>
          <w:i/>
          <w:sz w:val="24"/>
          <w:szCs w:val="24"/>
        </w:rPr>
        <w:t xml:space="preserve">was </w:t>
      </w:r>
      <w:r w:rsidRPr="00A224DB">
        <w:rPr>
          <w:rFonts w:ascii="Arial" w:hAnsi="Arial" w:cs="Arial"/>
          <w:i/>
          <w:sz w:val="24"/>
          <w:szCs w:val="24"/>
        </w:rPr>
        <w:t xml:space="preserve">very polite but diffident about these suggestions and indicated that she did not wish to pursue any of these options. After satisfying myself that she </w:t>
      </w:r>
      <w:r w:rsidR="005A6186" w:rsidRPr="00A224DB">
        <w:rPr>
          <w:rFonts w:ascii="Arial" w:hAnsi="Arial" w:cs="Arial"/>
          <w:i/>
          <w:sz w:val="24"/>
          <w:szCs w:val="24"/>
        </w:rPr>
        <w:t>had capacity to understand the o</w:t>
      </w:r>
      <w:r w:rsidRPr="00A224DB">
        <w:rPr>
          <w:rFonts w:ascii="Arial" w:hAnsi="Arial" w:cs="Arial"/>
          <w:i/>
          <w:sz w:val="24"/>
          <w:szCs w:val="24"/>
        </w:rPr>
        <w:t xml:space="preserve">ptions, </w:t>
      </w:r>
      <w:r w:rsidR="008E3DEC">
        <w:rPr>
          <w:rFonts w:ascii="Arial" w:hAnsi="Arial" w:cs="Arial"/>
          <w:i/>
          <w:sz w:val="24"/>
          <w:szCs w:val="24"/>
        </w:rPr>
        <w:t>I</w:t>
      </w:r>
      <w:r w:rsidR="005A6186" w:rsidRPr="00A224DB">
        <w:rPr>
          <w:rFonts w:ascii="Arial" w:hAnsi="Arial" w:cs="Arial"/>
          <w:i/>
          <w:sz w:val="24"/>
          <w:szCs w:val="24"/>
        </w:rPr>
        <w:t xml:space="preserve"> asked her whether she had a de facto relationship with him because that would change the advice </w:t>
      </w:r>
      <w:r w:rsidR="008E3DEC">
        <w:rPr>
          <w:rFonts w:ascii="Arial" w:hAnsi="Arial" w:cs="Arial"/>
          <w:i/>
          <w:sz w:val="24"/>
          <w:szCs w:val="24"/>
        </w:rPr>
        <w:t>I</w:t>
      </w:r>
      <w:r w:rsidR="005A6186" w:rsidRPr="00A224DB">
        <w:rPr>
          <w:rFonts w:ascii="Arial" w:hAnsi="Arial" w:cs="Arial"/>
          <w:i/>
          <w:sz w:val="24"/>
          <w:szCs w:val="24"/>
        </w:rPr>
        <w:t xml:space="preserve"> gave. She denied there was any de facto relationship.</w:t>
      </w:r>
    </w:p>
    <w:p w:rsidR="005A6186" w:rsidRPr="00A224DB" w:rsidRDefault="005A6186"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A224DB" w:rsidRPr="00A224DB" w:rsidRDefault="00A224DB"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A224DB">
        <w:rPr>
          <w:rFonts w:ascii="Arial" w:hAnsi="Arial" w:cs="Arial"/>
          <w:i/>
          <w:sz w:val="24"/>
          <w:szCs w:val="24"/>
        </w:rPr>
        <w:t xml:space="preserve">At the time of her visit he had been absent for three weeks overseas on holiday. </w:t>
      </w:r>
      <w:r w:rsidR="008E3DEC">
        <w:rPr>
          <w:rFonts w:ascii="Arial" w:hAnsi="Arial" w:cs="Arial"/>
          <w:i/>
          <w:sz w:val="24"/>
          <w:szCs w:val="24"/>
        </w:rPr>
        <w:t>I</w:t>
      </w:r>
      <w:r w:rsidRPr="00A224DB">
        <w:rPr>
          <w:rFonts w:ascii="Arial" w:hAnsi="Arial" w:cs="Arial"/>
          <w:i/>
          <w:sz w:val="24"/>
          <w:szCs w:val="24"/>
        </w:rPr>
        <w:t xml:space="preserve"> ventured the opinion that he was not likely to return as she had no more money. She hesitated for only a moment before she regained her confidence and stated confidently ‘he will come back’ and </w:t>
      </w:r>
      <w:r w:rsidR="008E3DEC">
        <w:rPr>
          <w:rFonts w:ascii="Arial" w:hAnsi="Arial" w:cs="Arial"/>
          <w:i/>
          <w:sz w:val="24"/>
          <w:szCs w:val="24"/>
        </w:rPr>
        <w:t>I</w:t>
      </w:r>
      <w:r w:rsidRPr="00A224DB">
        <w:rPr>
          <w:rFonts w:ascii="Arial" w:hAnsi="Arial" w:cs="Arial"/>
          <w:i/>
          <w:sz w:val="24"/>
          <w:szCs w:val="24"/>
        </w:rPr>
        <w:t xml:space="preserve"> realized that she wanted only for him to return to live with her again. </w:t>
      </w:r>
    </w:p>
    <w:p w:rsidR="00A224DB" w:rsidRPr="00A224DB" w:rsidRDefault="00A224DB"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A224DB" w:rsidRPr="00A224DB" w:rsidRDefault="008E3DEC"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r>
        <w:rPr>
          <w:rFonts w:ascii="Arial" w:hAnsi="Arial" w:cs="Arial"/>
          <w:i/>
          <w:sz w:val="24"/>
          <w:szCs w:val="24"/>
        </w:rPr>
        <w:t>I</w:t>
      </w:r>
      <w:r w:rsidR="00A224DB" w:rsidRPr="00A224DB">
        <w:rPr>
          <w:rFonts w:ascii="Arial" w:hAnsi="Arial" w:cs="Arial"/>
          <w:i/>
          <w:sz w:val="24"/>
          <w:szCs w:val="24"/>
        </w:rPr>
        <w:t xml:space="preserve"> </w:t>
      </w:r>
      <w:r w:rsidR="005A6186" w:rsidRPr="00A224DB">
        <w:rPr>
          <w:rFonts w:ascii="Arial" w:hAnsi="Arial" w:cs="Arial"/>
          <w:i/>
          <w:sz w:val="24"/>
          <w:szCs w:val="24"/>
        </w:rPr>
        <w:t xml:space="preserve">summed up what she had </w:t>
      </w:r>
      <w:r w:rsidR="00A224DB" w:rsidRPr="00A224DB">
        <w:rPr>
          <w:rFonts w:ascii="Arial" w:hAnsi="Arial" w:cs="Arial"/>
          <w:i/>
          <w:sz w:val="24"/>
          <w:szCs w:val="24"/>
        </w:rPr>
        <w:t>said.</w:t>
      </w:r>
      <w:r w:rsidR="005A6186" w:rsidRPr="00A224DB">
        <w:rPr>
          <w:rFonts w:ascii="Arial" w:hAnsi="Arial" w:cs="Arial"/>
          <w:i/>
          <w:sz w:val="24"/>
          <w:szCs w:val="24"/>
        </w:rPr>
        <w:t xml:space="preserve"> </w:t>
      </w:r>
      <w:r w:rsidR="0099107D" w:rsidRPr="00A224DB">
        <w:rPr>
          <w:rFonts w:ascii="Arial" w:hAnsi="Arial" w:cs="Arial"/>
          <w:i/>
          <w:sz w:val="24"/>
          <w:szCs w:val="24"/>
        </w:rPr>
        <w:t>He offered her no support</w:t>
      </w:r>
      <w:r>
        <w:rPr>
          <w:rFonts w:ascii="Arial" w:hAnsi="Arial" w:cs="Arial"/>
          <w:i/>
          <w:sz w:val="24"/>
          <w:szCs w:val="24"/>
        </w:rPr>
        <w:t xml:space="preserve"> and had taken all her money</w:t>
      </w:r>
      <w:r w:rsidR="007F1F7A">
        <w:rPr>
          <w:rFonts w:ascii="Arial" w:hAnsi="Arial" w:cs="Arial"/>
          <w:i/>
          <w:sz w:val="24"/>
          <w:szCs w:val="24"/>
        </w:rPr>
        <w:t xml:space="preserve"> and yet she wanted him back</w:t>
      </w:r>
      <w:r w:rsidR="005A6186" w:rsidRPr="00A224DB">
        <w:rPr>
          <w:rFonts w:ascii="Arial" w:hAnsi="Arial" w:cs="Arial"/>
          <w:i/>
          <w:sz w:val="24"/>
          <w:szCs w:val="24"/>
        </w:rPr>
        <w:t xml:space="preserve">. </w:t>
      </w:r>
      <w:r w:rsidR="0099107D" w:rsidRPr="00A224DB">
        <w:rPr>
          <w:rFonts w:ascii="Arial" w:hAnsi="Arial" w:cs="Arial"/>
          <w:i/>
          <w:sz w:val="24"/>
          <w:szCs w:val="24"/>
        </w:rPr>
        <w:t xml:space="preserve"> </w:t>
      </w:r>
      <w:r>
        <w:rPr>
          <w:rFonts w:ascii="Arial" w:hAnsi="Arial" w:cs="Arial"/>
          <w:i/>
          <w:sz w:val="24"/>
          <w:szCs w:val="24"/>
        </w:rPr>
        <w:t>I</w:t>
      </w:r>
      <w:r w:rsidR="00A224DB" w:rsidRPr="00A224DB">
        <w:rPr>
          <w:rFonts w:ascii="Arial" w:hAnsi="Arial" w:cs="Arial"/>
          <w:i/>
          <w:sz w:val="24"/>
          <w:szCs w:val="24"/>
        </w:rPr>
        <w:t xml:space="preserve"> asked </w:t>
      </w:r>
      <w:r w:rsidR="0099107D" w:rsidRPr="00A224DB">
        <w:rPr>
          <w:rFonts w:ascii="Arial" w:hAnsi="Arial" w:cs="Arial"/>
          <w:i/>
          <w:sz w:val="24"/>
          <w:szCs w:val="24"/>
        </w:rPr>
        <w:t xml:space="preserve">her bluntly what exactly she thought she would get out of the </w:t>
      </w:r>
      <w:proofErr w:type="gramStart"/>
      <w:r w:rsidR="0099107D" w:rsidRPr="00A224DB">
        <w:rPr>
          <w:rFonts w:ascii="Arial" w:hAnsi="Arial" w:cs="Arial"/>
          <w:i/>
          <w:sz w:val="24"/>
          <w:szCs w:val="24"/>
        </w:rPr>
        <w:t>relationship</w:t>
      </w:r>
      <w:r w:rsidR="00A224DB" w:rsidRPr="00A224DB">
        <w:rPr>
          <w:rFonts w:ascii="Arial" w:hAnsi="Arial" w:cs="Arial"/>
          <w:i/>
          <w:sz w:val="24"/>
          <w:szCs w:val="24"/>
        </w:rPr>
        <w:t>?</w:t>
      </w:r>
      <w:proofErr w:type="gramEnd"/>
    </w:p>
    <w:p w:rsidR="00A224DB" w:rsidRPr="00A224DB" w:rsidRDefault="00A224DB"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99107D" w:rsidRDefault="00A224DB"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A224DB">
        <w:rPr>
          <w:rFonts w:ascii="Arial" w:hAnsi="Arial" w:cs="Arial"/>
          <w:i/>
          <w:sz w:val="24"/>
          <w:szCs w:val="24"/>
        </w:rPr>
        <w:t>For the first time, h</w:t>
      </w:r>
      <w:r w:rsidR="0099107D" w:rsidRPr="00A224DB">
        <w:rPr>
          <w:rFonts w:ascii="Arial" w:hAnsi="Arial" w:cs="Arial"/>
          <w:i/>
          <w:sz w:val="24"/>
          <w:szCs w:val="24"/>
        </w:rPr>
        <w:t>er eyes welled up with tears and she said ‘you don’t understand</w:t>
      </w:r>
      <w:r w:rsidR="0099107D" w:rsidRPr="0099107D">
        <w:rPr>
          <w:rFonts w:ascii="Arial" w:hAnsi="Arial" w:cs="Arial"/>
          <w:sz w:val="24"/>
          <w:szCs w:val="24"/>
        </w:rPr>
        <w:t xml:space="preserve">, I </w:t>
      </w:r>
      <w:r w:rsidR="0099107D" w:rsidRPr="00A224DB">
        <w:rPr>
          <w:rFonts w:ascii="Arial" w:hAnsi="Arial" w:cs="Arial"/>
          <w:i/>
          <w:sz w:val="24"/>
          <w:szCs w:val="24"/>
        </w:rPr>
        <w:t xml:space="preserve">get so lonely, I just want someone in the house’. </w:t>
      </w:r>
    </w:p>
    <w:p w:rsidR="004F3A28" w:rsidRDefault="004F3A28"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4F3A28" w:rsidRPr="00A224DB" w:rsidRDefault="004F3A28" w:rsidP="007A5C9E">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99107D" w:rsidRPr="0099107D" w:rsidRDefault="0099107D" w:rsidP="0099107D">
      <w:pPr>
        <w:rPr>
          <w:rFonts w:ascii="Arial" w:hAnsi="Arial" w:cs="Arial"/>
          <w:sz w:val="24"/>
          <w:szCs w:val="24"/>
        </w:rPr>
      </w:pPr>
    </w:p>
    <w:p w:rsidR="00A224DB" w:rsidRDefault="0099107D" w:rsidP="0099107D">
      <w:pPr>
        <w:rPr>
          <w:rFonts w:ascii="Arial" w:hAnsi="Arial" w:cs="Arial"/>
          <w:sz w:val="24"/>
          <w:szCs w:val="24"/>
        </w:rPr>
      </w:pPr>
      <w:r w:rsidRPr="0099107D">
        <w:rPr>
          <w:rFonts w:ascii="Arial" w:hAnsi="Arial" w:cs="Arial"/>
          <w:sz w:val="24"/>
          <w:szCs w:val="24"/>
        </w:rPr>
        <w:t xml:space="preserve">One of the significant </w:t>
      </w:r>
      <w:r w:rsidR="00A224DB">
        <w:rPr>
          <w:rFonts w:ascii="Arial" w:hAnsi="Arial" w:cs="Arial"/>
          <w:sz w:val="24"/>
          <w:szCs w:val="24"/>
        </w:rPr>
        <w:t xml:space="preserve">determinants of </w:t>
      </w:r>
      <w:r w:rsidRPr="0099107D">
        <w:rPr>
          <w:rFonts w:ascii="Arial" w:hAnsi="Arial" w:cs="Arial"/>
          <w:sz w:val="24"/>
          <w:szCs w:val="24"/>
        </w:rPr>
        <w:t>elder financial abuse is loneliness and isolation</w:t>
      </w:r>
      <w:r w:rsidR="00A224DB">
        <w:rPr>
          <w:rFonts w:ascii="Arial" w:hAnsi="Arial" w:cs="Arial"/>
          <w:sz w:val="24"/>
          <w:szCs w:val="24"/>
        </w:rPr>
        <w:t xml:space="preserve">. If </w:t>
      </w:r>
      <w:r w:rsidRPr="0099107D">
        <w:rPr>
          <w:rFonts w:ascii="Arial" w:hAnsi="Arial" w:cs="Arial"/>
          <w:sz w:val="24"/>
          <w:szCs w:val="24"/>
        </w:rPr>
        <w:t xml:space="preserve">government </w:t>
      </w:r>
      <w:r w:rsidR="00A224DB">
        <w:rPr>
          <w:rFonts w:ascii="Arial" w:hAnsi="Arial" w:cs="Arial"/>
          <w:sz w:val="24"/>
          <w:szCs w:val="24"/>
        </w:rPr>
        <w:t>is</w:t>
      </w:r>
      <w:r w:rsidRPr="0099107D">
        <w:rPr>
          <w:rFonts w:ascii="Arial" w:hAnsi="Arial" w:cs="Arial"/>
          <w:sz w:val="24"/>
          <w:szCs w:val="24"/>
        </w:rPr>
        <w:t xml:space="preserve"> concerned to </w:t>
      </w:r>
      <w:r w:rsidR="00A224DB">
        <w:rPr>
          <w:rFonts w:ascii="Arial" w:hAnsi="Arial" w:cs="Arial"/>
          <w:sz w:val="24"/>
          <w:szCs w:val="24"/>
        </w:rPr>
        <w:t xml:space="preserve">properly </w:t>
      </w:r>
      <w:r w:rsidRPr="0099107D">
        <w:rPr>
          <w:rFonts w:ascii="Arial" w:hAnsi="Arial" w:cs="Arial"/>
          <w:sz w:val="24"/>
          <w:szCs w:val="24"/>
        </w:rPr>
        <w:t xml:space="preserve">address this issue then it </w:t>
      </w:r>
      <w:r w:rsidR="00A224DB">
        <w:rPr>
          <w:rFonts w:ascii="Arial" w:hAnsi="Arial" w:cs="Arial"/>
          <w:sz w:val="24"/>
          <w:szCs w:val="24"/>
        </w:rPr>
        <w:t>must</w:t>
      </w:r>
      <w:r w:rsidRPr="0099107D">
        <w:rPr>
          <w:rFonts w:ascii="Arial" w:hAnsi="Arial" w:cs="Arial"/>
          <w:sz w:val="24"/>
          <w:szCs w:val="24"/>
        </w:rPr>
        <w:t xml:space="preserve"> take steps to address the loneliness of older people. </w:t>
      </w:r>
    </w:p>
    <w:p w:rsidR="00A224DB" w:rsidRDefault="00A224DB" w:rsidP="0099107D">
      <w:pPr>
        <w:rPr>
          <w:rFonts w:ascii="Arial" w:hAnsi="Arial" w:cs="Arial"/>
          <w:sz w:val="24"/>
          <w:szCs w:val="24"/>
        </w:rPr>
      </w:pPr>
    </w:p>
    <w:p w:rsidR="00A224DB" w:rsidRDefault="00A224DB" w:rsidP="0099107D">
      <w:pPr>
        <w:rPr>
          <w:rFonts w:ascii="Arial" w:hAnsi="Arial" w:cs="Arial"/>
          <w:sz w:val="24"/>
          <w:szCs w:val="24"/>
        </w:rPr>
      </w:pPr>
    </w:p>
    <w:p w:rsidR="0099107D" w:rsidRPr="0099107D" w:rsidRDefault="00A224DB" w:rsidP="0099107D">
      <w:pPr>
        <w:rPr>
          <w:rFonts w:ascii="Arial" w:hAnsi="Arial" w:cs="Arial"/>
          <w:sz w:val="24"/>
          <w:szCs w:val="24"/>
        </w:rPr>
      </w:pPr>
      <w:r>
        <w:rPr>
          <w:rFonts w:ascii="Arial" w:hAnsi="Arial" w:cs="Arial"/>
          <w:sz w:val="24"/>
          <w:szCs w:val="24"/>
        </w:rPr>
        <w:t>However, i</w:t>
      </w:r>
      <w:r w:rsidR="0099107D" w:rsidRPr="0099107D">
        <w:rPr>
          <w:rFonts w:ascii="Arial" w:hAnsi="Arial" w:cs="Arial"/>
          <w:sz w:val="24"/>
          <w:szCs w:val="24"/>
        </w:rPr>
        <w:t xml:space="preserve">f we assume that the certainty of detection and </w:t>
      </w:r>
      <w:r w:rsidR="009D2547">
        <w:rPr>
          <w:rFonts w:ascii="Arial" w:hAnsi="Arial" w:cs="Arial"/>
          <w:sz w:val="24"/>
          <w:szCs w:val="24"/>
        </w:rPr>
        <w:t>redress operates</w:t>
      </w:r>
      <w:r w:rsidR="0099107D" w:rsidRPr="0099107D">
        <w:rPr>
          <w:rFonts w:ascii="Arial" w:hAnsi="Arial" w:cs="Arial"/>
          <w:sz w:val="24"/>
          <w:szCs w:val="24"/>
        </w:rPr>
        <w:t xml:space="preserve"> as </w:t>
      </w:r>
      <w:proofErr w:type="gramStart"/>
      <w:r w:rsidR="0099107D" w:rsidRPr="0099107D">
        <w:rPr>
          <w:rFonts w:ascii="Arial" w:hAnsi="Arial" w:cs="Arial"/>
          <w:sz w:val="24"/>
          <w:szCs w:val="24"/>
        </w:rPr>
        <w:t>a deterrence</w:t>
      </w:r>
      <w:proofErr w:type="gramEnd"/>
      <w:r w:rsidR="0099107D" w:rsidRPr="0099107D">
        <w:rPr>
          <w:rFonts w:ascii="Arial" w:hAnsi="Arial" w:cs="Arial"/>
          <w:sz w:val="24"/>
          <w:szCs w:val="24"/>
        </w:rPr>
        <w:t xml:space="preserve">, </w:t>
      </w:r>
      <w:r w:rsidR="007A5C9E">
        <w:rPr>
          <w:rFonts w:ascii="Arial" w:hAnsi="Arial" w:cs="Arial"/>
          <w:sz w:val="24"/>
          <w:szCs w:val="24"/>
        </w:rPr>
        <w:t xml:space="preserve">the </w:t>
      </w:r>
      <w:r w:rsidR="007A5C9E" w:rsidRPr="0099107D">
        <w:rPr>
          <w:rFonts w:ascii="Arial" w:hAnsi="Arial" w:cs="Arial"/>
          <w:sz w:val="24"/>
          <w:szCs w:val="24"/>
        </w:rPr>
        <w:t>following</w:t>
      </w:r>
      <w:r w:rsidR="0099107D" w:rsidRPr="0099107D">
        <w:rPr>
          <w:rFonts w:ascii="Arial" w:hAnsi="Arial" w:cs="Arial"/>
          <w:sz w:val="24"/>
          <w:szCs w:val="24"/>
        </w:rPr>
        <w:t xml:space="preserve"> submission</w:t>
      </w:r>
      <w:r w:rsidR="007F1F7A">
        <w:rPr>
          <w:rFonts w:ascii="Arial" w:hAnsi="Arial" w:cs="Arial"/>
          <w:sz w:val="24"/>
          <w:szCs w:val="24"/>
        </w:rPr>
        <w:t xml:space="preserve"> is made.</w:t>
      </w:r>
      <w:r w:rsidR="0099107D" w:rsidRPr="0099107D">
        <w:rPr>
          <w:rFonts w:ascii="Arial" w:hAnsi="Arial" w:cs="Arial"/>
          <w:sz w:val="24"/>
          <w:szCs w:val="24"/>
        </w:rPr>
        <w:t xml:space="preserve"> </w:t>
      </w:r>
    </w:p>
    <w:p w:rsidR="0099107D" w:rsidRPr="0099107D" w:rsidRDefault="0099107D" w:rsidP="0099107D">
      <w:pPr>
        <w:rPr>
          <w:rFonts w:ascii="Arial" w:hAnsi="Arial" w:cs="Arial"/>
          <w:sz w:val="24"/>
          <w:szCs w:val="24"/>
        </w:rPr>
      </w:pPr>
    </w:p>
    <w:p w:rsidR="0099107D" w:rsidRPr="00F725DA" w:rsidRDefault="004F3A28" w:rsidP="0099107D">
      <w:pPr>
        <w:rPr>
          <w:rFonts w:ascii="Arial" w:hAnsi="Arial" w:cs="Arial"/>
          <w:i/>
          <w:sz w:val="24"/>
          <w:szCs w:val="24"/>
          <w:u w:val="single"/>
        </w:rPr>
      </w:pPr>
      <w:r>
        <w:rPr>
          <w:rFonts w:ascii="Arial" w:hAnsi="Arial" w:cs="Arial"/>
          <w:sz w:val="24"/>
          <w:szCs w:val="24"/>
          <w:u w:val="single"/>
        </w:rPr>
        <w:t>Q1</w:t>
      </w:r>
      <w:r>
        <w:rPr>
          <w:rFonts w:ascii="Arial" w:hAnsi="Arial" w:cs="Arial"/>
          <w:sz w:val="24"/>
          <w:szCs w:val="24"/>
          <w:u w:val="single"/>
        </w:rPr>
        <w:tab/>
      </w:r>
      <w:r w:rsidR="00F725DA">
        <w:rPr>
          <w:rFonts w:ascii="Arial" w:hAnsi="Arial" w:cs="Arial"/>
          <w:sz w:val="24"/>
          <w:szCs w:val="24"/>
          <w:u w:val="single"/>
        </w:rPr>
        <w:tab/>
      </w:r>
      <w:r w:rsidRPr="00F725DA">
        <w:rPr>
          <w:rFonts w:ascii="Arial" w:hAnsi="Arial" w:cs="Arial"/>
          <w:i/>
          <w:sz w:val="24"/>
          <w:szCs w:val="24"/>
          <w:u w:val="single"/>
        </w:rPr>
        <w:t>Defining elder abuse</w:t>
      </w:r>
    </w:p>
    <w:p w:rsidR="007F1F7A" w:rsidRDefault="007F1F7A" w:rsidP="007F1F7A">
      <w:pPr>
        <w:rPr>
          <w:rFonts w:ascii="Arial" w:hAnsi="Arial" w:cs="Arial"/>
          <w:sz w:val="24"/>
          <w:szCs w:val="24"/>
        </w:rPr>
      </w:pPr>
    </w:p>
    <w:p w:rsidR="00693762" w:rsidRDefault="007F1F7A" w:rsidP="00693762">
      <w:pPr>
        <w:rPr>
          <w:rFonts w:ascii="Arial" w:hAnsi="Arial" w:cs="Arial"/>
          <w:i/>
          <w:sz w:val="24"/>
          <w:szCs w:val="24"/>
        </w:rPr>
      </w:pPr>
      <w:r w:rsidRPr="0099107D">
        <w:rPr>
          <w:rFonts w:ascii="Arial" w:hAnsi="Arial" w:cs="Arial"/>
          <w:sz w:val="24"/>
          <w:szCs w:val="24"/>
        </w:rPr>
        <w:t>In 200</w:t>
      </w:r>
      <w:r>
        <w:rPr>
          <w:rFonts w:ascii="Arial" w:hAnsi="Arial" w:cs="Arial"/>
          <w:sz w:val="24"/>
          <w:szCs w:val="24"/>
        </w:rPr>
        <w:t>5</w:t>
      </w:r>
      <w:r w:rsidRPr="0099107D">
        <w:rPr>
          <w:rFonts w:ascii="Arial" w:hAnsi="Arial" w:cs="Arial"/>
          <w:sz w:val="24"/>
          <w:szCs w:val="24"/>
        </w:rPr>
        <w:t xml:space="preserve"> </w:t>
      </w:r>
      <w:r w:rsidR="009D2547">
        <w:rPr>
          <w:rFonts w:ascii="Arial" w:hAnsi="Arial" w:cs="Arial"/>
          <w:sz w:val="24"/>
          <w:szCs w:val="24"/>
        </w:rPr>
        <w:t xml:space="preserve">the </w:t>
      </w:r>
      <w:r w:rsidRPr="0099107D">
        <w:rPr>
          <w:rFonts w:ascii="Arial" w:hAnsi="Arial" w:cs="Arial"/>
          <w:sz w:val="24"/>
          <w:szCs w:val="24"/>
        </w:rPr>
        <w:t>Victoria</w:t>
      </w:r>
      <w:r>
        <w:rPr>
          <w:rFonts w:ascii="Arial" w:hAnsi="Arial" w:cs="Arial"/>
          <w:sz w:val="24"/>
          <w:szCs w:val="24"/>
        </w:rPr>
        <w:t xml:space="preserve">n </w:t>
      </w:r>
      <w:proofErr w:type="gramStart"/>
      <w:r>
        <w:rPr>
          <w:rFonts w:ascii="Arial" w:hAnsi="Arial" w:cs="Arial"/>
          <w:sz w:val="24"/>
          <w:szCs w:val="24"/>
        </w:rPr>
        <w:t xml:space="preserve">government </w:t>
      </w:r>
      <w:r w:rsidRPr="0099107D">
        <w:rPr>
          <w:rFonts w:ascii="Arial" w:hAnsi="Arial" w:cs="Arial"/>
          <w:sz w:val="24"/>
          <w:szCs w:val="24"/>
        </w:rPr>
        <w:t xml:space="preserve"> </w:t>
      </w:r>
      <w:r>
        <w:rPr>
          <w:rFonts w:ascii="Arial" w:hAnsi="Arial" w:cs="Arial"/>
          <w:sz w:val="24"/>
          <w:szCs w:val="24"/>
        </w:rPr>
        <w:t>released</w:t>
      </w:r>
      <w:proofErr w:type="gramEnd"/>
      <w:r>
        <w:rPr>
          <w:rFonts w:ascii="Arial" w:hAnsi="Arial" w:cs="Arial"/>
          <w:sz w:val="24"/>
          <w:szCs w:val="24"/>
        </w:rPr>
        <w:t xml:space="preserve"> the</w:t>
      </w:r>
      <w:r w:rsidR="00693762">
        <w:rPr>
          <w:rFonts w:ascii="Arial" w:hAnsi="Arial" w:cs="Arial"/>
          <w:sz w:val="24"/>
          <w:szCs w:val="24"/>
        </w:rPr>
        <w:t xml:space="preserve"> </w:t>
      </w:r>
      <w:r w:rsidR="00693762" w:rsidRPr="00693762">
        <w:rPr>
          <w:rFonts w:ascii="Arial" w:hAnsi="Arial" w:cs="Arial"/>
          <w:i/>
          <w:sz w:val="24"/>
          <w:szCs w:val="24"/>
        </w:rPr>
        <w:t>Strengthening Victoria’s Response to Elder Abuse: Report of the Elder Abuse Prevention Project report</w:t>
      </w:r>
      <w:r w:rsidR="00693762" w:rsidRPr="00693762">
        <w:rPr>
          <w:rFonts w:ascii="Arial" w:hAnsi="Arial" w:cs="Arial"/>
          <w:sz w:val="24"/>
          <w:szCs w:val="24"/>
        </w:rPr>
        <w:t xml:space="preserve">, </w:t>
      </w:r>
      <w:r w:rsidR="00693762">
        <w:rPr>
          <w:rFonts w:ascii="Arial" w:hAnsi="Arial" w:cs="Arial"/>
          <w:sz w:val="24"/>
          <w:szCs w:val="24"/>
        </w:rPr>
        <w:t xml:space="preserve">and in 2006  </w:t>
      </w:r>
      <w:r w:rsidR="00693762" w:rsidRPr="00693762">
        <w:rPr>
          <w:rFonts w:ascii="Arial" w:hAnsi="Arial" w:cs="Arial"/>
          <w:sz w:val="24"/>
          <w:szCs w:val="24"/>
        </w:rPr>
        <w:t xml:space="preserve">the Victorian Government </w:t>
      </w:r>
      <w:r w:rsidR="00693762">
        <w:rPr>
          <w:rFonts w:ascii="Arial" w:hAnsi="Arial" w:cs="Arial"/>
          <w:sz w:val="24"/>
          <w:szCs w:val="24"/>
        </w:rPr>
        <w:t xml:space="preserve"> developed its first </w:t>
      </w:r>
      <w:r w:rsidR="00693762" w:rsidRPr="00693762">
        <w:rPr>
          <w:rFonts w:ascii="Arial" w:hAnsi="Arial" w:cs="Arial"/>
          <w:sz w:val="24"/>
          <w:szCs w:val="24"/>
        </w:rPr>
        <w:t>Elder Abuse Prevention Strategy</w:t>
      </w:r>
      <w:r w:rsidR="00693762">
        <w:rPr>
          <w:rFonts w:ascii="Arial" w:hAnsi="Arial" w:cs="Arial"/>
          <w:sz w:val="24"/>
          <w:szCs w:val="24"/>
        </w:rPr>
        <w:t xml:space="preserve">.  The Victorian </w:t>
      </w:r>
      <w:r w:rsidR="00693762" w:rsidRPr="00693762">
        <w:rPr>
          <w:rFonts w:ascii="Arial" w:hAnsi="Arial" w:cs="Arial"/>
          <w:sz w:val="24"/>
          <w:szCs w:val="24"/>
        </w:rPr>
        <w:t>Department of Health and Human Services also produced guidelines about elder abuse</w:t>
      </w:r>
      <w:r w:rsidR="00693762">
        <w:rPr>
          <w:rStyle w:val="FootnoteReference"/>
          <w:rFonts w:ascii="Arial" w:hAnsi="Arial" w:cs="Arial"/>
          <w:sz w:val="24"/>
          <w:szCs w:val="24"/>
        </w:rPr>
        <w:footnoteReference w:id="1"/>
      </w:r>
      <w:r w:rsidR="00693762" w:rsidRPr="00693762">
        <w:rPr>
          <w:rFonts w:ascii="Arial" w:hAnsi="Arial" w:cs="Arial"/>
          <w:sz w:val="24"/>
          <w:szCs w:val="24"/>
        </w:rPr>
        <w:t xml:space="preserve">, </w:t>
      </w:r>
      <w:r w:rsidR="00693762">
        <w:rPr>
          <w:rFonts w:ascii="Arial" w:hAnsi="Arial" w:cs="Arial"/>
          <w:sz w:val="24"/>
          <w:szCs w:val="24"/>
        </w:rPr>
        <w:t>to support training for agencies supporting older people.</w:t>
      </w:r>
    </w:p>
    <w:p w:rsidR="007F1F7A" w:rsidRDefault="007F1F7A" w:rsidP="007F1F7A"/>
    <w:p w:rsidR="00693762" w:rsidRDefault="007F1F7A" w:rsidP="007F1F7A">
      <w:pPr>
        <w:rPr>
          <w:rFonts w:ascii="Arial" w:hAnsi="Arial" w:cs="Arial"/>
          <w:sz w:val="24"/>
          <w:szCs w:val="24"/>
        </w:rPr>
      </w:pPr>
      <w:r>
        <w:rPr>
          <w:rFonts w:ascii="Arial" w:hAnsi="Arial" w:cs="Arial"/>
          <w:sz w:val="24"/>
          <w:szCs w:val="24"/>
        </w:rPr>
        <w:t>The booklet “With respect to Age</w:t>
      </w:r>
      <w:proofErr w:type="gramStart"/>
      <w:r w:rsidR="007A5C9E">
        <w:rPr>
          <w:rFonts w:ascii="Arial" w:hAnsi="Arial" w:cs="Arial"/>
          <w:sz w:val="24"/>
          <w:szCs w:val="24"/>
        </w:rPr>
        <w:t xml:space="preserve">” </w:t>
      </w:r>
      <w:r w:rsidR="00693762">
        <w:rPr>
          <w:rFonts w:ascii="Arial" w:hAnsi="Arial" w:cs="Arial"/>
          <w:sz w:val="24"/>
          <w:szCs w:val="24"/>
        </w:rPr>
        <w:t xml:space="preserve"> and</w:t>
      </w:r>
      <w:proofErr w:type="gramEnd"/>
      <w:r w:rsidR="00693762">
        <w:rPr>
          <w:rFonts w:ascii="Arial" w:hAnsi="Arial" w:cs="Arial"/>
          <w:sz w:val="24"/>
          <w:szCs w:val="24"/>
        </w:rPr>
        <w:t xml:space="preserve"> the training programs that were developed to promote the use of the guidelines, employed </w:t>
      </w:r>
      <w:r>
        <w:rPr>
          <w:rFonts w:ascii="Arial" w:hAnsi="Arial" w:cs="Arial"/>
          <w:sz w:val="24"/>
          <w:szCs w:val="24"/>
        </w:rPr>
        <w:t xml:space="preserve">the </w:t>
      </w:r>
      <w:r w:rsidR="00693762">
        <w:rPr>
          <w:rFonts w:ascii="Arial" w:hAnsi="Arial" w:cs="Arial"/>
          <w:sz w:val="24"/>
          <w:szCs w:val="24"/>
        </w:rPr>
        <w:t xml:space="preserve">definition of </w:t>
      </w:r>
      <w:r>
        <w:rPr>
          <w:rFonts w:ascii="Arial" w:hAnsi="Arial" w:cs="Arial"/>
          <w:sz w:val="24"/>
          <w:szCs w:val="24"/>
        </w:rPr>
        <w:t xml:space="preserve"> elder </w:t>
      </w:r>
      <w:r w:rsidRPr="0099107D">
        <w:rPr>
          <w:rFonts w:ascii="Arial" w:hAnsi="Arial" w:cs="Arial"/>
          <w:sz w:val="24"/>
          <w:szCs w:val="24"/>
        </w:rPr>
        <w:t xml:space="preserve">abuse  committed by person in a </w:t>
      </w:r>
      <w:r w:rsidR="00693762">
        <w:rPr>
          <w:rFonts w:ascii="Arial" w:hAnsi="Arial" w:cs="Arial"/>
          <w:sz w:val="24"/>
          <w:szCs w:val="24"/>
        </w:rPr>
        <w:t>“</w:t>
      </w:r>
      <w:r w:rsidRPr="0099107D">
        <w:rPr>
          <w:rFonts w:ascii="Arial" w:hAnsi="Arial" w:cs="Arial"/>
          <w:sz w:val="24"/>
          <w:szCs w:val="24"/>
        </w:rPr>
        <w:t>position of trust</w:t>
      </w:r>
      <w:r w:rsidR="00693762">
        <w:rPr>
          <w:rFonts w:ascii="Arial" w:hAnsi="Arial" w:cs="Arial"/>
          <w:sz w:val="24"/>
          <w:szCs w:val="24"/>
        </w:rPr>
        <w:t xml:space="preserve">” </w:t>
      </w:r>
      <w:r w:rsidRPr="0099107D">
        <w:rPr>
          <w:rFonts w:ascii="Arial" w:hAnsi="Arial" w:cs="Arial"/>
          <w:sz w:val="24"/>
          <w:szCs w:val="24"/>
        </w:rPr>
        <w:t xml:space="preserve"> but </w:t>
      </w:r>
      <w:r w:rsidR="00693762">
        <w:rPr>
          <w:rFonts w:ascii="Arial" w:hAnsi="Arial" w:cs="Arial"/>
          <w:sz w:val="24"/>
          <w:szCs w:val="24"/>
        </w:rPr>
        <w:t xml:space="preserve">maintained </w:t>
      </w:r>
      <w:r>
        <w:rPr>
          <w:rFonts w:ascii="Arial" w:hAnsi="Arial" w:cs="Arial"/>
          <w:sz w:val="24"/>
          <w:szCs w:val="24"/>
        </w:rPr>
        <w:t xml:space="preserve">that </w:t>
      </w:r>
      <w:r w:rsidRPr="0099107D">
        <w:rPr>
          <w:rFonts w:ascii="Arial" w:hAnsi="Arial" w:cs="Arial"/>
          <w:sz w:val="24"/>
          <w:szCs w:val="24"/>
        </w:rPr>
        <w:t xml:space="preserve">an </w:t>
      </w:r>
      <w:r>
        <w:rPr>
          <w:rFonts w:ascii="Arial" w:hAnsi="Arial" w:cs="Arial"/>
          <w:sz w:val="24"/>
          <w:szCs w:val="24"/>
        </w:rPr>
        <w:t xml:space="preserve">exception </w:t>
      </w:r>
      <w:r w:rsidRPr="0099107D">
        <w:rPr>
          <w:rFonts w:ascii="Arial" w:hAnsi="Arial" w:cs="Arial"/>
          <w:sz w:val="24"/>
          <w:szCs w:val="24"/>
        </w:rPr>
        <w:t xml:space="preserve">was made for </w:t>
      </w:r>
      <w:r w:rsidR="00693762">
        <w:rPr>
          <w:rFonts w:ascii="Arial" w:hAnsi="Arial" w:cs="Arial"/>
          <w:sz w:val="24"/>
          <w:szCs w:val="24"/>
        </w:rPr>
        <w:t xml:space="preserve">elder </w:t>
      </w:r>
      <w:r w:rsidRPr="0099107D">
        <w:rPr>
          <w:rFonts w:ascii="Arial" w:hAnsi="Arial" w:cs="Arial"/>
          <w:sz w:val="24"/>
          <w:szCs w:val="24"/>
        </w:rPr>
        <w:t>abuse that occurred in a care setting</w:t>
      </w:r>
      <w:r>
        <w:rPr>
          <w:rFonts w:ascii="Arial" w:hAnsi="Arial" w:cs="Arial"/>
          <w:sz w:val="24"/>
          <w:szCs w:val="24"/>
        </w:rPr>
        <w:t xml:space="preserve">. </w:t>
      </w:r>
    </w:p>
    <w:p w:rsidR="00693762" w:rsidRDefault="00693762" w:rsidP="007F1F7A">
      <w:pPr>
        <w:rPr>
          <w:rFonts w:ascii="Arial" w:hAnsi="Arial" w:cs="Arial"/>
          <w:sz w:val="24"/>
          <w:szCs w:val="24"/>
        </w:rPr>
      </w:pPr>
    </w:p>
    <w:p w:rsidR="007F1F7A" w:rsidRDefault="007F1F7A" w:rsidP="007F1F7A">
      <w:pPr>
        <w:rPr>
          <w:rFonts w:ascii="Arial" w:hAnsi="Arial" w:cs="Arial"/>
          <w:sz w:val="24"/>
          <w:szCs w:val="24"/>
        </w:rPr>
      </w:pPr>
      <w:r>
        <w:rPr>
          <w:rFonts w:ascii="Arial" w:hAnsi="Arial" w:cs="Arial"/>
          <w:sz w:val="24"/>
          <w:szCs w:val="24"/>
        </w:rPr>
        <w:t xml:space="preserve">The </w:t>
      </w:r>
      <w:r w:rsidRPr="0099107D">
        <w:rPr>
          <w:rFonts w:ascii="Arial" w:hAnsi="Arial" w:cs="Arial"/>
          <w:sz w:val="24"/>
          <w:szCs w:val="24"/>
        </w:rPr>
        <w:t xml:space="preserve">official </w:t>
      </w:r>
      <w:r>
        <w:rPr>
          <w:rFonts w:ascii="Arial" w:hAnsi="Arial" w:cs="Arial"/>
          <w:sz w:val="24"/>
          <w:szCs w:val="24"/>
        </w:rPr>
        <w:t xml:space="preserve">view </w:t>
      </w:r>
      <w:r w:rsidR="00693762">
        <w:rPr>
          <w:rFonts w:ascii="Arial" w:hAnsi="Arial" w:cs="Arial"/>
          <w:sz w:val="24"/>
          <w:szCs w:val="24"/>
        </w:rPr>
        <w:t xml:space="preserve">at that time </w:t>
      </w:r>
      <w:r w:rsidRPr="0099107D">
        <w:rPr>
          <w:rFonts w:ascii="Arial" w:hAnsi="Arial" w:cs="Arial"/>
          <w:sz w:val="24"/>
          <w:szCs w:val="24"/>
        </w:rPr>
        <w:t xml:space="preserve">was that it was best to describe those </w:t>
      </w:r>
      <w:r w:rsidR="00693762">
        <w:rPr>
          <w:rFonts w:ascii="Arial" w:hAnsi="Arial" w:cs="Arial"/>
          <w:sz w:val="24"/>
          <w:szCs w:val="24"/>
        </w:rPr>
        <w:t xml:space="preserve">types of </w:t>
      </w:r>
      <w:r w:rsidRPr="0099107D">
        <w:rPr>
          <w:rFonts w:ascii="Arial" w:hAnsi="Arial" w:cs="Arial"/>
          <w:sz w:val="24"/>
          <w:szCs w:val="24"/>
        </w:rPr>
        <w:t xml:space="preserve">failures as </w:t>
      </w:r>
      <w:r>
        <w:rPr>
          <w:rFonts w:ascii="Arial" w:hAnsi="Arial" w:cs="Arial"/>
          <w:sz w:val="24"/>
          <w:szCs w:val="24"/>
        </w:rPr>
        <w:t xml:space="preserve">either professional misconduct or </w:t>
      </w:r>
      <w:r w:rsidRPr="0099107D">
        <w:rPr>
          <w:rFonts w:ascii="Arial" w:hAnsi="Arial" w:cs="Arial"/>
          <w:sz w:val="24"/>
          <w:szCs w:val="24"/>
        </w:rPr>
        <w:t>failure of care</w:t>
      </w:r>
      <w:r w:rsidR="00823382">
        <w:rPr>
          <w:rFonts w:ascii="Arial" w:hAnsi="Arial" w:cs="Arial"/>
          <w:sz w:val="24"/>
          <w:szCs w:val="24"/>
        </w:rPr>
        <w:t xml:space="preserve"> rather than elder abuse</w:t>
      </w:r>
      <w:r>
        <w:rPr>
          <w:rFonts w:ascii="Arial" w:hAnsi="Arial" w:cs="Arial"/>
          <w:sz w:val="24"/>
          <w:szCs w:val="24"/>
        </w:rPr>
        <w:t xml:space="preserve">. (This approach was derived from the observation that remedies and </w:t>
      </w:r>
      <w:r w:rsidRPr="0099107D">
        <w:rPr>
          <w:rFonts w:ascii="Arial" w:hAnsi="Arial" w:cs="Arial"/>
          <w:sz w:val="24"/>
          <w:szCs w:val="24"/>
        </w:rPr>
        <w:t xml:space="preserve">redress </w:t>
      </w:r>
      <w:r>
        <w:rPr>
          <w:rFonts w:ascii="Arial" w:hAnsi="Arial" w:cs="Arial"/>
          <w:sz w:val="24"/>
          <w:szCs w:val="24"/>
        </w:rPr>
        <w:t xml:space="preserve">in cases of professional </w:t>
      </w:r>
      <w:r w:rsidR="009D2547">
        <w:rPr>
          <w:rFonts w:ascii="Arial" w:hAnsi="Arial" w:cs="Arial"/>
          <w:sz w:val="24"/>
          <w:szCs w:val="24"/>
        </w:rPr>
        <w:t xml:space="preserve">negligence or </w:t>
      </w:r>
      <w:r>
        <w:rPr>
          <w:rFonts w:ascii="Arial" w:hAnsi="Arial" w:cs="Arial"/>
          <w:sz w:val="24"/>
          <w:szCs w:val="24"/>
        </w:rPr>
        <w:t xml:space="preserve">misconduct </w:t>
      </w:r>
      <w:r w:rsidR="009D2547">
        <w:rPr>
          <w:rFonts w:ascii="Arial" w:hAnsi="Arial" w:cs="Arial"/>
          <w:sz w:val="24"/>
          <w:szCs w:val="24"/>
        </w:rPr>
        <w:t xml:space="preserve">could </w:t>
      </w:r>
      <w:r w:rsidRPr="0099107D">
        <w:rPr>
          <w:rFonts w:ascii="Arial" w:hAnsi="Arial" w:cs="Arial"/>
          <w:sz w:val="24"/>
          <w:szCs w:val="24"/>
        </w:rPr>
        <w:t xml:space="preserve">be </w:t>
      </w:r>
      <w:proofErr w:type="gramStart"/>
      <w:r w:rsidR="009D2547">
        <w:rPr>
          <w:rFonts w:ascii="Arial" w:hAnsi="Arial" w:cs="Arial"/>
          <w:sz w:val="24"/>
          <w:szCs w:val="24"/>
        </w:rPr>
        <w:t xml:space="preserve">obtained </w:t>
      </w:r>
      <w:r w:rsidRPr="0099107D">
        <w:rPr>
          <w:rFonts w:ascii="Arial" w:hAnsi="Arial" w:cs="Arial"/>
          <w:sz w:val="24"/>
          <w:szCs w:val="24"/>
        </w:rPr>
        <w:t xml:space="preserve"> through</w:t>
      </w:r>
      <w:proofErr w:type="gramEnd"/>
      <w:r w:rsidRPr="0099107D">
        <w:rPr>
          <w:rFonts w:ascii="Arial" w:hAnsi="Arial" w:cs="Arial"/>
          <w:sz w:val="24"/>
          <w:szCs w:val="24"/>
        </w:rPr>
        <w:t xml:space="preserve"> established channel</w:t>
      </w:r>
      <w:r>
        <w:rPr>
          <w:rFonts w:ascii="Arial" w:hAnsi="Arial" w:cs="Arial"/>
          <w:sz w:val="24"/>
          <w:szCs w:val="24"/>
        </w:rPr>
        <w:t>s</w:t>
      </w:r>
      <w:r w:rsidRPr="0099107D">
        <w:rPr>
          <w:rFonts w:ascii="Arial" w:hAnsi="Arial" w:cs="Arial"/>
          <w:sz w:val="24"/>
          <w:szCs w:val="24"/>
        </w:rPr>
        <w:t>.</w:t>
      </w:r>
      <w:r>
        <w:rPr>
          <w:rFonts w:ascii="Arial" w:hAnsi="Arial" w:cs="Arial"/>
          <w:sz w:val="24"/>
          <w:szCs w:val="24"/>
        </w:rPr>
        <w:t>)</w:t>
      </w:r>
      <w:r w:rsidRPr="0099107D">
        <w:rPr>
          <w:rFonts w:ascii="Arial" w:hAnsi="Arial" w:cs="Arial"/>
          <w:sz w:val="24"/>
          <w:szCs w:val="24"/>
        </w:rPr>
        <w:t xml:space="preserve"> </w:t>
      </w:r>
    </w:p>
    <w:p w:rsidR="007F1F7A" w:rsidRDefault="007F1F7A" w:rsidP="007F1F7A">
      <w:pPr>
        <w:rPr>
          <w:rFonts w:ascii="Arial" w:hAnsi="Arial" w:cs="Arial"/>
          <w:sz w:val="24"/>
          <w:szCs w:val="24"/>
        </w:rPr>
      </w:pPr>
    </w:p>
    <w:p w:rsidR="007F1F7A" w:rsidRPr="0099107D" w:rsidRDefault="007F1F7A" w:rsidP="007F1F7A">
      <w:pPr>
        <w:rPr>
          <w:rFonts w:ascii="Arial" w:hAnsi="Arial" w:cs="Arial"/>
          <w:sz w:val="24"/>
          <w:szCs w:val="24"/>
        </w:rPr>
      </w:pPr>
      <w:r>
        <w:rPr>
          <w:rFonts w:ascii="Arial" w:hAnsi="Arial" w:cs="Arial"/>
          <w:sz w:val="24"/>
          <w:szCs w:val="24"/>
        </w:rPr>
        <w:t xml:space="preserve">Unfortunately this early training has </w:t>
      </w:r>
      <w:r w:rsidRPr="0099107D">
        <w:rPr>
          <w:rFonts w:ascii="Arial" w:hAnsi="Arial" w:cs="Arial"/>
          <w:sz w:val="24"/>
          <w:szCs w:val="24"/>
        </w:rPr>
        <w:t xml:space="preserve">resulted </w:t>
      </w:r>
      <w:r>
        <w:rPr>
          <w:rFonts w:ascii="Arial" w:hAnsi="Arial" w:cs="Arial"/>
          <w:sz w:val="24"/>
          <w:szCs w:val="24"/>
        </w:rPr>
        <w:t xml:space="preserve">in a </w:t>
      </w:r>
      <w:r w:rsidRPr="0099107D">
        <w:rPr>
          <w:rFonts w:ascii="Arial" w:hAnsi="Arial" w:cs="Arial"/>
          <w:sz w:val="24"/>
          <w:szCs w:val="24"/>
        </w:rPr>
        <w:t>persist</w:t>
      </w:r>
      <w:r>
        <w:rPr>
          <w:rFonts w:ascii="Arial" w:hAnsi="Arial" w:cs="Arial"/>
          <w:sz w:val="24"/>
          <w:szCs w:val="24"/>
        </w:rPr>
        <w:t>ent re</w:t>
      </w:r>
      <w:r w:rsidR="00693762">
        <w:rPr>
          <w:rFonts w:ascii="Arial" w:hAnsi="Arial" w:cs="Arial"/>
          <w:sz w:val="24"/>
          <w:szCs w:val="24"/>
        </w:rPr>
        <w:t xml:space="preserve">luctance by </w:t>
      </w:r>
      <w:proofErr w:type="gramStart"/>
      <w:r w:rsidR="00693762">
        <w:rPr>
          <w:rFonts w:ascii="Arial" w:hAnsi="Arial" w:cs="Arial"/>
          <w:sz w:val="24"/>
          <w:szCs w:val="24"/>
        </w:rPr>
        <w:t xml:space="preserve">Police </w:t>
      </w:r>
      <w:r>
        <w:rPr>
          <w:rFonts w:ascii="Arial" w:hAnsi="Arial" w:cs="Arial"/>
          <w:sz w:val="24"/>
          <w:szCs w:val="24"/>
        </w:rPr>
        <w:t xml:space="preserve"> to</w:t>
      </w:r>
      <w:proofErr w:type="gramEnd"/>
      <w:r>
        <w:rPr>
          <w:rFonts w:ascii="Arial" w:hAnsi="Arial" w:cs="Arial"/>
          <w:sz w:val="24"/>
          <w:szCs w:val="24"/>
        </w:rPr>
        <w:t xml:space="preserve"> investigate allegations of elder </w:t>
      </w:r>
      <w:r w:rsidRPr="0099107D">
        <w:rPr>
          <w:rFonts w:ascii="Arial" w:hAnsi="Arial" w:cs="Arial"/>
          <w:sz w:val="24"/>
          <w:szCs w:val="24"/>
        </w:rPr>
        <w:t>physical abuse that occurs in a care setting</w:t>
      </w:r>
      <w:r w:rsidR="00693762">
        <w:rPr>
          <w:rFonts w:ascii="Arial" w:hAnsi="Arial" w:cs="Arial"/>
          <w:sz w:val="24"/>
          <w:szCs w:val="24"/>
        </w:rPr>
        <w:t>.</w:t>
      </w:r>
      <w:r>
        <w:rPr>
          <w:rFonts w:ascii="Arial" w:hAnsi="Arial" w:cs="Arial"/>
          <w:sz w:val="24"/>
          <w:szCs w:val="24"/>
        </w:rPr>
        <w:t xml:space="preserve"> See the case </w:t>
      </w:r>
      <w:r w:rsidR="007A5C9E">
        <w:rPr>
          <w:rFonts w:ascii="Arial" w:hAnsi="Arial" w:cs="Arial"/>
          <w:sz w:val="24"/>
          <w:szCs w:val="24"/>
        </w:rPr>
        <w:t>study of</w:t>
      </w:r>
      <w:r w:rsidRPr="0099107D">
        <w:rPr>
          <w:rFonts w:ascii="Arial" w:hAnsi="Arial" w:cs="Arial"/>
          <w:sz w:val="24"/>
          <w:szCs w:val="24"/>
        </w:rPr>
        <w:t xml:space="preserve"> Lydia</w:t>
      </w:r>
      <w:r w:rsidR="00693762">
        <w:rPr>
          <w:rFonts w:ascii="Arial" w:hAnsi="Arial" w:cs="Arial"/>
          <w:sz w:val="24"/>
          <w:szCs w:val="24"/>
        </w:rPr>
        <w:t>,</w:t>
      </w:r>
      <w:r w:rsidRPr="0099107D">
        <w:rPr>
          <w:rFonts w:ascii="Arial" w:hAnsi="Arial" w:cs="Arial"/>
          <w:sz w:val="24"/>
          <w:szCs w:val="24"/>
        </w:rPr>
        <w:t xml:space="preserve"> </w:t>
      </w:r>
      <w:r>
        <w:rPr>
          <w:rFonts w:ascii="Arial" w:hAnsi="Arial" w:cs="Arial"/>
          <w:sz w:val="24"/>
          <w:szCs w:val="24"/>
        </w:rPr>
        <w:t>below</w:t>
      </w:r>
      <w:r w:rsidRPr="0099107D">
        <w:rPr>
          <w:rFonts w:ascii="Arial" w:hAnsi="Arial" w:cs="Arial"/>
          <w:sz w:val="24"/>
          <w:szCs w:val="24"/>
        </w:rPr>
        <w:t xml:space="preserve">. </w:t>
      </w:r>
    </w:p>
    <w:p w:rsidR="007F1F7A" w:rsidRPr="0099107D" w:rsidRDefault="007F1F7A" w:rsidP="0099107D">
      <w:pPr>
        <w:rPr>
          <w:rFonts w:ascii="Arial" w:hAnsi="Arial" w:cs="Arial"/>
          <w:sz w:val="24"/>
          <w:szCs w:val="24"/>
          <w:u w:val="single"/>
        </w:rPr>
      </w:pPr>
    </w:p>
    <w:p w:rsidR="00F725DA" w:rsidRPr="0099107D" w:rsidRDefault="00F725DA" w:rsidP="00F725DA">
      <w:pPr>
        <w:rPr>
          <w:rFonts w:ascii="Arial" w:hAnsi="Arial" w:cs="Arial"/>
          <w:i/>
          <w:iCs/>
          <w:sz w:val="24"/>
          <w:szCs w:val="24"/>
          <w:u w:val="single"/>
        </w:rPr>
      </w:pPr>
      <w:r w:rsidRPr="0099107D">
        <w:rPr>
          <w:rFonts w:ascii="Arial" w:hAnsi="Arial" w:cs="Arial"/>
          <w:i/>
          <w:iCs/>
          <w:sz w:val="24"/>
          <w:szCs w:val="24"/>
          <w:u w:val="single"/>
        </w:rPr>
        <w:t xml:space="preserve">Question 4 </w:t>
      </w:r>
      <w:r>
        <w:rPr>
          <w:rFonts w:ascii="Arial" w:hAnsi="Arial" w:cs="Arial"/>
          <w:i/>
          <w:iCs/>
          <w:sz w:val="24"/>
          <w:szCs w:val="24"/>
          <w:u w:val="single"/>
        </w:rPr>
        <w:tab/>
      </w:r>
      <w:r>
        <w:rPr>
          <w:rFonts w:ascii="Arial" w:hAnsi="Arial" w:cs="Arial"/>
          <w:i/>
          <w:iCs/>
          <w:sz w:val="24"/>
          <w:szCs w:val="24"/>
          <w:u w:val="single"/>
        </w:rPr>
        <w:tab/>
      </w:r>
      <w:r w:rsidRPr="0099107D">
        <w:rPr>
          <w:rFonts w:ascii="Arial" w:hAnsi="Arial" w:cs="Arial"/>
          <w:i/>
          <w:iCs/>
          <w:sz w:val="24"/>
          <w:szCs w:val="24"/>
          <w:u w:val="single"/>
        </w:rPr>
        <w:t>Gaps in the Evidence</w:t>
      </w:r>
    </w:p>
    <w:p w:rsidR="00F725DA" w:rsidRPr="0099107D" w:rsidRDefault="00F725DA" w:rsidP="00F725DA">
      <w:pPr>
        <w:rPr>
          <w:rFonts w:ascii="Arial" w:hAnsi="Arial" w:cs="Arial"/>
          <w:sz w:val="24"/>
          <w:szCs w:val="24"/>
        </w:rPr>
      </w:pPr>
    </w:p>
    <w:p w:rsidR="00F725DA" w:rsidRDefault="00F725DA" w:rsidP="00F725DA">
      <w:pPr>
        <w:rPr>
          <w:rFonts w:ascii="Arial" w:hAnsi="Arial" w:cs="Arial"/>
          <w:sz w:val="24"/>
          <w:szCs w:val="24"/>
        </w:rPr>
      </w:pPr>
      <w:r>
        <w:rPr>
          <w:rFonts w:ascii="Arial" w:hAnsi="Arial" w:cs="Arial"/>
          <w:sz w:val="24"/>
          <w:szCs w:val="24"/>
        </w:rPr>
        <w:t>The 2016 AIFS report</w:t>
      </w:r>
      <w:r>
        <w:rPr>
          <w:rStyle w:val="FootnoteReference"/>
          <w:rFonts w:ascii="Arial" w:hAnsi="Arial" w:cs="Arial"/>
          <w:sz w:val="24"/>
          <w:szCs w:val="24"/>
        </w:rPr>
        <w:footnoteReference w:id="2"/>
      </w:r>
      <w:r>
        <w:rPr>
          <w:rFonts w:ascii="Arial" w:hAnsi="Arial" w:cs="Arial"/>
          <w:sz w:val="24"/>
          <w:szCs w:val="24"/>
        </w:rPr>
        <w:t xml:space="preserve"> n</w:t>
      </w:r>
      <w:r w:rsidRPr="0099107D">
        <w:rPr>
          <w:rFonts w:ascii="Arial" w:hAnsi="Arial" w:cs="Arial"/>
          <w:sz w:val="24"/>
          <w:szCs w:val="24"/>
        </w:rPr>
        <w:t xml:space="preserve">oted that the </w:t>
      </w:r>
      <w:r>
        <w:rPr>
          <w:rFonts w:ascii="Arial" w:hAnsi="Arial" w:cs="Arial"/>
          <w:sz w:val="24"/>
          <w:szCs w:val="24"/>
        </w:rPr>
        <w:t xml:space="preserve">data and </w:t>
      </w:r>
      <w:r w:rsidRPr="0099107D">
        <w:rPr>
          <w:rFonts w:ascii="Arial" w:hAnsi="Arial" w:cs="Arial"/>
          <w:sz w:val="24"/>
          <w:szCs w:val="24"/>
        </w:rPr>
        <w:t>prevalen</w:t>
      </w:r>
      <w:r>
        <w:rPr>
          <w:rFonts w:ascii="Arial" w:hAnsi="Arial" w:cs="Arial"/>
          <w:sz w:val="24"/>
          <w:szCs w:val="24"/>
        </w:rPr>
        <w:t>ce</w:t>
      </w:r>
      <w:r w:rsidRPr="0099107D">
        <w:rPr>
          <w:rFonts w:ascii="Arial" w:hAnsi="Arial" w:cs="Arial"/>
          <w:sz w:val="24"/>
          <w:szCs w:val="24"/>
        </w:rPr>
        <w:t xml:space="preserve"> studies on which to model proper responses </w:t>
      </w:r>
      <w:r>
        <w:rPr>
          <w:rFonts w:ascii="Arial" w:hAnsi="Arial" w:cs="Arial"/>
          <w:sz w:val="24"/>
          <w:szCs w:val="24"/>
        </w:rPr>
        <w:t xml:space="preserve">to elder abuse simply don’t exist </w:t>
      </w:r>
      <w:r w:rsidRPr="0099107D">
        <w:rPr>
          <w:rFonts w:ascii="Arial" w:hAnsi="Arial" w:cs="Arial"/>
          <w:sz w:val="24"/>
          <w:szCs w:val="24"/>
        </w:rPr>
        <w:t xml:space="preserve">and </w:t>
      </w:r>
      <w:r>
        <w:rPr>
          <w:rFonts w:ascii="Arial" w:hAnsi="Arial" w:cs="Arial"/>
          <w:sz w:val="24"/>
          <w:szCs w:val="24"/>
        </w:rPr>
        <w:t xml:space="preserve">that </w:t>
      </w:r>
      <w:r w:rsidRPr="0099107D">
        <w:rPr>
          <w:rFonts w:ascii="Arial" w:hAnsi="Arial" w:cs="Arial"/>
          <w:sz w:val="24"/>
          <w:szCs w:val="24"/>
        </w:rPr>
        <w:t xml:space="preserve">this is a serious issue. </w:t>
      </w:r>
    </w:p>
    <w:p w:rsidR="00F725DA" w:rsidRDefault="00F725DA" w:rsidP="00F725DA">
      <w:pPr>
        <w:rPr>
          <w:rFonts w:ascii="Arial" w:hAnsi="Arial" w:cs="Arial"/>
          <w:sz w:val="24"/>
          <w:szCs w:val="24"/>
        </w:rPr>
      </w:pPr>
    </w:p>
    <w:p w:rsidR="00F725DA" w:rsidRDefault="00F725DA" w:rsidP="00F725DA">
      <w:pPr>
        <w:rPr>
          <w:rFonts w:ascii="Arial" w:hAnsi="Arial" w:cs="Arial"/>
          <w:sz w:val="24"/>
          <w:szCs w:val="24"/>
        </w:rPr>
      </w:pPr>
      <w:r>
        <w:rPr>
          <w:rFonts w:ascii="Arial" w:hAnsi="Arial" w:cs="Arial"/>
          <w:sz w:val="24"/>
          <w:szCs w:val="24"/>
        </w:rPr>
        <w:t xml:space="preserve">In </w:t>
      </w:r>
      <w:proofErr w:type="gramStart"/>
      <w:r>
        <w:rPr>
          <w:rFonts w:ascii="Arial" w:hAnsi="Arial" w:cs="Arial"/>
          <w:sz w:val="24"/>
          <w:szCs w:val="24"/>
        </w:rPr>
        <w:t>2009  a</w:t>
      </w:r>
      <w:proofErr w:type="gramEnd"/>
      <w:r>
        <w:rPr>
          <w:rFonts w:ascii="Arial" w:hAnsi="Arial" w:cs="Arial"/>
          <w:sz w:val="24"/>
          <w:szCs w:val="24"/>
        </w:rPr>
        <w:t xml:space="preserve"> team from Monash University reviewed the evidence of financial abuse of older persons in Victoria</w:t>
      </w:r>
      <w:r>
        <w:rPr>
          <w:rStyle w:val="FootnoteReference"/>
          <w:rFonts w:ascii="Arial" w:hAnsi="Arial" w:cs="Arial"/>
          <w:sz w:val="24"/>
          <w:szCs w:val="24"/>
        </w:rPr>
        <w:footnoteReference w:id="3"/>
      </w:r>
      <w:r>
        <w:rPr>
          <w:rFonts w:ascii="Arial" w:hAnsi="Arial" w:cs="Arial"/>
          <w:sz w:val="24"/>
          <w:szCs w:val="24"/>
        </w:rPr>
        <w:t xml:space="preserve"> and concluded that it was impossible to discern the prevalence of financial elder abuse given the differential way it is described and recorded by different agencies.</w:t>
      </w:r>
    </w:p>
    <w:p w:rsidR="00F725DA" w:rsidRDefault="00F725DA" w:rsidP="00F725DA">
      <w:pPr>
        <w:rPr>
          <w:rFonts w:ascii="Arial" w:hAnsi="Arial" w:cs="Arial"/>
          <w:sz w:val="24"/>
          <w:szCs w:val="24"/>
        </w:rPr>
      </w:pPr>
    </w:p>
    <w:p w:rsidR="00F725DA" w:rsidRDefault="00F725DA" w:rsidP="00F725DA">
      <w:pPr>
        <w:rPr>
          <w:rFonts w:ascii="Arial" w:hAnsi="Arial" w:cs="Arial"/>
          <w:sz w:val="24"/>
          <w:szCs w:val="24"/>
        </w:rPr>
      </w:pPr>
      <w:r w:rsidRPr="0099107D">
        <w:rPr>
          <w:rFonts w:ascii="Arial" w:hAnsi="Arial" w:cs="Arial"/>
          <w:sz w:val="24"/>
          <w:szCs w:val="24"/>
        </w:rPr>
        <w:t xml:space="preserve">Most of the </w:t>
      </w:r>
      <w:r>
        <w:rPr>
          <w:rFonts w:ascii="Arial" w:hAnsi="Arial" w:cs="Arial"/>
          <w:sz w:val="24"/>
          <w:szCs w:val="24"/>
        </w:rPr>
        <w:t xml:space="preserve">Australian </w:t>
      </w:r>
      <w:r w:rsidRPr="0099107D">
        <w:rPr>
          <w:rFonts w:ascii="Arial" w:hAnsi="Arial" w:cs="Arial"/>
          <w:sz w:val="24"/>
          <w:szCs w:val="24"/>
        </w:rPr>
        <w:t xml:space="preserve">statistics </w:t>
      </w:r>
      <w:r>
        <w:rPr>
          <w:rFonts w:ascii="Arial" w:hAnsi="Arial" w:cs="Arial"/>
          <w:sz w:val="24"/>
          <w:szCs w:val="24"/>
        </w:rPr>
        <w:t xml:space="preserve">quoted in the past have cited and then re-cited   a report based on </w:t>
      </w:r>
      <w:r w:rsidRPr="0099107D">
        <w:rPr>
          <w:rFonts w:ascii="Arial" w:hAnsi="Arial" w:cs="Arial"/>
          <w:sz w:val="24"/>
          <w:szCs w:val="24"/>
        </w:rPr>
        <w:t xml:space="preserve">some pioneering work </w:t>
      </w:r>
      <w:r>
        <w:rPr>
          <w:rFonts w:ascii="Arial" w:hAnsi="Arial" w:cs="Arial"/>
          <w:sz w:val="24"/>
          <w:szCs w:val="24"/>
        </w:rPr>
        <w:t xml:space="preserve">done </w:t>
      </w:r>
      <w:r w:rsidRPr="0099107D">
        <w:rPr>
          <w:rFonts w:ascii="Arial" w:hAnsi="Arial" w:cs="Arial"/>
          <w:sz w:val="24"/>
          <w:szCs w:val="24"/>
        </w:rPr>
        <w:t xml:space="preserve">by a geriatrician called Elizabeth </w:t>
      </w:r>
      <w:proofErr w:type="spellStart"/>
      <w:r w:rsidRPr="0099107D">
        <w:rPr>
          <w:rFonts w:ascii="Arial" w:hAnsi="Arial" w:cs="Arial"/>
          <w:sz w:val="24"/>
          <w:szCs w:val="24"/>
        </w:rPr>
        <w:t>Kur</w:t>
      </w:r>
      <w:r>
        <w:rPr>
          <w:rFonts w:ascii="Arial" w:hAnsi="Arial" w:cs="Arial"/>
          <w:sz w:val="24"/>
          <w:szCs w:val="24"/>
        </w:rPr>
        <w:t>rl</w:t>
      </w:r>
      <w:r w:rsidRPr="0099107D">
        <w:rPr>
          <w:rFonts w:ascii="Arial" w:hAnsi="Arial" w:cs="Arial"/>
          <w:sz w:val="24"/>
          <w:szCs w:val="24"/>
        </w:rPr>
        <w:t>e</w:t>
      </w:r>
      <w:proofErr w:type="spellEnd"/>
      <w:r w:rsidRPr="0099107D">
        <w:rPr>
          <w:rFonts w:ascii="Arial" w:hAnsi="Arial" w:cs="Arial"/>
          <w:sz w:val="24"/>
          <w:szCs w:val="24"/>
        </w:rPr>
        <w:t xml:space="preserve"> </w:t>
      </w:r>
      <w:r w:rsidRPr="0099107D">
        <w:rPr>
          <w:rFonts w:ascii="Arial" w:hAnsi="Arial" w:cs="Arial"/>
          <w:sz w:val="24"/>
          <w:szCs w:val="24"/>
        </w:rPr>
        <w:lastRenderedPageBreak/>
        <w:t>in the 1990’s.</w:t>
      </w:r>
      <w:r>
        <w:rPr>
          <w:rFonts w:ascii="Arial" w:hAnsi="Arial" w:cs="Arial"/>
          <w:sz w:val="24"/>
          <w:szCs w:val="24"/>
        </w:rPr>
        <w:t xml:space="preserve"> </w:t>
      </w:r>
      <w:r w:rsidRPr="0099107D">
        <w:rPr>
          <w:rFonts w:ascii="Arial" w:hAnsi="Arial" w:cs="Arial"/>
          <w:sz w:val="24"/>
          <w:szCs w:val="24"/>
        </w:rPr>
        <w:t xml:space="preserve">While this </w:t>
      </w:r>
      <w:r>
        <w:rPr>
          <w:rFonts w:ascii="Arial" w:hAnsi="Arial" w:cs="Arial"/>
          <w:sz w:val="24"/>
          <w:szCs w:val="24"/>
        </w:rPr>
        <w:t xml:space="preserve">work was pioneering and necessary, </w:t>
      </w:r>
      <w:r w:rsidRPr="0099107D">
        <w:rPr>
          <w:rFonts w:ascii="Arial" w:hAnsi="Arial" w:cs="Arial"/>
          <w:sz w:val="24"/>
          <w:szCs w:val="24"/>
        </w:rPr>
        <w:t>it</w:t>
      </w:r>
      <w:r>
        <w:rPr>
          <w:rFonts w:ascii="Arial" w:hAnsi="Arial" w:cs="Arial"/>
          <w:sz w:val="24"/>
          <w:szCs w:val="24"/>
        </w:rPr>
        <w:t>s methodology involved i</w:t>
      </w:r>
      <w:r w:rsidRPr="0099107D">
        <w:rPr>
          <w:rFonts w:ascii="Arial" w:hAnsi="Arial" w:cs="Arial"/>
          <w:sz w:val="24"/>
          <w:szCs w:val="24"/>
        </w:rPr>
        <w:t xml:space="preserve">nterviewing people who were entering aged care and required </w:t>
      </w:r>
      <w:r>
        <w:rPr>
          <w:rFonts w:ascii="Arial" w:hAnsi="Arial" w:cs="Arial"/>
          <w:sz w:val="24"/>
          <w:szCs w:val="24"/>
        </w:rPr>
        <w:t xml:space="preserve">them </w:t>
      </w:r>
      <w:r w:rsidRPr="0099107D">
        <w:rPr>
          <w:rFonts w:ascii="Arial" w:hAnsi="Arial" w:cs="Arial"/>
          <w:sz w:val="24"/>
          <w:szCs w:val="24"/>
        </w:rPr>
        <w:t>to make a self-assessment as to whether they had been victimized.</w:t>
      </w:r>
      <w:r>
        <w:rPr>
          <w:rFonts w:ascii="Arial" w:hAnsi="Arial" w:cs="Arial"/>
          <w:sz w:val="24"/>
          <w:szCs w:val="24"/>
        </w:rPr>
        <w:t xml:space="preserve"> </w:t>
      </w:r>
      <w:r w:rsidRPr="0099107D">
        <w:rPr>
          <w:rFonts w:ascii="Arial" w:hAnsi="Arial" w:cs="Arial"/>
          <w:sz w:val="24"/>
          <w:szCs w:val="24"/>
        </w:rPr>
        <w:t xml:space="preserve">In this context it is likely that </w:t>
      </w:r>
      <w:r>
        <w:rPr>
          <w:rFonts w:ascii="Arial" w:hAnsi="Arial" w:cs="Arial"/>
          <w:sz w:val="24"/>
          <w:szCs w:val="24"/>
        </w:rPr>
        <w:t>prevalence was</w:t>
      </w:r>
      <w:r w:rsidRPr="0099107D">
        <w:rPr>
          <w:rFonts w:ascii="Arial" w:hAnsi="Arial" w:cs="Arial"/>
          <w:sz w:val="24"/>
          <w:szCs w:val="24"/>
        </w:rPr>
        <w:t xml:space="preserve"> understated as </w:t>
      </w:r>
      <w:proofErr w:type="gramStart"/>
      <w:r w:rsidRPr="0099107D">
        <w:rPr>
          <w:rFonts w:ascii="Arial" w:hAnsi="Arial" w:cs="Arial"/>
          <w:sz w:val="24"/>
          <w:szCs w:val="24"/>
        </w:rPr>
        <w:t>most</w:t>
      </w:r>
      <w:r>
        <w:rPr>
          <w:rFonts w:ascii="Arial" w:hAnsi="Arial" w:cs="Arial"/>
          <w:sz w:val="24"/>
          <w:szCs w:val="24"/>
        </w:rPr>
        <w:t xml:space="preserve"> </w:t>
      </w:r>
      <w:r w:rsidRPr="0099107D">
        <w:rPr>
          <w:rFonts w:ascii="Arial" w:hAnsi="Arial" w:cs="Arial"/>
          <w:sz w:val="24"/>
          <w:szCs w:val="24"/>
        </w:rPr>
        <w:t>older</w:t>
      </w:r>
      <w:proofErr w:type="gramEnd"/>
      <w:r w:rsidRPr="0099107D">
        <w:rPr>
          <w:rFonts w:ascii="Arial" w:hAnsi="Arial" w:cs="Arial"/>
          <w:sz w:val="24"/>
          <w:szCs w:val="24"/>
        </w:rPr>
        <w:t xml:space="preserve"> people don’t enter residential aged care</w:t>
      </w:r>
      <w:r>
        <w:rPr>
          <w:rFonts w:ascii="Arial" w:hAnsi="Arial" w:cs="Arial"/>
          <w:sz w:val="24"/>
          <w:szCs w:val="24"/>
        </w:rPr>
        <w:t xml:space="preserve"> and do not always recognise that they might be victims of abuse</w:t>
      </w:r>
      <w:r w:rsidRPr="0099107D">
        <w:rPr>
          <w:rFonts w:ascii="Arial" w:hAnsi="Arial" w:cs="Arial"/>
          <w:sz w:val="24"/>
          <w:szCs w:val="24"/>
        </w:rPr>
        <w:t xml:space="preserve">. </w:t>
      </w:r>
    </w:p>
    <w:p w:rsidR="00F725DA" w:rsidRDefault="00F725DA" w:rsidP="00F725DA">
      <w:pPr>
        <w:rPr>
          <w:rFonts w:ascii="Arial" w:hAnsi="Arial" w:cs="Arial"/>
          <w:sz w:val="24"/>
          <w:szCs w:val="24"/>
        </w:rPr>
      </w:pPr>
    </w:p>
    <w:p w:rsidR="00F725DA" w:rsidRDefault="00F725DA" w:rsidP="00F725DA">
      <w:pPr>
        <w:rPr>
          <w:rFonts w:ascii="Arial" w:hAnsi="Arial" w:cs="Arial"/>
          <w:sz w:val="24"/>
          <w:szCs w:val="24"/>
        </w:rPr>
      </w:pPr>
      <w:r>
        <w:rPr>
          <w:rFonts w:ascii="Arial" w:hAnsi="Arial" w:cs="Arial"/>
          <w:sz w:val="24"/>
          <w:szCs w:val="24"/>
        </w:rPr>
        <w:t xml:space="preserve">Despite the </w:t>
      </w:r>
      <w:r w:rsidRPr="0099107D">
        <w:rPr>
          <w:rFonts w:ascii="Arial" w:hAnsi="Arial" w:cs="Arial"/>
          <w:sz w:val="24"/>
          <w:szCs w:val="24"/>
        </w:rPr>
        <w:t xml:space="preserve">information collected </w:t>
      </w:r>
      <w:r>
        <w:rPr>
          <w:rFonts w:ascii="Arial" w:hAnsi="Arial" w:cs="Arial"/>
          <w:sz w:val="24"/>
          <w:szCs w:val="24"/>
        </w:rPr>
        <w:t xml:space="preserve">most recently </w:t>
      </w:r>
      <w:r w:rsidRPr="0099107D">
        <w:rPr>
          <w:rFonts w:ascii="Arial" w:hAnsi="Arial" w:cs="Arial"/>
          <w:sz w:val="24"/>
          <w:szCs w:val="24"/>
        </w:rPr>
        <w:t>by the state based elder abuse hotlines</w:t>
      </w:r>
      <w:r>
        <w:rPr>
          <w:rFonts w:ascii="Arial" w:hAnsi="Arial" w:cs="Arial"/>
          <w:sz w:val="24"/>
          <w:szCs w:val="24"/>
        </w:rPr>
        <w:t xml:space="preserve">, </w:t>
      </w:r>
      <w:proofErr w:type="gramStart"/>
      <w:r>
        <w:rPr>
          <w:rFonts w:ascii="Arial" w:hAnsi="Arial" w:cs="Arial"/>
          <w:sz w:val="24"/>
          <w:szCs w:val="24"/>
        </w:rPr>
        <w:t xml:space="preserve">the </w:t>
      </w:r>
      <w:r w:rsidRPr="0099107D">
        <w:rPr>
          <w:rFonts w:ascii="Arial" w:hAnsi="Arial" w:cs="Arial"/>
          <w:sz w:val="24"/>
          <w:szCs w:val="24"/>
        </w:rPr>
        <w:t xml:space="preserve"> </w:t>
      </w:r>
      <w:r>
        <w:rPr>
          <w:rFonts w:ascii="Arial" w:hAnsi="Arial" w:cs="Arial"/>
          <w:sz w:val="24"/>
          <w:szCs w:val="24"/>
        </w:rPr>
        <w:t>underreporting</w:t>
      </w:r>
      <w:proofErr w:type="gramEnd"/>
      <w:r>
        <w:rPr>
          <w:rFonts w:ascii="Arial" w:hAnsi="Arial" w:cs="Arial"/>
          <w:sz w:val="24"/>
          <w:szCs w:val="24"/>
        </w:rPr>
        <w:t xml:space="preserve"> of elder abuse is the norm. </w:t>
      </w:r>
      <w:r w:rsidRPr="0099107D">
        <w:rPr>
          <w:rFonts w:ascii="Arial" w:hAnsi="Arial" w:cs="Arial"/>
          <w:sz w:val="24"/>
          <w:szCs w:val="24"/>
        </w:rPr>
        <w:t xml:space="preserve">The </w:t>
      </w:r>
      <w:r>
        <w:rPr>
          <w:rFonts w:ascii="Arial" w:hAnsi="Arial" w:cs="Arial"/>
          <w:sz w:val="24"/>
          <w:szCs w:val="24"/>
        </w:rPr>
        <w:t>P</w:t>
      </w:r>
      <w:r w:rsidRPr="0099107D">
        <w:rPr>
          <w:rFonts w:ascii="Arial" w:hAnsi="Arial" w:cs="Arial"/>
          <w:sz w:val="24"/>
          <w:szCs w:val="24"/>
        </w:rPr>
        <w:t xml:space="preserve">olice keep statistics for example about victims of dishonesty offences, but not all financial elder abuse becomes a reportable dishonesty offence, in fact, most of them don’t. </w:t>
      </w:r>
    </w:p>
    <w:p w:rsidR="00F725DA" w:rsidRPr="0099107D" w:rsidRDefault="00F725DA" w:rsidP="00F725DA">
      <w:pPr>
        <w:rPr>
          <w:rFonts w:ascii="Arial" w:hAnsi="Arial" w:cs="Arial"/>
          <w:sz w:val="24"/>
          <w:szCs w:val="24"/>
        </w:rPr>
      </w:pPr>
    </w:p>
    <w:p w:rsidR="00F725DA" w:rsidRDefault="00F725DA" w:rsidP="00F725DA">
      <w:pPr>
        <w:rPr>
          <w:rFonts w:ascii="Arial" w:hAnsi="Arial" w:cs="Arial"/>
          <w:sz w:val="24"/>
          <w:szCs w:val="24"/>
        </w:rPr>
      </w:pPr>
      <w:r>
        <w:rPr>
          <w:rFonts w:ascii="Arial" w:hAnsi="Arial" w:cs="Arial"/>
          <w:sz w:val="24"/>
          <w:szCs w:val="24"/>
        </w:rPr>
        <w:t>Of recent times the only data presented has concerned family violence towards women.  Even so, and despite all the data collected in regard to family violence, the responses such as the CRAF</w:t>
      </w:r>
      <w:r>
        <w:rPr>
          <w:rStyle w:val="FootnoteReference"/>
          <w:rFonts w:ascii="Arial" w:hAnsi="Arial" w:cs="Arial"/>
          <w:sz w:val="24"/>
          <w:szCs w:val="24"/>
        </w:rPr>
        <w:footnoteReference w:id="4"/>
      </w:r>
      <w:r>
        <w:rPr>
          <w:rFonts w:ascii="Arial" w:hAnsi="Arial" w:cs="Arial"/>
          <w:sz w:val="24"/>
          <w:szCs w:val="24"/>
        </w:rPr>
        <w:t xml:space="preserve"> in Victoria are  modelled on ( or skewed in favour of )   younger women with children and  intimate partner violence. </w:t>
      </w:r>
    </w:p>
    <w:p w:rsidR="00F725DA" w:rsidRDefault="00F725DA" w:rsidP="00F725DA">
      <w:pPr>
        <w:rPr>
          <w:rFonts w:ascii="Arial" w:hAnsi="Arial" w:cs="Arial"/>
          <w:sz w:val="24"/>
          <w:szCs w:val="24"/>
        </w:rPr>
      </w:pPr>
    </w:p>
    <w:p w:rsidR="00F725DA" w:rsidRPr="0099107D" w:rsidRDefault="00F725DA" w:rsidP="00F725DA">
      <w:pPr>
        <w:rPr>
          <w:rFonts w:ascii="Arial" w:hAnsi="Arial" w:cs="Arial"/>
          <w:sz w:val="24"/>
          <w:szCs w:val="24"/>
        </w:rPr>
      </w:pPr>
      <w:r w:rsidRPr="0099107D">
        <w:rPr>
          <w:rFonts w:ascii="Arial" w:hAnsi="Arial" w:cs="Arial"/>
          <w:sz w:val="24"/>
          <w:szCs w:val="24"/>
        </w:rPr>
        <w:t xml:space="preserve">The actual determinants of violence towards </w:t>
      </w:r>
      <w:r>
        <w:rPr>
          <w:rFonts w:ascii="Arial" w:hAnsi="Arial" w:cs="Arial"/>
          <w:sz w:val="24"/>
          <w:szCs w:val="24"/>
        </w:rPr>
        <w:t>o</w:t>
      </w:r>
      <w:r w:rsidRPr="0099107D">
        <w:rPr>
          <w:rFonts w:ascii="Arial" w:hAnsi="Arial" w:cs="Arial"/>
          <w:sz w:val="24"/>
          <w:szCs w:val="24"/>
        </w:rPr>
        <w:t xml:space="preserve">lder </w:t>
      </w:r>
      <w:r>
        <w:rPr>
          <w:rFonts w:ascii="Arial" w:hAnsi="Arial" w:cs="Arial"/>
          <w:sz w:val="24"/>
          <w:szCs w:val="24"/>
        </w:rPr>
        <w:t xml:space="preserve">men and women </w:t>
      </w:r>
      <w:r w:rsidRPr="0099107D">
        <w:rPr>
          <w:rFonts w:ascii="Arial" w:hAnsi="Arial" w:cs="Arial"/>
          <w:sz w:val="24"/>
          <w:szCs w:val="24"/>
        </w:rPr>
        <w:t xml:space="preserve">in families </w:t>
      </w:r>
      <w:r>
        <w:rPr>
          <w:rFonts w:ascii="Arial" w:hAnsi="Arial" w:cs="Arial"/>
          <w:sz w:val="24"/>
          <w:szCs w:val="24"/>
        </w:rPr>
        <w:t xml:space="preserve">are not really known and the lived experience of </w:t>
      </w:r>
      <w:r w:rsidRPr="0099107D">
        <w:rPr>
          <w:rFonts w:ascii="Arial" w:hAnsi="Arial" w:cs="Arial"/>
          <w:sz w:val="24"/>
          <w:szCs w:val="24"/>
        </w:rPr>
        <w:t xml:space="preserve">violence experienced by older people </w:t>
      </w:r>
      <w:r>
        <w:rPr>
          <w:rFonts w:ascii="Arial" w:hAnsi="Arial" w:cs="Arial"/>
          <w:sz w:val="24"/>
          <w:szCs w:val="24"/>
        </w:rPr>
        <w:t xml:space="preserve">is not widely shared. </w:t>
      </w:r>
      <w:r w:rsidRPr="0099107D">
        <w:rPr>
          <w:rFonts w:ascii="Arial" w:hAnsi="Arial" w:cs="Arial"/>
          <w:sz w:val="24"/>
          <w:szCs w:val="24"/>
        </w:rPr>
        <w:t xml:space="preserve">What is </w:t>
      </w:r>
      <w:r>
        <w:rPr>
          <w:rFonts w:ascii="Arial" w:hAnsi="Arial" w:cs="Arial"/>
          <w:sz w:val="24"/>
          <w:szCs w:val="24"/>
        </w:rPr>
        <w:t xml:space="preserve">missing is not just data </w:t>
      </w:r>
      <w:r w:rsidRPr="0099107D">
        <w:rPr>
          <w:rFonts w:ascii="Arial" w:hAnsi="Arial" w:cs="Arial"/>
          <w:sz w:val="24"/>
          <w:szCs w:val="24"/>
        </w:rPr>
        <w:t xml:space="preserve">but </w:t>
      </w:r>
      <w:r>
        <w:rPr>
          <w:rFonts w:ascii="Arial" w:hAnsi="Arial" w:cs="Arial"/>
          <w:sz w:val="24"/>
          <w:szCs w:val="24"/>
        </w:rPr>
        <w:t xml:space="preserve">any </w:t>
      </w:r>
      <w:r w:rsidRPr="0099107D">
        <w:rPr>
          <w:rFonts w:ascii="Arial" w:hAnsi="Arial" w:cs="Arial"/>
          <w:sz w:val="24"/>
          <w:szCs w:val="24"/>
        </w:rPr>
        <w:t>analys</w:t>
      </w:r>
      <w:r>
        <w:rPr>
          <w:rFonts w:ascii="Arial" w:hAnsi="Arial" w:cs="Arial"/>
          <w:sz w:val="24"/>
          <w:szCs w:val="24"/>
        </w:rPr>
        <w:t>e</w:t>
      </w:r>
      <w:r w:rsidRPr="0099107D">
        <w:rPr>
          <w:rFonts w:ascii="Arial" w:hAnsi="Arial" w:cs="Arial"/>
          <w:sz w:val="24"/>
          <w:szCs w:val="24"/>
        </w:rPr>
        <w:t xml:space="preserve">s of </w:t>
      </w:r>
      <w:r>
        <w:rPr>
          <w:rFonts w:ascii="Arial" w:hAnsi="Arial" w:cs="Arial"/>
          <w:sz w:val="24"/>
          <w:szCs w:val="24"/>
        </w:rPr>
        <w:t xml:space="preserve">the </w:t>
      </w:r>
      <w:r w:rsidRPr="0099107D">
        <w:rPr>
          <w:rFonts w:ascii="Arial" w:hAnsi="Arial" w:cs="Arial"/>
          <w:sz w:val="24"/>
          <w:szCs w:val="24"/>
        </w:rPr>
        <w:t>determinants</w:t>
      </w:r>
      <w:r>
        <w:rPr>
          <w:rFonts w:ascii="Arial" w:hAnsi="Arial" w:cs="Arial"/>
          <w:sz w:val="24"/>
          <w:szCs w:val="24"/>
        </w:rPr>
        <w:t>.</w:t>
      </w:r>
    </w:p>
    <w:p w:rsidR="00F725DA" w:rsidRDefault="00F725DA" w:rsidP="00F725DA">
      <w:pPr>
        <w:rPr>
          <w:rFonts w:ascii="Arial" w:hAnsi="Arial" w:cs="Arial"/>
          <w:sz w:val="24"/>
          <w:szCs w:val="24"/>
        </w:rPr>
      </w:pPr>
    </w:p>
    <w:p w:rsidR="00F725DA" w:rsidRDefault="00F725DA" w:rsidP="00F725DA">
      <w:pPr>
        <w:rPr>
          <w:rFonts w:ascii="Arial" w:hAnsi="Arial" w:cs="Arial"/>
          <w:sz w:val="24"/>
          <w:szCs w:val="24"/>
        </w:rPr>
      </w:pPr>
      <w:r>
        <w:rPr>
          <w:rFonts w:ascii="Arial" w:hAnsi="Arial" w:cs="Arial"/>
          <w:sz w:val="24"/>
          <w:szCs w:val="24"/>
        </w:rPr>
        <w:t>For example there appears to be no collation of data concerning the risks of injury or death to older people caring for adult children with a mental illness. E</w:t>
      </w:r>
      <w:r w:rsidRPr="0099107D">
        <w:rPr>
          <w:rFonts w:ascii="Arial" w:hAnsi="Arial" w:cs="Arial"/>
          <w:sz w:val="24"/>
          <w:szCs w:val="24"/>
        </w:rPr>
        <w:t xml:space="preserve">mpirical </w:t>
      </w:r>
      <w:r>
        <w:rPr>
          <w:rFonts w:ascii="Arial" w:hAnsi="Arial" w:cs="Arial"/>
          <w:sz w:val="24"/>
          <w:szCs w:val="24"/>
        </w:rPr>
        <w:t xml:space="preserve">evidence </w:t>
      </w:r>
      <w:r w:rsidRPr="0099107D">
        <w:rPr>
          <w:rFonts w:ascii="Arial" w:hAnsi="Arial" w:cs="Arial"/>
          <w:sz w:val="24"/>
          <w:szCs w:val="24"/>
        </w:rPr>
        <w:t xml:space="preserve">is that older parents </w:t>
      </w:r>
      <w:proofErr w:type="gramStart"/>
      <w:r w:rsidRPr="0099107D">
        <w:rPr>
          <w:rFonts w:ascii="Arial" w:hAnsi="Arial" w:cs="Arial"/>
          <w:sz w:val="24"/>
          <w:szCs w:val="24"/>
        </w:rPr>
        <w:t>become  carers</w:t>
      </w:r>
      <w:proofErr w:type="gramEnd"/>
      <w:r w:rsidRPr="0099107D">
        <w:rPr>
          <w:rFonts w:ascii="Arial" w:hAnsi="Arial" w:cs="Arial"/>
          <w:sz w:val="24"/>
          <w:szCs w:val="24"/>
        </w:rPr>
        <w:t xml:space="preserve"> of</w:t>
      </w:r>
      <w:r>
        <w:rPr>
          <w:rFonts w:ascii="Arial" w:hAnsi="Arial" w:cs="Arial"/>
          <w:sz w:val="24"/>
          <w:szCs w:val="24"/>
        </w:rPr>
        <w:t xml:space="preserve"> last resort to their adult children </w:t>
      </w:r>
      <w:r w:rsidRPr="0099107D">
        <w:rPr>
          <w:rFonts w:ascii="Arial" w:hAnsi="Arial" w:cs="Arial"/>
          <w:sz w:val="24"/>
          <w:szCs w:val="24"/>
        </w:rPr>
        <w:t xml:space="preserve">with mental illness </w:t>
      </w:r>
      <w:r>
        <w:rPr>
          <w:rFonts w:ascii="Arial" w:hAnsi="Arial" w:cs="Arial"/>
          <w:sz w:val="24"/>
          <w:szCs w:val="24"/>
        </w:rPr>
        <w:t xml:space="preserve">and can become overconfident in their </w:t>
      </w:r>
      <w:r w:rsidRPr="0099107D">
        <w:rPr>
          <w:rFonts w:ascii="Arial" w:hAnsi="Arial" w:cs="Arial"/>
          <w:sz w:val="24"/>
          <w:szCs w:val="24"/>
        </w:rPr>
        <w:t xml:space="preserve">ability to manage behaviour </w:t>
      </w:r>
      <w:r>
        <w:rPr>
          <w:rFonts w:ascii="Arial" w:hAnsi="Arial" w:cs="Arial"/>
          <w:sz w:val="24"/>
          <w:szCs w:val="24"/>
        </w:rPr>
        <w:t xml:space="preserve">and </w:t>
      </w:r>
      <w:r w:rsidRPr="0099107D">
        <w:rPr>
          <w:rFonts w:ascii="Arial" w:hAnsi="Arial" w:cs="Arial"/>
          <w:sz w:val="24"/>
          <w:szCs w:val="24"/>
        </w:rPr>
        <w:t xml:space="preserve">may overlook signs that are a risk to their own safety. Lives could be saved by an examination of determinants </w:t>
      </w:r>
      <w:r>
        <w:rPr>
          <w:rFonts w:ascii="Arial" w:hAnsi="Arial" w:cs="Arial"/>
          <w:sz w:val="24"/>
          <w:szCs w:val="24"/>
        </w:rPr>
        <w:t xml:space="preserve">of </w:t>
      </w:r>
      <w:r w:rsidRPr="0099107D">
        <w:rPr>
          <w:rFonts w:ascii="Arial" w:hAnsi="Arial" w:cs="Arial"/>
          <w:sz w:val="24"/>
          <w:szCs w:val="24"/>
        </w:rPr>
        <w:t xml:space="preserve">death of older people caring for </w:t>
      </w:r>
      <w:proofErr w:type="gramStart"/>
      <w:r>
        <w:rPr>
          <w:rFonts w:ascii="Arial" w:hAnsi="Arial" w:cs="Arial"/>
          <w:sz w:val="24"/>
          <w:szCs w:val="24"/>
        </w:rPr>
        <w:t xml:space="preserve">adult </w:t>
      </w:r>
      <w:r w:rsidRPr="0099107D">
        <w:rPr>
          <w:rFonts w:ascii="Arial" w:hAnsi="Arial" w:cs="Arial"/>
          <w:sz w:val="24"/>
          <w:szCs w:val="24"/>
        </w:rPr>
        <w:t xml:space="preserve"> children</w:t>
      </w:r>
      <w:proofErr w:type="gramEnd"/>
      <w:r w:rsidRPr="0099107D">
        <w:rPr>
          <w:rFonts w:ascii="Arial" w:hAnsi="Arial" w:cs="Arial"/>
          <w:sz w:val="24"/>
          <w:szCs w:val="24"/>
        </w:rPr>
        <w:t xml:space="preserve"> with mental illness. </w:t>
      </w:r>
    </w:p>
    <w:p w:rsidR="00F725DA" w:rsidRDefault="00F725DA" w:rsidP="00F725DA">
      <w:pPr>
        <w:rPr>
          <w:rFonts w:ascii="Arial" w:hAnsi="Arial" w:cs="Arial"/>
          <w:sz w:val="24"/>
          <w:szCs w:val="24"/>
        </w:rPr>
      </w:pPr>
    </w:p>
    <w:p w:rsidR="00F725DA" w:rsidRDefault="00F725DA" w:rsidP="00F725DA">
      <w:pPr>
        <w:rPr>
          <w:rFonts w:ascii="Arial" w:hAnsi="Arial" w:cs="Arial"/>
          <w:sz w:val="24"/>
          <w:szCs w:val="24"/>
        </w:rPr>
      </w:pPr>
      <w:r w:rsidRPr="0099107D">
        <w:rPr>
          <w:rFonts w:ascii="Arial" w:hAnsi="Arial" w:cs="Arial"/>
          <w:sz w:val="24"/>
          <w:szCs w:val="24"/>
        </w:rPr>
        <w:t>A useful study could be conducted by the Australian Institute of Criminology</w:t>
      </w:r>
      <w:r>
        <w:rPr>
          <w:rFonts w:ascii="Arial" w:hAnsi="Arial" w:cs="Arial"/>
          <w:sz w:val="24"/>
          <w:szCs w:val="24"/>
        </w:rPr>
        <w:t xml:space="preserve"> who could analyse </w:t>
      </w:r>
      <w:r w:rsidRPr="0099107D">
        <w:rPr>
          <w:rFonts w:ascii="Arial" w:hAnsi="Arial" w:cs="Arial"/>
          <w:sz w:val="24"/>
          <w:szCs w:val="24"/>
        </w:rPr>
        <w:t xml:space="preserve">court </w:t>
      </w:r>
      <w:r>
        <w:rPr>
          <w:rFonts w:ascii="Arial" w:hAnsi="Arial" w:cs="Arial"/>
          <w:sz w:val="24"/>
          <w:szCs w:val="24"/>
        </w:rPr>
        <w:t xml:space="preserve">files and forensic psychiatric </w:t>
      </w:r>
      <w:proofErr w:type="gramStart"/>
      <w:r>
        <w:rPr>
          <w:rFonts w:ascii="Arial" w:hAnsi="Arial" w:cs="Arial"/>
          <w:sz w:val="24"/>
          <w:szCs w:val="24"/>
        </w:rPr>
        <w:t>records  as</w:t>
      </w:r>
      <w:proofErr w:type="gramEnd"/>
      <w:r>
        <w:rPr>
          <w:rFonts w:ascii="Arial" w:hAnsi="Arial" w:cs="Arial"/>
          <w:sz w:val="24"/>
          <w:szCs w:val="24"/>
        </w:rPr>
        <w:t xml:space="preserve"> well as statistics, to marshal the determinants. </w:t>
      </w:r>
    </w:p>
    <w:p w:rsidR="00F725DA" w:rsidRDefault="00F725DA" w:rsidP="00F725DA">
      <w:pPr>
        <w:rPr>
          <w:rFonts w:ascii="Arial" w:hAnsi="Arial" w:cs="Arial"/>
          <w:sz w:val="24"/>
          <w:szCs w:val="24"/>
        </w:rPr>
      </w:pPr>
    </w:p>
    <w:p w:rsidR="00F725DA" w:rsidRPr="0099107D" w:rsidRDefault="00F725DA" w:rsidP="0099107D">
      <w:pPr>
        <w:rPr>
          <w:rFonts w:ascii="Arial" w:hAnsi="Arial" w:cs="Arial"/>
          <w:sz w:val="24"/>
          <w:szCs w:val="24"/>
        </w:rPr>
      </w:pPr>
    </w:p>
    <w:p w:rsidR="0099107D" w:rsidRDefault="0099107D" w:rsidP="0099107D">
      <w:pPr>
        <w:rPr>
          <w:rFonts w:ascii="Arial" w:hAnsi="Arial" w:cs="Arial"/>
          <w:i/>
          <w:iCs/>
          <w:sz w:val="24"/>
          <w:szCs w:val="24"/>
          <w:u w:val="single"/>
        </w:rPr>
      </w:pPr>
      <w:r w:rsidRPr="0099107D">
        <w:rPr>
          <w:rFonts w:ascii="Arial" w:hAnsi="Arial" w:cs="Arial"/>
          <w:i/>
          <w:iCs/>
          <w:sz w:val="24"/>
          <w:szCs w:val="24"/>
          <w:u w:val="single"/>
        </w:rPr>
        <w:t xml:space="preserve">Question </w:t>
      </w:r>
      <w:proofErr w:type="gramStart"/>
      <w:r w:rsidRPr="0099107D">
        <w:rPr>
          <w:rFonts w:ascii="Arial" w:hAnsi="Arial" w:cs="Arial"/>
          <w:i/>
          <w:iCs/>
          <w:sz w:val="24"/>
          <w:szCs w:val="24"/>
          <w:u w:val="single"/>
        </w:rPr>
        <w:t xml:space="preserve">11 </w:t>
      </w:r>
      <w:r w:rsidR="00F725DA">
        <w:rPr>
          <w:rFonts w:ascii="Arial" w:hAnsi="Arial" w:cs="Arial"/>
          <w:i/>
          <w:iCs/>
          <w:sz w:val="24"/>
          <w:szCs w:val="24"/>
          <w:u w:val="single"/>
        </w:rPr>
        <w:tab/>
      </w:r>
      <w:r w:rsidR="00F725DA">
        <w:rPr>
          <w:rFonts w:ascii="Arial" w:hAnsi="Arial" w:cs="Arial"/>
          <w:i/>
          <w:iCs/>
          <w:sz w:val="24"/>
          <w:szCs w:val="24"/>
          <w:u w:val="single"/>
        </w:rPr>
        <w:tab/>
      </w:r>
      <w:r w:rsidRPr="0099107D">
        <w:rPr>
          <w:rFonts w:ascii="Arial" w:hAnsi="Arial" w:cs="Arial"/>
          <w:i/>
          <w:iCs/>
          <w:sz w:val="24"/>
          <w:szCs w:val="24"/>
          <w:u w:val="single"/>
        </w:rPr>
        <w:t>Aged Care</w:t>
      </w:r>
      <w:proofErr w:type="gramEnd"/>
    </w:p>
    <w:p w:rsidR="006459DA" w:rsidRPr="0099107D" w:rsidRDefault="006459DA" w:rsidP="0099107D">
      <w:pPr>
        <w:rPr>
          <w:rFonts w:ascii="Arial" w:hAnsi="Arial" w:cs="Arial"/>
          <w:i/>
          <w:iCs/>
          <w:sz w:val="24"/>
          <w:szCs w:val="24"/>
          <w:u w:val="single"/>
        </w:rPr>
      </w:pPr>
    </w:p>
    <w:p w:rsidR="006459DA" w:rsidRPr="009D2547" w:rsidRDefault="006459DA" w:rsidP="006459DA">
      <w:pPr>
        <w:spacing w:line="276" w:lineRule="auto"/>
        <w:rPr>
          <w:rFonts w:ascii="Arial" w:hAnsi="Arial" w:cs="Arial"/>
          <w:sz w:val="24"/>
          <w:szCs w:val="24"/>
        </w:rPr>
      </w:pPr>
      <w:r w:rsidRPr="009D2547">
        <w:rPr>
          <w:rFonts w:ascii="Arial" w:hAnsi="Arial" w:cs="Arial"/>
          <w:sz w:val="24"/>
          <w:szCs w:val="24"/>
        </w:rPr>
        <w:t>The Legal framework for safeguarding vulnerable older person in residential care</w:t>
      </w:r>
    </w:p>
    <w:p w:rsidR="006459DA" w:rsidRPr="00AB31FD" w:rsidRDefault="006459DA" w:rsidP="006459DA">
      <w:pPr>
        <w:spacing w:line="276" w:lineRule="auto"/>
        <w:rPr>
          <w:rFonts w:ascii="Arial" w:hAnsi="Arial" w:cs="Arial"/>
          <w:sz w:val="24"/>
          <w:szCs w:val="24"/>
          <w:u w:val="single"/>
        </w:rPr>
      </w:pPr>
    </w:p>
    <w:p w:rsidR="006459DA" w:rsidRPr="00AB31FD" w:rsidRDefault="006459DA" w:rsidP="006459DA">
      <w:pPr>
        <w:spacing w:line="276" w:lineRule="auto"/>
        <w:rPr>
          <w:rFonts w:ascii="Arial" w:hAnsi="Arial" w:cs="Arial"/>
          <w:sz w:val="24"/>
          <w:szCs w:val="24"/>
        </w:rPr>
      </w:pPr>
      <w:r w:rsidRPr="00AB31FD">
        <w:rPr>
          <w:rFonts w:ascii="Arial" w:hAnsi="Arial" w:cs="Arial"/>
          <w:sz w:val="24"/>
          <w:szCs w:val="24"/>
        </w:rPr>
        <w:t>The responsibility for safeguarding vulnerable older persons lies with state and territory governments but aged care policy direction has been taken up enthusiastically by the Commonwealth and service delivery controlled by means of tied grants. The Commonwealth does not have the constitutional power to effect comprehensive elder abuse prevention and response framework other than by funding a scheme which would administer by the states and delivered by a network of agencies and bodies.</w:t>
      </w:r>
      <w:r w:rsidRPr="00AB31FD">
        <w:rPr>
          <w:rStyle w:val="FootnoteReference"/>
          <w:rFonts w:ascii="Arial" w:hAnsi="Arial" w:cs="Arial"/>
          <w:sz w:val="24"/>
          <w:szCs w:val="24"/>
        </w:rPr>
        <w:footnoteReference w:id="5"/>
      </w:r>
      <w:r w:rsidRPr="00AB31FD">
        <w:rPr>
          <w:rFonts w:ascii="Arial" w:hAnsi="Arial" w:cs="Arial"/>
          <w:sz w:val="24"/>
          <w:szCs w:val="24"/>
        </w:rPr>
        <w:t xml:space="preserve"> At a state level there is no single body charged with the </w:t>
      </w:r>
      <w:r w:rsidRPr="00AB31FD">
        <w:rPr>
          <w:rFonts w:ascii="Arial" w:hAnsi="Arial" w:cs="Arial"/>
          <w:sz w:val="24"/>
          <w:szCs w:val="24"/>
        </w:rPr>
        <w:lastRenderedPageBreak/>
        <w:t>responsibility to investigate elder abuse claims and only police have the investigative authority.</w:t>
      </w:r>
    </w:p>
    <w:p w:rsidR="006459DA" w:rsidRPr="00AB31FD" w:rsidRDefault="006459DA" w:rsidP="006459DA">
      <w:pPr>
        <w:spacing w:line="276" w:lineRule="auto"/>
        <w:rPr>
          <w:rFonts w:ascii="Arial" w:hAnsi="Arial" w:cs="Arial"/>
          <w:sz w:val="24"/>
          <w:szCs w:val="24"/>
        </w:rPr>
      </w:pPr>
    </w:p>
    <w:p w:rsidR="006459DA" w:rsidRPr="00AB31FD" w:rsidRDefault="006459DA" w:rsidP="006459DA">
      <w:pPr>
        <w:spacing w:line="276" w:lineRule="auto"/>
        <w:rPr>
          <w:rFonts w:ascii="Arial" w:hAnsi="Arial" w:cs="Arial"/>
          <w:sz w:val="24"/>
          <w:szCs w:val="24"/>
        </w:rPr>
      </w:pPr>
      <w:r w:rsidRPr="00AB31FD">
        <w:rPr>
          <w:rFonts w:ascii="Arial" w:hAnsi="Arial" w:cs="Arial"/>
          <w:sz w:val="24"/>
          <w:szCs w:val="24"/>
        </w:rPr>
        <w:t xml:space="preserve">The </w:t>
      </w:r>
      <w:r w:rsidRPr="00AB31FD">
        <w:rPr>
          <w:rFonts w:ascii="Arial" w:hAnsi="Arial" w:cs="Arial"/>
          <w:i/>
          <w:sz w:val="24"/>
          <w:szCs w:val="24"/>
        </w:rPr>
        <w:t>Aged Care Act 1997</w:t>
      </w:r>
      <w:r w:rsidRPr="00AB31FD">
        <w:rPr>
          <w:rFonts w:ascii="Arial" w:hAnsi="Arial" w:cs="Arial"/>
          <w:sz w:val="24"/>
          <w:szCs w:val="24"/>
        </w:rPr>
        <w:t xml:space="preserve"> provides for an accreditation based quality assurance system necessary for funding of service providers.  Under this model the avenues of accountability are the:</w:t>
      </w:r>
    </w:p>
    <w:p w:rsidR="006459DA" w:rsidRPr="00AB31FD" w:rsidRDefault="006459DA" w:rsidP="006459DA">
      <w:pPr>
        <w:spacing w:line="276" w:lineRule="auto"/>
        <w:rPr>
          <w:rFonts w:ascii="Arial" w:hAnsi="Arial" w:cs="Arial"/>
          <w:sz w:val="24"/>
          <w:szCs w:val="24"/>
        </w:rPr>
      </w:pPr>
    </w:p>
    <w:p w:rsidR="006459DA" w:rsidRPr="00AB31FD" w:rsidRDefault="006459DA" w:rsidP="006459DA">
      <w:pPr>
        <w:numPr>
          <w:ilvl w:val="0"/>
          <w:numId w:val="7"/>
        </w:numPr>
        <w:spacing w:line="276" w:lineRule="auto"/>
        <w:rPr>
          <w:rFonts w:ascii="Arial" w:hAnsi="Arial" w:cs="Arial"/>
          <w:sz w:val="24"/>
          <w:szCs w:val="24"/>
        </w:rPr>
      </w:pPr>
      <w:r w:rsidRPr="00AB31FD">
        <w:rPr>
          <w:rFonts w:ascii="Arial" w:hAnsi="Arial" w:cs="Arial"/>
          <w:sz w:val="24"/>
          <w:szCs w:val="24"/>
        </w:rPr>
        <w:t>Aged Care Quality agency;</w:t>
      </w:r>
    </w:p>
    <w:p w:rsidR="006459DA" w:rsidRPr="00AB31FD" w:rsidRDefault="006459DA" w:rsidP="006459DA">
      <w:pPr>
        <w:numPr>
          <w:ilvl w:val="0"/>
          <w:numId w:val="7"/>
        </w:numPr>
        <w:spacing w:line="276" w:lineRule="auto"/>
        <w:rPr>
          <w:rFonts w:ascii="Arial" w:hAnsi="Arial" w:cs="Arial"/>
          <w:sz w:val="24"/>
          <w:szCs w:val="24"/>
        </w:rPr>
      </w:pPr>
      <w:r w:rsidRPr="00AB31FD">
        <w:rPr>
          <w:rFonts w:ascii="Arial" w:hAnsi="Arial" w:cs="Arial"/>
          <w:sz w:val="24"/>
          <w:szCs w:val="24"/>
        </w:rPr>
        <w:t>Aged Care complaints line;</w:t>
      </w:r>
    </w:p>
    <w:p w:rsidR="006459DA" w:rsidRPr="00AB31FD" w:rsidRDefault="006459DA" w:rsidP="006459DA">
      <w:pPr>
        <w:numPr>
          <w:ilvl w:val="0"/>
          <w:numId w:val="7"/>
        </w:numPr>
        <w:spacing w:line="276" w:lineRule="auto"/>
        <w:rPr>
          <w:rFonts w:ascii="Arial" w:hAnsi="Arial" w:cs="Arial"/>
          <w:sz w:val="24"/>
          <w:szCs w:val="24"/>
        </w:rPr>
      </w:pPr>
      <w:r w:rsidRPr="00AB31FD">
        <w:rPr>
          <w:rFonts w:ascii="Arial" w:hAnsi="Arial" w:cs="Arial"/>
          <w:sz w:val="24"/>
          <w:szCs w:val="24"/>
        </w:rPr>
        <w:t>Mandatory reporting;</w:t>
      </w:r>
    </w:p>
    <w:p w:rsidR="006459DA" w:rsidRPr="00AB31FD" w:rsidRDefault="006459DA" w:rsidP="006459DA">
      <w:pPr>
        <w:numPr>
          <w:ilvl w:val="0"/>
          <w:numId w:val="7"/>
        </w:numPr>
        <w:spacing w:line="276" w:lineRule="auto"/>
        <w:rPr>
          <w:rFonts w:ascii="Arial" w:hAnsi="Arial" w:cs="Arial"/>
          <w:sz w:val="24"/>
          <w:szCs w:val="24"/>
        </w:rPr>
      </w:pPr>
      <w:r w:rsidRPr="00AB31FD">
        <w:rPr>
          <w:rFonts w:ascii="Arial" w:hAnsi="Arial" w:cs="Arial"/>
          <w:sz w:val="24"/>
          <w:szCs w:val="24"/>
        </w:rPr>
        <w:t>Aged Care commissioner’s  office; and</w:t>
      </w:r>
    </w:p>
    <w:p w:rsidR="006459DA" w:rsidRPr="00AB31FD" w:rsidRDefault="006459DA" w:rsidP="006459DA">
      <w:pPr>
        <w:numPr>
          <w:ilvl w:val="0"/>
          <w:numId w:val="7"/>
        </w:numPr>
        <w:spacing w:line="276" w:lineRule="auto"/>
        <w:rPr>
          <w:rFonts w:ascii="Arial" w:hAnsi="Arial" w:cs="Arial"/>
          <w:sz w:val="24"/>
          <w:szCs w:val="24"/>
        </w:rPr>
      </w:pPr>
      <w:r w:rsidRPr="00AB31FD">
        <w:rPr>
          <w:rFonts w:ascii="Arial" w:hAnsi="Arial" w:cs="Arial"/>
          <w:sz w:val="24"/>
          <w:szCs w:val="24"/>
        </w:rPr>
        <w:t>National aged care advocacy program.</w:t>
      </w:r>
    </w:p>
    <w:p w:rsidR="006459DA" w:rsidRPr="00AB31FD" w:rsidRDefault="006459DA" w:rsidP="006459DA">
      <w:pPr>
        <w:spacing w:line="276" w:lineRule="auto"/>
        <w:rPr>
          <w:rFonts w:ascii="Arial" w:hAnsi="Arial" w:cs="Arial"/>
          <w:sz w:val="24"/>
          <w:szCs w:val="24"/>
        </w:rPr>
      </w:pPr>
    </w:p>
    <w:p w:rsidR="006459DA" w:rsidRPr="00AB31FD" w:rsidRDefault="006459DA" w:rsidP="006459DA">
      <w:pPr>
        <w:spacing w:line="276" w:lineRule="auto"/>
        <w:rPr>
          <w:rFonts w:ascii="Arial" w:hAnsi="Arial" w:cs="Arial"/>
          <w:sz w:val="24"/>
          <w:szCs w:val="24"/>
        </w:rPr>
      </w:pPr>
      <w:r w:rsidRPr="00AB31FD">
        <w:rPr>
          <w:rFonts w:ascii="Arial" w:hAnsi="Arial" w:cs="Arial"/>
          <w:sz w:val="24"/>
          <w:szCs w:val="24"/>
        </w:rPr>
        <w:t>The effectiveness of the first three of these is discussed below.</w:t>
      </w:r>
    </w:p>
    <w:p w:rsidR="006459DA" w:rsidRDefault="006459DA" w:rsidP="006459DA">
      <w:pPr>
        <w:spacing w:line="276" w:lineRule="auto"/>
        <w:rPr>
          <w:rFonts w:ascii="Arial" w:hAnsi="Arial" w:cs="Arial"/>
          <w:sz w:val="24"/>
          <w:szCs w:val="24"/>
          <w:u w:val="single"/>
        </w:rPr>
      </w:pPr>
    </w:p>
    <w:p w:rsidR="006459DA" w:rsidRPr="009D2547" w:rsidRDefault="006459DA" w:rsidP="006459DA">
      <w:pPr>
        <w:spacing w:line="276" w:lineRule="auto"/>
        <w:rPr>
          <w:rFonts w:ascii="Arial" w:hAnsi="Arial" w:cs="Arial"/>
          <w:sz w:val="24"/>
          <w:szCs w:val="24"/>
        </w:rPr>
      </w:pPr>
      <w:r w:rsidRPr="009D2547">
        <w:rPr>
          <w:rFonts w:ascii="Arial" w:hAnsi="Arial" w:cs="Arial"/>
          <w:sz w:val="24"/>
          <w:szCs w:val="24"/>
        </w:rPr>
        <w:t>The Aged Care quality standards</w:t>
      </w:r>
    </w:p>
    <w:p w:rsidR="006459DA" w:rsidRPr="00AB31FD" w:rsidRDefault="006459DA" w:rsidP="006459DA">
      <w:pPr>
        <w:spacing w:line="276" w:lineRule="auto"/>
        <w:rPr>
          <w:rFonts w:ascii="Arial" w:hAnsi="Arial" w:cs="Arial"/>
          <w:sz w:val="24"/>
          <w:szCs w:val="24"/>
        </w:rPr>
      </w:pPr>
    </w:p>
    <w:p w:rsidR="006459DA" w:rsidRPr="00AB31FD" w:rsidRDefault="006459DA" w:rsidP="006459DA">
      <w:pPr>
        <w:spacing w:line="276" w:lineRule="auto"/>
        <w:rPr>
          <w:rFonts w:ascii="Arial" w:hAnsi="Arial" w:cs="Arial"/>
          <w:sz w:val="24"/>
          <w:szCs w:val="24"/>
        </w:rPr>
      </w:pPr>
      <w:r w:rsidRPr="00AB31FD">
        <w:rPr>
          <w:rFonts w:ascii="Arial" w:hAnsi="Arial" w:cs="Arial"/>
          <w:sz w:val="24"/>
          <w:szCs w:val="24"/>
        </w:rPr>
        <w:t xml:space="preserve">The standards contained in the quality of care principles have failed to be incorporated in the standard of care component of the general law of negligence as they are not viewed as ascribing rights to any other person. The author Rodney Lewis </w:t>
      </w:r>
      <w:r w:rsidRPr="00AB31FD">
        <w:rPr>
          <w:rStyle w:val="FootnoteReference"/>
          <w:rFonts w:ascii="Arial" w:hAnsi="Arial" w:cs="Arial"/>
          <w:sz w:val="24"/>
          <w:szCs w:val="24"/>
        </w:rPr>
        <w:footnoteReference w:id="6"/>
      </w:r>
      <w:r w:rsidRPr="00AB31FD">
        <w:rPr>
          <w:rFonts w:ascii="Arial" w:hAnsi="Arial" w:cs="Arial"/>
          <w:sz w:val="24"/>
          <w:szCs w:val="24"/>
        </w:rPr>
        <w:t xml:space="preserve"> considered the case of   </w:t>
      </w:r>
      <w:r w:rsidRPr="00AB31FD">
        <w:rPr>
          <w:rFonts w:ascii="Arial" w:hAnsi="Arial" w:cs="Arial"/>
          <w:i/>
          <w:sz w:val="24"/>
          <w:szCs w:val="24"/>
        </w:rPr>
        <w:t xml:space="preserve">Rosenthal v The Sir Moses </w:t>
      </w:r>
      <w:proofErr w:type="spellStart"/>
      <w:r w:rsidRPr="00AB31FD">
        <w:rPr>
          <w:rFonts w:ascii="Arial" w:hAnsi="Arial" w:cs="Arial"/>
          <w:i/>
          <w:sz w:val="24"/>
          <w:szCs w:val="24"/>
        </w:rPr>
        <w:t>Montefiore</w:t>
      </w:r>
      <w:proofErr w:type="spellEnd"/>
      <w:r w:rsidRPr="00AB31FD">
        <w:rPr>
          <w:rFonts w:ascii="Arial" w:hAnsi="Arial" w:cs="Arial"/>
          <w:i/>
          <w:sz w:val="24"/>
          <w:szCs w:val="24"/>
        </w:rPr>
        <w:t xml:space="preserve"> Jewish home</w:t>
      </w:r>
      <w:r w:rsidRPr="00AB31FD">
        <w:rPr>
          <w:rFonts w:ascii="Arial" w:hAnsi="Arial" w:cs="Arial"/>
          <w:sz w:val="24"/>
          <w:szCs w:val="24"/>
        </w:rPr>
        <w:t xml:space="preserve"> (no. 2) SC NSW 31 August 1995 (unreported) in which His Honour Mr Justice Young said “a standard is not a law that creates a legal duty or creates a right. It merely sets out minimum requirements for a body to retain its licence or to retain Commonwealth funding.” His honour also made the observation that “it is abundantly clear then, whatever else the law may provide by way of relief to claimants…. It is of little assistance to complain about a breach of standards.”</w:t>
      </w:r>
    </w:p>
    <w:p w:rsidR="006459DA" w:rsidRPr="00AB31FD" w:rsidRDefault="006459DA" w:rsidP="006459DA">
      <w:pPr>
        <w:spacing w:line="276" w:lineRule="auto"/>
        <w:rPr>
          <w:rFonts w:ascii="Arial" w:hAnsi="Arial" w:cs="Arial"/>
          <w:sz w:val="24"/>
          <w:szCs w:val="24"/>
        </w:rPr>
      </w:pPr>
    </w:p>
    <w:p w:rsidR="006459DA" w:rsidRPr="00AB31FD" w:rsidRDefault="006459DA" w:rsidP="009D2547">
      <w:pPr>
        <w:spacing w:line="276" w:lineRule="auto"/>
        <w:rPr>
          <w:rFonts w:ascii="Arial" w:hAnsi="Arial" w:cs="Arial"/>
          <w:sz w:val="24"/>
          <w:szCs w:val="24"/>
        </w:rPr>
      </w:pPr>
      <w:r w:rsidRPr="00AB31FD">
        <w:rPr>
          <w:rFonts w:ascii="Arial" w:hAnsi="Arial" w:cs="Arial"/>
          <w:sz w:val="24"/>
          <w:szCs w:val="24"/>
        </w:rPr>
        <w:t xml:space="preserve">On this model complaints serve as an opportunity to improve quality of care and not to uphold individual rights. </w:t>
      </w:r>
    </w:p>
    <w:p w:rsidR="006459DA" w:rsidRPr="00AB31FD" w:rsidRDefault="006459DA" w:rsidP="006459DA">
      <w:pPr>
        <w:spacing w:line="276" w:lineRule="auto"/>
        <w:rPr>
          <w:rFonts w:ascii="Arial" w:hAnsi="Arial" w:cs="Arial"/>
          <w:sz w:val="24"/>
          <w:szCs w:val="24"/>
        </w:rPr>
      </w:pPr>
    </w:p>
    <w:p w:rsidR="006459DA" w:rsidRPr="00AB31FD" w:rsidRDefault="006459DA" w:rsidP="006459DA">
      <w:pPr>
        <w:spacing w:line="276" w:lineRule="auto"/>
        <w:rPr>
          <w:rFonts w:ascii="Arial" w:hAnsi="Arial" w:cs="Arial"/>
          <w:sz w:val="24"/>
          <w:szCs w:val="24"/>
          <w:u w:val="single"/>
        </w:rPr>
      </w:pPr>
      <w:r w:rsidRPr="00AB31FD">
        <w:rPr>
          <w:rFonts w:ascii="Arial" w:hAnsi="Arial" w:cs="Arial"/>
          <w:sz w:val="24"/>
          <w:szCs w:val="24"/>
          <w:u w:val="single"/>
        </w:rPr>
        <w:t>Mandatory reporting under the Act</w:t>
      </w:r>
    </w:p>
    <w:p w:rsidR="006459DA" w:rsidRPr="00AB31FD" w:rsidRDefault="006459DA" w:rsidP="006459DA">
      <w:pPr>
        <w:spacing w:line="276" w:lineRule="auto"/>
        <w:rPr>
          <w:rFonts w:ascii="Arial" w:hAnsi="Arial" w:cs="Arial"/>
          <w:sz w:val="24"/>
          <w:szCs w:val="24"/>
        </w:rPr>
      </w:pPr>
    </w:p>
    <w:p w:rsidR="006459DA" w:rsidRPr="00AB31FD" w:rsidRDefault="006459DA" w:rsidP="006459DA">
      <w:pPr>
        <w:spacing w:line="276" w:lineRule="auto"/>
        <w:rPr>
          <w:rFonts w:ascii="Arial" w:hAnsi="Arial" w:cs="Arial"/>
          <w:sz w:val="24"/>
          <w:szCs w:val="24"/>
        </w:rPr>
      </w:pPr>
      <w:r w:rsidRPr="00AB31FD">
        <w:rPr>
          <w:rFonts w:ascii="Arial" w:hAnsi="Arial" w:cs="Arial"/>
          <w:sz w:val="24"/>
          <w:szCs w:val="24"/>
        </w:rPr>
        <w:t xml:space="preserve">When abuse occurs in a residential setting, the commonwealth legislations </w:t>
      </w:r>
      <w:proofErr w:type="gramStart"/>
      <w:r w:rsidRPr="00AB31FD">
        <w:rPr>
          <w:rFonts w:ascii="Arial" w:hAnsi="Arial" w:cs="Arial"/>
          <w:sz w:val="24"/>
          <w:szCs w:val="24"/>
        </w:rPr>
        <w:t>refers</w:t>
      </w:r>
      <w:proofErr w:type="gramEnd"/>
      <w:r w:rsidRPr="00AB31FD">
        <w:rPr>
          <w:rFonts w:ascii="Arial" w:hAnsi="Arial" w:cs="Arial"/>
          <w:sz w:val="24"/>
          <w:szCs w:val="24"/>
        </w:rPr>
        <w:t xml:space="preserve"> investigation to state agencies.  s. 63 (1AA) </w:t>
      </w:r>
      <w:r w:rsidRPr="00AB31FD">
        <w:rPr>
          <w:rFonts w:ascii="Arial" w:hAnsi="Arial" w:cs="Arial"/>
          <w:i/>
          <w:sz w:val="24"/>
          <w:szCs w:val="24"/>
        </w:rPr>
        <w:t>Aged Care Act 1997</w:t>
      </w:r>
      <w:r w:rsidRPr="00AB31FD">
        <w:rPr>
          <w:rFonts w:ascii="Arial" w:hAnsi="Arial" w:cs="Arial"/>
          <w:sz w:val="24"/>
          <w:szCs w:val="24"/>
        </w:rPr>
        <w:t xml:space="preserve"> obliges residential care providers to report to both the department and the state police “alleged or suspected unlawful sexual contact, unreasonable use of force or assault </w:t>
      </w:r>
      <w:r w:rsidR="00D52C88">
        <w:rPr>
          <w:rFonts w:ascii="Arial" w:hAnsi="Arial" w:cs="Arial"/>
          <w:sz w:val="24"/>
          <w:szCs w:val="24"/>
        </w:rPr>
        <w:t>…</w:t>
      </w:r>
      <w:r w:rsidRPr="00AB31FD">
        <w:rPr>
          <w:rFonts w:ascii="Arial" w:hAnsi="Arial" w:cs="Arial"/>
          <w:sz w:val="24"/>
          <w:szCs w:val="24"/>
        </w:rPr>
        <w:t>constituting a criminal offence under the law of the state.”</w:t>
      </w:r>
    </w:p>
    <w:p w:rsidR="006459DA" w:rsidRPr="00AB31FD" w:rsidRDefault="006459DA" w:rsidP="006459DA">
      <w:pPr>
        <w:spacing w:line="276" w:lineRule="auto"/>
        <w:rPr>
          <w:rFonts w:ascii="Arial" w:hAnsi="Arial" w:cs="Arial"/>
          <w:sz w:val="24"/>
          <w:szCs w:val="24"/>
        </w:rPr>
      </w:pPr>
    </w:p>
    <w:p w:rsidR="006459DA" w:rsidRPr="00AB31FD" w:rsidRDefault="006459DA" w:rsidP="006459DA">
      <w:pPr>
        <w:spacing w:line="276" w:lineRule="auto"/>
        <w:rPr>
          <w:rFonts w:ascii="Arial" w:hAnsi="Arial" w:cs="Arial"/>
          <w:sz w:val="24"/>
          <w:szCs w:val="24"/>
        </w:rPr>
      </w:pPr>
      <w:r w:rsidRPr="00AB31FD">
        <w:rPr>
          <w:rFonts w:ascii="Arial" w:hAnsi="Arial" w:cs="Arial"/>
          <w:sz w:val="24"/>
          <w:szCs w:val="24"/>
        </w:rPr>
        <w:t xml:space="preserve">The obvious restrictions are that there must be a physical or sexual assault of a standard that qualifies it as an offence under state law. The obligation lies on the </w:t>
      </w:r>
      <w:r w:rsidRPr="00AB31FD">
        <w:rPr>
          <w:rFonts w:ascii="Arial" w:hAnsi="Arial" w:cs="Arial"/>
          <w:sz w:val="24"/>
          <w:szCs w:val="24"/>
        </w:rPr>
        <w:lastRenderedPageBreak/>
        <w:t xml:space="preserve">provider to report and so must decide whether the conduct amounts to a criminal offence. </w:t>
      </w:r>
    </w:p>
    <w:p w:rsidR="006459DA" w:rsidRPr="00AB31FD" w:rsidRDefault="006459DA" w:rsidP="006459DA">
      <w:pPr>
        <w:spacing w:line="276" w:lineRule="auto"/>
        <w:rPr>
          <w:rFonts w:ascii="Arial" w:hAnsi="Arial" w:cs="Arial"/>
          <w:sz w:val="24"/>
          <w:szCs w:val="24"/>
        </w:rPr>
      </w:pPr>
    </w:p>
    <w:p w:rsidR="006459DA" w:rsidRDefault="006459DA" w:rsidP="006459DA">
      <w:pPr>
        <w:spacing w:line="276" w:lineRule="auto"/>
        <w:rPr>
          <w:rFonts w:ascii="Arial" w:hAnsi="Arial" w:cs="Arial"/>
          <w:sz w:val="24"/>
          <w:szCs w:val="24"/>
        </w:rPr>
      </w:pPr>
      <w:r w:rsidRPr="00AB31FD">
        <w:rPr>
          <w:rFonts w:ascii="Arial" w:hAnsi="Arial" w:cs="Arial"/>
          <w:sz w:val="24"/>
          <w:szCs w:val="24"/>
        </w:rPr>
        <w:t xml:space="preserve">This restrictive approach means that neglect or failure of care that falls short of assault will not be reported.  There is no obligation to report a theft of an older person’s property or an abuse of their human rights under this provision. The reluctance of police to investigate and the difficulties for them of obtaining evidence </w:t>
      </w:r>
      <w:proofErr w:type="gramStart"/>
      <w:r w:rsidR="009D2547">
        <w:rPr>
          <w:rFonts w:ascii="Arial" w:hAnsi="Arial" w:cs="Arial"/>
          <w:sz w:val="24"/>
          <w:szCs w:val="24"/>
        </w:rPr>
        <w:t>are</w:t>
      </w:r>
      <w:proofErr w:type="gramEnd"/>
      <w:r w:rsidR="009D2547">
        <w:rPr>
          <w:rFonts w:ascii="Arial" w:hAnsi="Arial" w:cs="Arial"/>
          <w:sz w:val="24"/>
          <w:szCs w:val="24"/>
        </w:rPr>
        <w:t xml:space="preserve"> referred to below. </w:t>
      </w:r>
    </w:p>
    <w:p w:rsidR="009D2547" w:rsidRPr="00AB31FD" w:rsidRDefault="009D2547" w:rsidP="006459DA">
      <w:pPr>
        <w:spacing w:line="276" w:lineRule="auto"/>
        <w:rPr>
          <w:rFonts w:ascii="Arial" w:hAnsi="Arial" w:cs="Arial"/>
          <w:sz w:val="24"/>
          <w:szCs w:val="24"/>
        </w:rPr>
      </w:pPr>
    </w:p>
    <w:p w:rsidR="006459DA" w:rsidRPr="00AB31FD" w:rsidRDefault="006459DA" w:rsidP="006459DA">
      <w:pPr>
        <w:spacing w:line="276" w:lineRule="auto"/>
        <w:rPr>
          <w:rFonts w:ascii="Arial" w:hAnsi="Arial" w:cs="Arial"/>
          <w:sz w:val="24"/>
          <w:szCs w:val="24"/>
          <w:u w:val="single"/>
        </w:rPr>
      </w:pPr>
      <w:r w:rsidRPr="00AB31FD">
        <w:rPr>
          <w:rFonts w:ascii="Arial" w:hAnsi="Arial" w:cs="Arial"/>
          <w:sz w:val="24"/>
          <w:szCs w:val="24"/>
          <w:u w:val="single"/>
        </w:rPr>
        <w:t xml:space="preserve">The Charter of Resident Rights and Responsibilities  </w:t>
      </w:r>
    </w:p>
    <w:p w:rsidR="009D2547" w:rsidRPr="00AB31FD" w:rsidRDefault="009D2547" w:rsidP="009D2547">
      <w:pPr>
        <w:spacing w:line="276" w:lineRule="auto"/>
        <w:rPr>
          <w:rFonts w:ascii="Arial" w:hAnsi="Arial" w:cs="Arial"/>
          <w:sz w:val="24"/>
          <w:szCs w:val="24"/>
        </w:rPr>
      </w:pPr>
      <w:r w:rsidRPr="00AB31FD">
        <w:rPr>
          <w:rFonts w:ascii="Arial" w:hAnsi="Arial" w:cs="Arial"/>
          <w:sz w:val="24"/>
          <w:szCs w:val="24"/>
        </w:rPr>
        <w:t xml:space="preserve">In a similar way the Charter of residents rights and responsibilities, enacted as a schedule to the </w:t>
      </w:r>
      <w:r w:rsidRPr="00AB31FD">
        <w:rPr>
          <w:rFonts w:ascii="Arial" w:hAnsi="Arial" w:cs="Arial"/>
          <w:i/>
          <w:sz w:val="24"/>
          <w:szCs w:val="24"/>
        </w:rPr>
        <w:t>Aged Care Act User Rights Principles 2014</w:t>
      </w:r>
      <w:r w:rsidRPr="00AB31FD">
        <w:rPr>
          <w:rFonts w:ascii="Arial" w:hAnsi="Arial" w:cs="Arial"/>
          <w:sz w:val="24"/>
          <w:szCs w:val="24"/>
        </w:rPr>
        <w:t xml:space="preserve"> asserts that the rights of residents  to  have access to advocates and other avenues of redress.</w:t>
      </w:r>
      <w:r w:rsidRPr="00AB31FD">
        <w:rPr>
          <w:rStyle w:val="FootnoteReference"/>
          <w:rFonts w:ascii="Arial" w:hAnsi="Arial" w:cs="Arial"/>
          <w:sz w:val="24"/>
          <w:szCs w:val="24"/>
        </w:rPr>
        <w:footnoteReference w:id="7"/>
      </w:r>
    </w:p>
    <w:p w:rsidR="009D2547" w:rsidRDefault="009D2547" w:rsidP="006459DA">
      <w:pPr>
        <w:spacing w:line="276" w:lineRule="auto"/>
        <w:rPr>
          <w:rFonts w:ascii="Arial" w:hAnsi="Arial" w:cs="Arial"/>
          <w:sz w:val="24"/>
          <w:szCs w:val="24"/>
        </w:rPr>
      </w:pPr>
    </w:p>
    <w:p w:rsidR="006459DA" w:rsidRPr="00AB31FD" w:rsidRDefault="006459DA" w:rsidP="006459DA">
      <w:pPr>
        <w:spacing w:line="276" w:lineRule="auto"/>
        <w:rPr>
          <w:rFonts w:ascii="Arial" w:hAnsi="Arial" w:cs="Arial"/>
          <w:sz w:val="24"/>
          <w:szCs w:val="24"/>
        </w:rPr>
      </w:pPr>
      <w:r w:rsidRPr="00AB31FD">
        <w:rPr>
          <w:rFonts w:ascii="Arial" w:hAnsi="Arial" w:cs="Arial"/>
          <w:sz w:val="24"/>
          <w:szCs w:val="24"/>
        </w:rPr>
        <w:t xml:space="preserve">It is trite to observe that we do not currently have a Commonwealth bill of rights. Under the </w:t>
      </w:r>
      <w:r w:rsidRPr="00AB31FD">
        <w:rPr>
          <w:rFonts w:ascii="Arial" w:hAnsi="Arial" w:cs="Arial"/>
          <w:i/>
          <w:sz w:val="24"/>
          <w:szCs w:val="24"/>
        </w:rPr>
        <w:t>Aged Care Act 1997</w:t>
      </w:r>
      <w:r w:rsidRPr="00AB31FD">
        <w:rPr>
          <w:rFonts w:ascii="Arial" w:hAnsi="Arial" w:cs="Arial"/>
          <w:sz w:val="24"/>
          <w:szCs w:val="24"/>
        </w:rPr>
        <w:t xml:space="preserve"> the Charter of </w:t>
      </w:r>
      <w:proofErr w:type="gramStart"/>
      <w:r w:rsidRPr="00AB31FD">
        <w:rPr>
          <w:rFonts w:ascii="Arial" w:hAnsi="Arial" w:cs="Arial"/>
          <w:sz w:val="24"/>
          <w:szCs w:val="24"/>
        </w:rPr>
        <w:t>residents</w:t>
      </w:r>
      <w:proofErr w:type="gramEnd"/>
      <w:r w:rsidRPr="00AB31FD">
        <w:rPr>
          <w:rFonts w:ascii="Arial" w:hAnsi="Arial" w:cs="Arial"/>
          <w:sz w:val="24"/>
          <w:szCs w:val="24"/>
        </w:rPr>
        <w:t xml:space="preserve"> rights and responsibilities is set out in a schedule 1 of the User Rights principles (2014) pursuant to s. 23.25 of the Principles.  The charter clearly provides that a resident has rights to </w:t>
      </w:r>
      <w:proofErr w:type="gramStart"/>
      <w:r w:rsidRPr="00AB31FD">
        <w:rPr>
          <w:rFonts w:ascii="Arial" w:hAnsi="Arial" w:cs="Arial"/>
          <w:sz w:val="24"/>
          <w:szCs w:val="24"/>
        </w:rPr>
        <w:t>be  absent</w:t>
      </w:r>
      <w:proofErr w:type="gramEnd"/>
      <w:r w:rsidRPr="00AB31FD">
        <w:rPr>
          <w:rFonts w:ascii="Arial" w:hAnsi="Arial" w:cs="Arial"/>
          <w:sz w:val="24"/>
          <w:szCs w:val="24"/>
        </w:rPr>
        <w:t xml:space="preserve"> from the residence for a period of time as well as range of other rights.  The issue is what is the legal status of these charter rights?  Who can enforce them?</w:t>
      </w:r>
    </w:p>
    <w:p w:rsidR="006459DA" w:rsidRPr="00AB31FD" w:rsidRDefault="006459DA" w:rsidP="006459DA">
      <w:pPr>
        <w:spacing w:line="276" w:lineRule="auto"/>
        <w:rPr>
          <w:rFonts w:ascii="Arial" w:hAnsi="Arial" w:cs="Arial"/>
          <w:sz w:val="24"/>
          <w:szCs w:val="24"/>
        </w:rPr>
      </w:pPr>
    </w:p>
    <w:p w:rsidR="006459DA" w:rsidRPr="00AB31FD" w:rsidRDefault="006459DA" w:rsidP="006459DA">
      <w:pPr>
        <w:spacing w:line="276" w:lineRule="auto"/>
        <w:rPr>
          <w:rFonts w:ascii="Arial" w:hAnsi="Arial" w:cs="Arial"/>
          <w:sz w:val="24"/>
          <w:szCs w:val="24"/>
        </w:rPr>
      </w:pPr>
      <w:r w:rsidRPr="00AB31FD">
        <w:rPr>
          <w:rFonts w:ascii="Arial" w:hAnsi="Arial" w:cs="Arial"/>
          <w:sz w:val="24"/>
          <w:szCs w:val="24"/>
        </w:rPr>
        <w:t>Both the charter and the complaints scheme are interpreted as simply conditions of accreditation for service providers.  Accordingly the adverse consequence to the service provider of a breach is only the possibility of receiving a Notice of required action.  The charter has been described as being unenforceable and does not provide for remedies to the resident for breach.</w:t>
      </w:r>
      <w:r w:rsidRPr="00AB31FD">
        <w:rPr>
          <w:rStyle w:val="FootnoteReference"/>
          <w:rFonts w:ascii="Arial" w:hAnsi="Arial" w:cs="Arial"/>
          <w:sz w:val="24"/>
          <w:szCs w:val="24"/>
        </w:rPr>
        <w:footnoteReference w:id="8"/>
      </w:r>
    </w:p>
    <w:p w:rsidR="006459DA" w:rsidRPr="00AB31FD" w:rsidRDefault="006459DA" w:rsidP="006459DA">
      <w:pPr>
        <w:spacing w:line="276" w:lineRule="auto"/>
        <w:rPr>
          <w:rFonts w:ascii="Arial" w:hAnsi="Arial" w:cs="Arial"/>
          <w:sz w:val="24"/>
          <w:szCs w:val="24"/>
        </w:rPr>
      </w:pPr>
    </w:p>
    <w:p w:rsidR="006459DA" w:rsidRDefault="005569DC" w:rsidP="006459DA">
      <w:pPr>
        <w:spacing w:line="276" w:lineRule="auto"/>
        <w:rPr>
          <w:rFonts w:ascii="Arial" w:hAnsi="Arial" w:cs="Arial"/>
          <w:sz w:val="24"/>
          <w:szCs w:val="24"/>
        </w:rPr>
      </w:pPr>
      <w:r>
        <w:rPr>
          <w:rFonts w:ascii="Arial" w:hAnsi="Arial" w:cs="Arial"/>
          <w:sz w:val="24"/>
          <w:szCs w:val="24"/>
        </w:rPr>
        <w:t>In ot</w:t>
      </w:r>
      <w:r w:rsidR="006459DA" w:rsidRPr="00AB31FD">
        <w:rPr>
          <w:rFonts w:ascii="Arial" w:hAnsi="Arial" w:cs="Arial"/>
          <w:sz w:val="24"/>
          <w:szCs w:val="24"/>
        </w:rPr>
        <w:t xml:space="preserve">her words, the Charter of rights as it currently stands exists as a contractual obligation between the commonwealth and the service providers it regulates. </w:t>
      </w:r>
      <w:r>
        <w:rPr>
          <w:rFonts w:ascii="Arial" w:hAnsi="Arial" w:cs="Arial"/>
          <w:sz w:val="24"/>
          <w:szCs w:val="24"/>
        </w:rPr>
        <w:t>H</w:t>
      </w:r>
      <w:r w:rsidR="006459DA" w:rsidRPr="00AB31FD">
        <w:rPr>
          <w:rFonts w:ascii="Arial" w:hAnsi="Arial" w:cs="Arial"/>
          <w:sz w:val="24"/>
          <w:szCs w:val="24"/>
        </w:rPr>
        <w:t xml:space="preserve">owever, it does not provide enforceable rights to older residents, despite the fact of it being writ large in every facility. </w:t>
      </w:r>
    </w:p>
    <w:p w:rsidR="005569DC" w:rsidRDefault="005569DC" w:rsidP="006459DA">
      <w:pPr>
        <w:spacing w:line="276" w:lineRule="auto"/>
        <w:rPr>
          <w:rFonts w:ascii="Arial" w:hAnsi="Arial" w:cs="Arial"/>
          <w:sz w:val="24"/>
          <w:szCs w:val="24"/>
        </w:rPr>
      </w:pPr>
    </w:p>
    <w:p w:rsidR="005569DC" w:rsidRPr="00AB31FD" w:rsidRDefault="005569DC" w:rsidP="005569DC">
      <w:pPr>
        <w:spacing w:line="276" w:lineRule="auto"/>
        <w:rPr>
          <w:rFonts w:ascii="Arial" w:hAnsi="Arial" w:cs="Arial"/>
          <w:sz w:val="24"/>
          <w:szCs w:val="24"/>
        </w:rPr>
      </w:pPr>
      <w:r w:rsidRPr="00AB31FD">
        <w:rPr>
          <w:rFonts w:ascii="Arial" w:hAnsi="Arial" w:cs="Arial"/>
          <w:sz w:val="24"/>
          <w:szCs w:val="24"/>
        </w:rPr>
        <w:t>This had led to the criticism that “The Charter of Resident rights and responsibilities informed the standards against which an aged care service is accredited; they are rarely raised in accreditation reviews.”</w:t>
      </w:r>
      <w:r w:rsidRPr="00AB31FD">
        <w:rPr>
          <w:rStyle w:val="FootnoteReference"/>
          <w:rFonts w:ascii="Arial" w:hAnsi="Arial" w:cs="Arial"/>
          <w:sz w:val="24"/>
          <w:szCs w:val="24"/>
        </w:rPr>
        <w:footnoteReference w:id="9"/>
      </w:r>
      <w:r w:rsidRPr="00AB31FD">
        <w:rPr>
          <w:rFonts w:ascii="Arial" w:hAnsi="Arial" w:cs="Arial"/>
          <w:sz w:val="24"/>
          <w:szCs w:val="24"/>
        </w:rPr>
        <w:t xml:space="preserve">  </w:t>
      </w:r>
    </w:p>
    <w:p w:rsidR="005569DC" w:rsidRDefault="005569DC" w:rsidP="005569DC">
      <w:pPr>
        <w:spacing w:line="276" w:lineRule="auto"/>
        <w:rPr>
          <w:rFonts w:ascii="Arial" w:hAnsi="Arial" w:cs="Arial"/>
          <w:sz w:val="24"/>
          <w:szCs w:val="24"/>
        </w:rPr>
      </w:pPr>
    </w:p>
    <w:p w:rsidR="005569DC" w:rsidRDefault="005569DC" w:rsidP="005569DC">
      <w:pPr>
        <w:spacing w:line="276" w:lineRule="auto"/>
        <w:rPr>
          <w:rFonts w:ascii="Arial" w:hAnsi="Arial" w:cs="Arial"/>
          <w:sz w:val="24"/>
          <w:szCs w:val="24"/>
        </w:rPr>
      </w:pPr>
      <w:r>
        <w:rPr>
          <w:rFonts w:ascii="Arial" w:hAnsi="Arial" w:cs="Arial"/>
          <w:sz w:val="24"/>
          <w:szCs w:val="24"/>
        </w:rPr>
        <w:t>Case study</w:t>
      </w:r>
      <w:r w:rsidR="00D52C88">
        <w:rPr>
          <w:rFonts w:ascii="Arial" w:hAnsi="Arial" w:cs="Arial"/>
          <w:sz w:val="24"/>
          <w:szCs w:val="24"/>
        </w:rPr>
        <w:t xml:space="preserve"> </w:t>
      </w:r>
      <w:proofErr w:type="gramStart"/>
      <w:r w:rsidR="00D52C88">
        <w:rPr>
          <w:rFonts w:ascii="Arial" w:hAnsi="Arial" w:cs="Arial"/>
          <w:sz w:val="24"/>
          <w:szCs w:val="24"/>
        </w:rPr>
        <w:t xml:space="preserve">- </w:t>
      </w:r>
      <w:r>
        <w:rPr>
          <w:rFonts w:ascii="Arial" w:hAnsi="Arial" w:cs="Arial"/>
          <w:sz w:val="24"/>
          <w:szCs w:val="24"/>
        </w:rPr>
        <w:t xml:space="preserve"> Max</w:t>
      </w:r>
      <w:proofErr w:type="gramEnd"/>
    </w:p>
    <w:p w:rsidR="005569DC" w:rsidRPr="00A62443" w:rsidRDefault="005569DC" w:rsidP="005569DC">
      <w:pPr>
        <w:pBdr>
          <w:top w:val="single" w:sz="4" w:space="1" w:color="auto"/>
          <w:left w:val="single" w:sz="4" w:space="4" w:color="auto"/>
          <w:bottom w:val="single" w:sz="4" w:space="1" w:color="auto"/>
          <w:right w:val="single" w:sz="4" w:space="4" w:color="auto"/>
        </w:pBdr>
        <w:spacing w:line="276" w:lineRule="auto"/>
        <w:rPr>
          <w:rFonts w:ascii="Arial" w:hAnsi="Arial" w:cs="Arial"/>
          <w:i/>
          <w:sz w:val="24"/>
          <w:szCs w:val="24"/>
        </w:rPr>
      </w:pPr>
      <w:r w:rsidRPr="00A62443">
        <w:rPr>
          <w:rFonts w:ascii="Arial" w:hAnsi="Arial" w:cs="Arial"/>
          <w:i/>
          <w:sz w:val="24"/>
          <w:szCs w:val="24"/>
        </w:rPr>
        <w:lastRenderedPageBreak/>
        <w:t>Another enquiry was taken from a man housed in residential care  who had been an eminent  engineer in his working life  He acknowledged he had high care needs but wanted to travel interstate  to attend an annual dinner which was being given his honour, (and actually named after him.)  He needed assistance with his plans to travel as he was very much immobilised. He couldn’t walk out with assistance. The residential care provider re</w:t>
      </w:r>
      <w:r>
        <w:rPr>
          <w:rFonts w:ascii="Arial" w:hAnsi="Arial" w:cs="Arial"/>
          <w:i/>
          <w:sz w:val="24"/>
          <w:szCs w:val="24"/>
        </w:rPr>
        <w:t>f</w:t>
      </w:r>
      <w:r w:rsidRPr="00A62443">
        <w:rPr>
          <w:rFonts w:ascii="Arial" w:hAnsi="Arial" w:cs="Arial"/>
          <w:i/>
          <w:sz w:val="24"/>
          <w:szCs w:val="24"/>
        </w:rPr>
        <w:t>used to allow him to travel. They said he would need two people to accompany him and the people were not available. (In fact there were many people who volunteered to do this for him). The residential care facility</w:t>
      </w:r>
      <w:r w:rsidRPr="00AB31FD">
        <w:rPr>
          <w:rFonts w:ascii="Arial" w:hAnsi="Arial" w:cs="Arial"/>
          <w:sz w:val="24"/>
          <w:szCs w:val="24"/>
        </w:rPr>
        <w:t xml:space="preserve"> </w:t>
      </w:r>
      <w:r w:rsidRPr="00A62443">
        <w:rPr>
          <w:rFonts w:ascii="Arial" w:hAnsi="Arial" w:cs="Arial"/>
          <w:i/>
          <w:sz w:val="24"/>
          <w:szCs w:val="24"/>
        </w:rPr>
        <w:t>misinterpreted their duty of care as extending to his absences and refused to take the risk. It was not their decision to make.</w:t>
      </w:r>
    </w:p>
    <w:p w:rsidR="005569DC" w:rsidRPr="0099107D" w:rsidRDefault="005569DC" w:rsidP="005569DC">
      <w:pPr>
        <w:rPr>
          <w:rFonts w:ascii="Arial" w:hAnsi="Arial" w:cs="Arial"/>
          <w:sz w:val="24"/>
          <w:szCs w:val="24"/>
        </w:rPr>
      </w:pPr>
    </w:p>
    <w:p w:rsidR="005569DC" w:rsidRDefault="005569DC" w:rsidP="005569DC">
      <w:pPr>
        <w:spacing w:line="276" w:lineRule="auto"/>
        <w:rPr>
          <w:rFonts w:ascii="Arial" w:hAnsi="Arial" w:cs="Arial"/>
          <w:sz w:val="24"/>
          <w:szCs w:val="24"/>
        </w:rPr>
      </w:pPr>
      <w:r>
        <w:rPr>
          <w:rFonts w:ascii="Arial" w:hAnsi="Arial" w:cs="Arial"/>
          <w:sz w:val="24"/>
          <w:szCs w:val="24"/>
        </w:rPr>
        <w:t xml:space="preserve">Case </w:t>
      </w:r>
      <w:proofErr w:type="gramStart"/>
      <w:r>
        <w:rPr>
          <w:rFonts w:ascii="Arial" w:hAnsi="Arial" w:cs="Arial"/>
          <w:sz w:val="24"/>
          <w:szCs w:val="24"/>
        </w:rPr>
        <w:t>study  -</w:t>
      </w:r>
      <w:proofErr w:type="gramEnd"/>
      <w:r>
        <w:rPr>
          <w:rFonts w:ascii="Arial" w:hAnsi="Arial" w:cs="Arial"/>
          <w:sz w:val="24"/>
          <w:szCs w:val="24"/>
        </w:rPr>
        <w:t xml:space="preserve">  Irma</w:t>
      </w:r>
    </w:p>
    <w:p w:rsidR="005569DC" w:rsidRDefault="005569DC" w:rsidP="005569DC">
      <w:pPr>
        <w:spacing w:line="276" w:lineRule="auto"/>
        <w:rPr>
          <w:rFonts w:ascii="Arial" w:hAnsi="Arial" w:cs="Arial"/>
          <w:sz w:val="24"/>
          <w:szCs w:val="24"/>
        </w:rPr>
      </w:pPr>
    </w:p>
    <w:p w:rsidR="005569DC" w:rsidRDefault="005569DC" w:rsidP="005569DC">
      <w:pPr>
        <w:pBdr>
          <w:top w:val="single" w:sz="4" w:space="1" w:color="auto"/>
          <w:left w:val="single" w:sz="4" w:space="4" w:color="auto"/>
          <w:bottom w:val="single" w:sz="4" w:space="1" w:color="auto"/>
          <w:right w:val="single" w:sz="4" w:space="4" w:color="auto"/>
        </w:pBdr>
        <w:spacing w:line="276" w:lineRule="auto"/>
        <w:rPr>
          <w:rFonts w:ascii="Arial" w:hAnsi="Arial" w:cs="Arial"/>
          <w:i/>
          <w:sz w:val="24"/>
          <w:szCs w:val="24"/>
        </w:rPr>
      </w:pPr>
      <w:r w:rsidRPr="00CD2B11">
        <w:rPr>
          <w:rFonts w:ascii="Arial" w:hAnsi="Arial" w:cs="Arial"/>
          <w:i/>
          <w:sz w:val="24"/>
          <w:szCs w:val="24"/>
        </w:rPr>
        <w:t>One of our lawyers was asked in writing to visit an older woman in residential care. She had both an Administrator and a Guardian appointed. The woman requested help in writing and wanted advice on challenging her guardianship order and the decisions made under it to decide where she would live. The lawyer contacted both the professional Guardian and the private Administrator to seek permission to visit the woman.  She was granted permission and booked an interpreter and together they visited the site. The professional Guardian separately contacted the Aged care residential accommodation provider and advised them that permission was not granted and as a result they refused entry to both lawyer and Interpreter.  There was no alternative but to make an application to VCAT to direct the Guardian to permit a</w:t>
      </w:r>
    </w:p>
    <w:p w:rsidR="005569DC" w:rsidRPr="00CD2B11" w:rsidRDefault="005569DC" w:rsidP="005569DC">
      <w:pPr>
        <w:pBdr>
          <w:top w:val="single" w:sz="4" w:space="1" w:color="auto"/>
          <w:left w:val="single" w:sz="4" w:space="4" w:color="auto"/>
          <w:bottom w:val="single" w:sz="4" w:space="1" w:color="auto"/>
          <w:right w:val="single" w:sz="4" w:space="4" w:color="auto"/>
        </w:pBdr>
        <w:spacing w:line="276" w:lineRule="auto"/>
        <w:rPr>
          <w:rFonts w:ascii="Arial" w:hAnsi="Arial" w:cs="Arial"/>
          <w:i/>
          <w:sz w:val="24"/>
          <w:szCs w:val="24"/>
        </w:rPr>
      </w:pPr>
      <w:proofErr w:type="gramStart"/>
      <w:r w:rsidRPr="00CD2B11">
        <w:rPr>
          <w:rFonts w:ascii="Arial" w:hAnsi="Arial" w:cs="Arial"/>
          <w:i/>
          <w:sz w:val="24"/>
          <w:szCs w:val="24"/>
        </w:rPr>
        <w:t>professional</w:t>
      </w:r>
      <w:proofErr w:type="gramEnd"/>
      <w:r w:rsidRPr="00CD2B11">
        <w:rPr>
          <w:rFonts w:ascii="Arial" w:hAnsi="Arial" w:cs="Arial"/>
          <w:i/>
          <w:sz w:val="24"/>
          <w:szCs w:val="24"/>
        </w:rPr>
        <w:t xml:space="preserve"> visit.  At the tribunal the Guardian was unrepentant and insisted that it was important that the resident got “settled.” </w:t>
      </w:r>
      <w:r>
        <w:rPr>
          <w:rFonts w:ascii="Arial" w:hAnsi="Arial" w:cs="Arial"/>
          <w:i/>
          <w:sz w:val="24"/>
          <w:szCs w:val="24"/>
        </w:rPr>
        <w:t xml:space="preserve">In other words, until she </w:t>
      </w:r>
      <w:proofErr w:type="gramStart"/>
      <w:r>
        <w:rPr>
          <w:rFonts w:ascii="Arial" w:hAnsi="Arial" w:cs="Arial"/>
          <w:i/>
          <w:sz w:val="24"/>
          <w:szCs w:val="24"/>
        </w:rPr>
        <w:t xml:space="preserve">got </w:t>
      </w:r>
      <w:r w:rsidRPr="00CD2B11">
        <w:rPr>
          <w:rFonts w:ascii="Arial" w:hAnsi="Arial" w:cs="Arial"/>
          <w:i/>
          <w:sz w:val="24"/>
          <w:szCs w:val="24"/>
        </w:rPr>
        <w:t xml:space="preserve"> accustomed</w:t>
      </w:r>
      <w:proofErr w:type="gramEnd"/>
      <w:r w:rsidRPr="00CD2B11">
        <w:rPr>
          <w:rFonts w:ascii="Arial" w:hAnsi="Arial" w:cs="Arial"/>
          <w:i/>
          <w:sz w:val="24"/>
          <w:szCs w:val="24"/>
        </w:rPr>
        <w:t xml:space="preserve"> to the fact that returning to home would not be possible.</w:t>
      </w:r>
    </w:p>
    <w:p w:rsidR="005569DC" w:rsidRDefault="005569DC" w:rsidP="005569DC">
      <w:pPr>
        <w:spacing w:line="276" w:lineRule="auto"/>
        <w:rPr>
          <w:rFonts w:ascii="Arial" w:hAnsi="Arial" w:cs="Arial"/>
          <w:sz w:val="24"/>
          <w:szCs w:val="24"/>
        </w:rPr>
      </w:pPr>
    </w:p>
    <w:p w:rsidR="005569DC" w:rsidRPr="00AB31FD" w:rsidRDefault="005569DC" w:rsidP="005569DC">
      <w:pPr>
        <w:spacing w:line="276" w:lineRule="auto"/>
        <w:rPr>
          <w:rFonts w:ascii="Arial" w:hAnsi="Arial" w:cs="Arial"/>
          <w:sz w:val="24"/>
          <w:szCs w:val="24"/>
        </w:rPr>
      </w:pPr>
      <w:r>
        <w:rPr>
          <w:rFonts w:ascii="Arial" w:hAnsi="Arial" w:cs="Arial"/>
          <w:sz w:val="24"/>
          <w:szCs w:val="24"/>
        </w:rPr>
        <w:t>T</w:t>
      </w:r>
      <w:r w:rsidRPr="00AB31FD">
        <w:rPr>
          <w:rFonts w:ascii="Arial" w:hAnsi="Arial" w:cs="Arial"/>
          <w:sz w:val="24"/>
          <w:szCs w:val="24"/>
        </w:rPr>
        <w:t xml:space="preserve">he Australian Human Rights Commission </w:t>
      </w:r>
      <w:r>
        <w:rPr>
          <w:rFonts w:ascii="Arial" w:hAnsi="Arial" w:cs="Arial"/>
          <w:sz w:val="24"/>
          <w:szCs w:val="24"/>
        </w:rPr>
        <w:t xml:space="preserve">has </w:t>
      </w:r>
      <w:r w:rsidRPr="00AB31FD">
        <w:rPr>
          <w:rFonts w:ascii="Arial" w:hAnsi="Arial" w:cs="Arial"/>
          <w:sz w:val="24"/>
          <w:szCs w:val="24"/>
        </w:rPr>
        <w:t>recommended</w:t>
      </w:r>
      <w:r>
        <w:rPr>
          <w:rStyle w:val="FootnoteReference"/>
          <w:rFonts w:ascii="Arial" w:hAnsi="Arial" w:cs="Arial"/>
          <w:sz w:val="24"/>
          <w:szCs w:val="24"/>
        </w:rPr>
        <w:footnoteReference w:id="10"/>
      </w:r>
      <w:r w:rsidRPr="00AB31FD">
        <w:rPr>
          <w:rFonts w:ascii="Arial" w:hAnsi="Arial" w:cs="Arial"/>
          <w:sz w:val="24"/>
          <w:szCs w:val="24"/>
        </w:rPr>
        <w:t xml:space="preserve"> adopting the human rights developed by the Committee on Economic, Social and Cultural Rights in General Comment no. 14. This comment observed that “The right of everyone to the enjoyment of the highest attainable standard of physical and mental health (the right to health) which includes four components: availability, accessibility, acceptability and quality.</w:t>
      </w:r>
      <w:r w:rsidRPr="00AB31FD">
        <w:rPr>
          <w:rStyle w:val="FootnoteReference"/>
          <w:rFonts w:ascii="Arial" w:hAnsi="Arial" w:cs="Arial"/>
          <w:sz w:val="24"/>
          <w:szCs w:val="24"/>
        </w:rPr>
        <w:footnoteReference w:id="11"/>
      </w:r>
      <w:r w:rsidRPr="00AB31FD">
        <w:rPr>
          <w:rFonts w:ascii="Arial" w:hAnsi="Arial" w:cs="Arial"/>
          <w:sz w:val="24"/>
          <w:szCs w:val="24"/>
        </w:rPr>
        <w:t xml:space="preserve">  </w:t>
      </w:r>
    </w:p>
    <w:p w:rsidR="005569DC" w:rsidRPr="00AB31FD" w:rsidRDefault="005569DC" w:rsidP="005569DC">
      <w:pPr>
        <w:spacing w:line="276" w:lineRule="auto"/>
        <w:rPr>
          <w:rFonts w:ascii="Arial" w:hAnsi="Arial" w:cs="Arial"/>
          <w:sz w:val="24"/>
          <w:szCs w:val="24"/>
        </w:rPr>
      </w:pPr>
    </w:p>
    <w:p w:rsidR="005569DC" w:rsidRPr="00AB31FD" w:rsidRDefault="005569DC" w:rsidP="005569DC">
      <w:pPr>
        <w:spacing w:line="276" w:lineRule="auto"/>
        <w:rPr>
          <w:rFonts w:ascii="Arial" w:hAnsi="Arial" w:cs="Arial"/>
          <w:sz w:val="24"/>
          <w:szCs w:val="24"/>
        </w:rPr>
      </w:pPr>
      <w:r w:rsidRPr="00AB31FD">
        <w:rPr>
          <w:rFonts w:ascii="Arial" w:hAnsi="Arial" w:cs="Arial"/>
          <w:sz w:val="24"/>
          <w:szCs w:val="24"/>
        </w:rPr>
        <w:t xml:space="preserve">This includes services delivered by medical and nursing and other workers on evidence based practice delivered by skilled workers in a safe environment.  Accessibility necessarily includes the right to seek, receive and impart information. </w:t>
      </w:r>
    </w:p>
    <w:p w:rsidR="005569DC" w:rsidRPr="00AB31FD" w:rsidRDefault="005569DC" w:rsidP="005569DC">
      <w:pPr>
        <w:spacing w:line="276" w:lineRule="auto"/>
        <w:rPr>
          <w:rFonts w:ascii="Arial" w:hAnsi="Arial" w:cs="Arial"/>
          <w:sz w:val="24"/>
          <w:szCs w:val="24"/>
        </w:rPr>
      </w:pPr>
    </w:p>
    <w:p w:rsidR="005569DC" w:rsidRPr="00AB31FD" w:rsidRDefault="005569DC" w:rsidP="005569DC">
      <w:pPr>
        <w:spacing w:line="276" w:lineRule="auto"/>
        <w:rPr>
          <w:rFonts w:ascii="Arial" w:hAnsi="Arial" w:cs="Arial"/>
          <w:sz w:val="24"/>
          <w:szCs w:val="24"/>
        </w:rPr>
      </w:pPr>
      <w:r w:rsidRPr="00AB31FD">
        <w:rPr>
          <w:rFonts w:ascii="Arial" w:hAnsi="Arial" w:cs="Arial"/>
          <w:sz w:val="24"/>
          <w:szCs w:val="24"/>
        </w:rPr>
        <w:t xml:space="preserve">It has been noted that the interests of advocates and service providers whose expertise is in social work or gerontology are frequently aligned with the interest of </w:t>
      </w:r>
      <w:r w:rsidRPr="00AB31FD">
        <w:rPr>
          <w:rFonts w:ascii="Arial" w:hAnsi="Arial" w:cs="Arial"/>
          <w:sz w:val="24"/>
          <w:szCs w:val="24"/>
        </w:rPr>
        <w:lastRenderedPageBreak/>
        <w:t xml:space="preserve">older persons, particularly when it comes to the provision of services or benefits. However, when it comes to negative rights (that is the right to privacy) “the interests of older adults and </w:t>
      </w:r>
      <w:r w:rsidRPr="00AB31FD">
        <w:rPr>
          <w:rFonts w:ascii="Arial" w:hAnsi="Arial" w:cs="Arial"/>
          <w:sz w:val="24"/>
          <w:szCs w:val="24"/>
        </w:rPr>
        <w:tab/>
        <w:t>service providers are likely to diverge.”</w:t>
      </w:r>
      <w:r w:rsidRPr="00AB31FD">
        <w:rPr>
          <w:rStyle w:val="FootnoteReference"/>
          <w:rFonts w:ascii="Arial" w:hAnsi="Arial" w:cs="Arial"/>
          <w:sz w:val="24"/>
          <w:szCs w:val="24"/>
        </w:rPr>
        <w:footnoteReference w:id="12"/>
      </w:r>
    </w:p>
    <w:p w:rsidR="005569DC" w:rsidRPr="00AB31FD" w:rsidRDefault="005569DC" w:rsidP="005569DC">
      <w:pPr>
        <w:spacing w:line="276" w:lineRule="auto"/>
        <w:rPr>
          <w:rFonts w:ascii="Arial" w:hAnsi="Arial" w:cs="Arial"/>
          <w:sz w:val="24"/>
          <w:szCs w:val="24"/>
        </w:rPr>
      </w:pPr>
    </w:p>
    <w:p w:rsidR="005569DC" w:rsidRDefault="005569DC" w:rsidP="005569DC">
      <w:pPr>
        <w:spacing w:line="276" w:lineRule="auto"/>
        <w:rPr>
          <w:rFonts w:ascii="Arial" w:hAnsi="Arial" w:cs="Arial"/>
          <w:sz w:val="24"/>
          <w:szCs w:val="24"/>
        </w:rPr>
      </w:pPr>
      <w:r w:rsidRPr="00AB31FD">
        <w:rPr>
          <w:rFonts w:ascii="Arial" w:hAnsi="Arial" w:cs="Arial"/>
          <w:sz w:val="24"/>
          <w:szCs w:val="24"/>
        </w:rPr>
        <w:t xml:space="preserve">It is respectfully submitted that the resident’s right to information and to an advocate should be accorded due status by making service providers (and others) accountable to a supervisory jurisdiction.  For example the AHRC could be given own motion powers (and resources) to investigate third party reports of alleged infringements of human rights occurring in residential care. </w:t>
      </w:r>
    </w:p>
    <w:p w:rsidR="00674FE5" w:rsidRDefault="00674FE5" w:rsidP="00674FE5">
      <w:pPr>
        <w:spacing w:line="276" w:lineRule="auto"/>
        <w:rPr>
          <w:rFonts w:ascii="Arial" w:hAnsi="Arial" w:cs="Arial"/>
          <w:sz w:val="24"/>
          <w:szCs w:val="24"/>
        </w:rPr>
      </w:pPr>
    </w:p>
    <w:p w:rsidR="00674FE5" w:rsidRDefault="00674FE5" w:rsidP="00674FE5">
      <w:pPr>
        <w:spacing w:line="276" w:lineRule="auto"/>
        <w:rPr>
          <w:rFonts w:ascii="Arial" w:hAnsi="Arial" w:cs="Arial"/>
          <w:sz w:val="24"/>
          <w:szCs w:val="24"/>
        </w:rPr>
      </w:pPr>
      <w:r>
        <w:rPr>
          <w:rFonts w:ascii="Arial" w:hAnsi="Arial" w:cs="Arial"/>
          <w:sz w:val="24"/>
          <w:szCs w:val="24"/>
        </w:rPr>
        <w:t xml:space="preserve">Case </w:t>
      </w:r>
      <w:proofErr w:type="gramStart"/>
      <w:r>
        <w:rPr>
          <w:rFonts w:ascii="Arial" w:hAnsi="Arial" w:cs="Arial"/>
          <w:sz w:val="24"/>
          <w:szCs w:val="24"/>
        </w:rPr>
        <w:t>study  Liana</w:t>
      </w:r>
      <w:proofErr w:type="gramEnd"/>
    </w:p>
    <w:p w:rsidR="00674FE5" w:rsidRDefault="00674FE5" w:rsidP="00674FE5">
      <w:pPr>
        <w:spacing w:line="276" w:lineRule="auto"/>
        <w:rPr>
          <w:rFonts w:ascii="Arial" w:hAnsi="Arial" w:cs="Arial"/>
          <w:sz w:val="24"/>
          <w:szCs w:val="24"/>
        </w:rPr>
      </w:pPr>
    </w:p>
    <w:p w:rsidR="00674FE5" w:rsidRPr="00674FE5" w:rsidRDefault="00674FE5" w:rsidP="00674FE5">
      <w:pPr>
        <w:pBdr>
          <w:top w:val="single" w:sz="4" w:space="1" w:color="auto"/>
          <w:left w:val="single" w:sz="4" w:space="4" w:color="auto"/>
          <w:bottom w:val="single" w:sz="4" w:space="1" w:color="auto"/>
          <w:right w:val="single" w:sz="4" w:space="4" w:color="auto"/>
        </w:pBdr>
        <w:spacing w:line="276" w:lineRule="auto"/>
        <w:rPr>
          <w:rFonts w:ascii="Arial" w:hAnsi="Arial" w:cs="Arial"/>
          <w:i/>
          <w:sz w:val="24"/>
          <w:szCs w:val="24"/>
        </w:rPr>
      </w:pPr>
      <w:r w:rsidRPr="00674FE5">
        <w:rPr>
          <w:rFonts w:ascii="Arial" w:hAnsi="Arial" w:cs="Arial"/>
          <w:i/>
          <w:sz w:val="24"/>
          <w:szCs w:val="24"/>
        </w:rPr>
        <w:t xml:space="preserve">One client reported that she had found her mother blue in the face due to a badly fitting neck collar and on a number of occasions choking on liquid feed  administered in a </w:t>
      </w:r>
      <w:proofErr w:type="spellStart"/>
      <w:r w:rsidRPr="00674FE5">
        <w:rPr>
          <w:rFonts w:ascii="Arial" w:hAnsi="Arial" w:cs="Arial"/>
          <w:i/>
          <w:sz w:val="24"/>
          <w:szCs w:val="24"/>
        </w:rPr>
        <w:t>Percutaneous</w:t>
      </w:r>
      <w:proofErr w:type="spellEnd"/>
      <w:r w:rsidRPr="00674FE5">
        <w:rPr>
          <w:rFonts w:ascii="Arial" w:hAnsi="Arial" w:cs="Arial"/>
          <w:i/>
          <w:sz w:val="24"/>
          <w:szCs w:val="24"/>
        </w:rPr>
        <w:t xml:space="preserve"> endoscopic gastronomy (PEG) feeding apparatus because of faulty positioning despite her putting a big diagram on the wall to indicate the right position for PEG feeding. She also developed pressure sores which were not properly attended to and became much more severe. When she started attending more frequently she was threatened with being banned from attending to her mother altogether because the staff claimed she was bullying them. One staff member refused to attend to her mother in her presence saying she had to leave the room, </w:t>
      </w:r>
      <w:proofErr w:type="gramStart"/>
      <w:r w:rsidRPr="00674FE5">
        <w:rPr>
          <w:rFonts w:ascii="Arial" w:hAnsi="Arial" w:cs="Arial"/>
          <w:i/>
          <w:sz w:val="24"/>
          <w:szCs w:val="24"/>
        </w:rPr>
        <w:t>and  would</w:t>
      </w:r>
      <w:proofErr w:type="gramEnd"/>
      <w:r w:rsidRPr="00674FE5">
        <w:rPr>
          <w:rFonts w:ascii="Arial" w:hAnsi="Arial" w:cs="Arial"/>
          <w:i/>
          <w:sz w:val="24"/>
          <w:szCs w:val="24"/>
        </w:rPr>
        <w:t xml:space="preserve"> not work under her observation. When she made a complaint to the Aged Care Complaints Line she was threatened by the aged care provider that she would be banned from attending. </w:t>
      </w:r>
    </w:p>
    <w:p w:rsidR="00674FE5" w:rsidRPr="00AB31FD" w:rsidRDefault="00674FE5" w:rsidP="00674FE5">
      <w:pPr>
        <w:spacing w:line="276" w:lineRule="auto"/>
        <w:rPr>
          <w:rFonts w:ascii="Arial" w:hAnsi="Arial" w:cs="Arial"/>
          <w:sz w:val="24"/>
          <w:szCs w:val="24"/>
        </w:rPr>
      </w:pPr>
    </w:p>
    <w:p w:rsidR="00674FE5" w:rsidRPr="00AB31FD" w:rsidRDefault="00674FE5" w:rsidP="00674FE5">
      <w:pPr>
        <w:spacing w:line="276" w:lineRule="auto"/>
        <w:rPr>
          <w:rFonts w:ascii="Arial" w:hAnsi="Arial" w:cs="Arial"/>
          <w:sz w:val="24"/>
          <w:szCs w:val="24"/>
        </w:rPr>
      </w:pPr>
      <w:r w:rsidRPr="00AB31FD">
        <w:rPr>
          <w:rFonts w:ascii="Arial" w:hAnsi="Arial" w:cs="Arial"/>
          <w:sz w:val="24"/>
          <w:szCs w:val="24"/>
        </w:rPr>
        <w:t>Media reports have canvassed similar approaches by facility management to banning family members</w:t>
      </w:r>
      <w:r>
        <w:rPr>
          <w:rFonts w:ascii="Arial" w:hAnsi="Arial" w:cs="Arial"/>
          <w:sz w:val="24"/>
          <w:szCs w:val="24"/>
        </w:rPr>
        <w:t>’</w:t>
      </w:r>
      <w:r w:rsidRPr="00AB31FD">
        <w:rPr>
          <w:rFonts w:ascii="Arial" w:hAnsi="Arial" w:cs="Arial"/>
          <w:sz w:val="24"/>
          <w:szCs w:val="24"/>
        </w:rPr>
        <w:t xml:space="preserve"> oversight using the excuse of worker health and safety.</w:t>
      </w:r>
    </w:p>
    <w:p w:rsidR="005B5DF4" w:rsidRPr="006459DA" w:rsidRDefault="005B5DF4" w:rsidP="0099107D">
      <w:pPr>
        <w:rPr>
          <w:rFonts w:ascii="Arial" w:hAnsi="Arial" w:cs="Arial"/>
          <w:sz w:val="24"/>
          <w:szCs w:val="24"/>
        </w:rPr>
      </w:pPr>
    </w:p>
    <w:p w:rsidR="00A62443" w:rsidRPr="00A62443" w:rsidRDefault="00A62443" w:rsidP="00A62443">
      <w:pPr>
        <w:pStyle w:val="ListParagraph"/>
        <w:numPr>
          <w:ilvl w:val="0"/>
          <w:numId w:val="9"/>
        </w:numPr>
        <w:rPr>
          <w:rFonts w:ascii="Arial" w:hAnsi="Arial" w:cs="Arial"/>
          <w:sz w:val="24"/>
          <w:szCs w:val="24"/>
        </w:rPr>
      </w:pPr>
      <w:r w:rsidRPr="00A62443">
        <w:rPr>
          <w:rFonts w:ascii="Arial" w:hAnsi="Arial" w:cs="Arial"/>
          <w:sz w:val="24"/>
          <w:szCs w:val="24"/>
        </w:rPr>
        <w:t>Aspects of Aged care  -  Safety</w:t>
      </w:r>
    </w:p>
    <w:p w:rsidR="00A62443" w:rsidRPr="00AB31FD" w:rsidRDefault="00A62443" w:rsidP="00A62443">
      <w:pPr>
        <w:spacing w:line="276" w:lineRule="auto"/>
        <w:rPr>
          <w:rFonts w:ascii="Arial" w:hAnsi="Arial" w:cs="Arial"/>
          <w:sz w:val="24"/>
          <w:szCs w:val="24"/>
          <w:u w:val="single"/>
        </w:rPr>
      </w:pPr>
    </w:p>
    <w:p w:rsidR="00A62443" w:rsidRDefault="00A62443" w:rsidP="00A62443">
      <w:pPr>
        <w:spacing w:line="276" w:lineRule="auto"/>
        <w:rPr>
          <w:rFonts w:ascii="Arial" w:hAnsi="Arial" w:cs="Arial"/>
          <w:sz w:val="24"/>
          <w:szCs w:val="24"/>
        </w:rPr>
      </w:pPr>
      <w:r w:rsidRPr="00AB31FD">
        <w:rPr>
          <w:rFonts w:ascii="Arial" w:hAnsi="Arial" w:cs="Arial"/>
          <w:sz w:val="24"/>
          <w:szCs w:val="24"/>
        </w:rPr>
        <w:t>In a recent journal article a study has found that between 2000 and 2013 in Victoria almost 90% of death arising from external causes of aged residents in care were caused by falls.</w:t>
      </w:r>
      <w:r w:rsidRPr="00AB31FD">
        <w:rPr>
          <w:rStyle w:val="FootnoteReference"/>
          <w:rFonts w:ascii="Arial" w:hAnsi="Arial" w:cs="Arial"/>
          <w:sz w:val="24"/>
          <w:szCs w:val="24"/>
        </w:rPr>
        <w:footnoteReference w:id="13"/>
      </w:r>
      <w:r w:rsidRPr="00AB31FD">
        <w:rPr>
          <w:rFonts w:ascii="Arial" w:hAnsi="Arial" w:cs="Arial"/>
          <w:sz w:val="24"/>
          <w:szCs w:val="24"/>
        </w:rPr>
        <w:t xml:space="preserve"> These deaths were described as preventable. The article does not speculate as to the cause but recommends further study to discover the risk factors leading to these deaths, and notes that in other areas of life such as workplace injury, the development of a reliable evidence base has led to changes and improvements in safety.</w:t>
      </w:r>
    </w:p>
    <w:p w:rsidR="00674FE5" w:rsidRPr="00AB31FD" w:rsidRDefault="00674FE5" w:rsidP="00A62443">
      <w:pPr>
        <w:spacing w:line="276" w:lineRule="auto"/>
        <w:rPr>
          <w:rFonts w:ascii="Arial" w:hAnsi="Arial" w:cs="Arial"/>
          <w:sz w:val="24"/>
          <w:szCs w:val="24"/>
        </w:rPr>
      </w:pPr>
    </w:p>
    <w:p w:rsidR="00A62443" w:rsidRPr="00AB31FD" w:rsidRDefault="00A62443" w:rsidP="00A62443">
      <w:pPr>
        <w:spacing w:line="276" w:lineRule="auto"/>
        <w:rPr>
          <w:rFonts w:ascii="Arial" w:hAnsi="Arial" w:cs="Arial"/>
          <w:sz w:val="24"/>
          <w:szCs w:val="24"/>
        </w:rPr>
      </w:pPr>
      <w:r w:rsidRPr="00AB31FD">
        <w:rPr>
          <w:rFonts w:ascii="Arial" w:hAnsi="Arial" w:cs="Arial"/>
          <w:sz w:val="24"/>
          <w:szCs w:val="24"/>
        </w:rPr>
        <w:t>While the study does not speculate ab</w:t>
      </w:r>
      <w:r>
        <w:rPr>
          <w:rFonts w:ascii="Arial" w:hAnsi="Arial" w:cs="Arial"/>
          <w:sz w:val="24"/>
          <w:szCs w:val="24"/>
        </w:rPr>
        <w:t>o</w:t>
      </w:r>
      <w:r w:rsidRPr="00AB31FD">
        <w:rPr>
          <w:rFonts w:ascii="Arial" w:hAnsi="Arial" w:cs="Arial"/>
          <w:sz w:val="24"/>
          <w:szCs w:val="24"/>
        </w:rPr>
        <w:t xml:space="preserve">ut possible causes of this number of falls, our clients tell us that that their aged parents are often so heavily medicated that falls and injuries are a result.  </w:t>
      </w:r>
    </w:p>
    <w:p w:rsidR="00A62443" w:rsidRDefault="00A62443" w:rsidP="0099107D">
      <w:pPr>
        <w:rPr>
          <w:rFonts w:ascii="Arial" w:hAnsi="Arial" w:cs="Arial"/>
          <w:sz w:val="24"/>
          <w:szCs w:val="24"/>
        </w:rPr>
      </w:pPr>
    </w:p>
    <w:p w:rsidR="004E5104" w:rsidRPr="00AB31FD" w:rsidRDefault="004E5104" w:rsidP="004E5104">
      <w:pPr>
        <w:rPr>
          <w:rFonts w:ascii="Arial" w:hAnsi="Arial" w:cs="Arial"/>
          <w:sz w:val="24"/>
          <w:szCs w:val="24"/>
        </w:rPr>
      </w:pPr>
    </w:p>
    <w:p w:rsidR="004E5104" w:rsidRDefault="005569DC" w:rsidP="004E5104">
      <w:pPr>
        <w:rPr>
          <w:rFonts w:ascii="Arial" w:hAnsi="Arial" w:cs="Arial"/>
          <w:sz w:val="24"/>
          <w:szCs w:val="24"/>
        </w:rPr>
      </w:pPr>
      <w:r>
        <w:rPr>
          <w:rFonts w:ascii="Arial" w:hAnsi="Arial" w:cs="Arial"/>
          <w:sz w:val="24"/>
          <w:szCs w:val="24"/>
        </w:rPr>
        <w:t>2</w:t>
      </w:r>
      <w:r w:rsidR="004E5104">
        <w:rPr>
          <w:rFonts w:ascii="Arial" w:hAnsi="Arial" w:cs="Arial"/>
          <w:sz w:val="24"/>
          <w:szCs w:val="24"/>
        </w:rPr>
        <w:t>.</w:t>
      </w:r>
      <w:r w:rsidR="004E5104">
        <w:rPr>
          <w:rFonts w:ascii="Arial" w:hAnsi="Arial" w:cs="Arial"/>
          <w:sz w:val="24"/>
          <w:szCs w:val="24"/>
        </w:rPr>
        <w:tab/>
        <w:t xml:space="preserve">Aspects of aged care – Compulsory reporting </w:t>
      </w:r>
    </w:p>
    <w:p w:rsidR="004E5104" w:rsidRDefault="004E5104" w:rsidP="004E5104">
      <w:pPr>
        <w:rPr>
          <w:rFonts w:ascii="Arial" w:hAnsi="Arial" w:cs="Arial"/>
          <w:sz w:val="24"/>
          <w:szCs w:val="24"/>
        </w:rPr>
      </w:pPr>
    </w:p>
    <w:p w:rsidR="004E5104" w:rsidRDefault="004E5104" w:rsidP="004E5104">
      <w:pPr>
        <w:rPr>
          <w:rFonts w:ascii="Arial" w:hAnsi="Arial" w:cs="Arial"/>
          <w:sz w:val="24"/>
          <w:szCs w:val="24"/>
        </w:rPr>
      </w:pPr>
      <w:r>
        <w:rPr>
          <w:rFonts w:ascii="Arial" w:hAnsi="Arial" w:cs="Arial"/>
          <w:sz w:val="24"/>
          <w:szCs w:val="24"/>
        </w:rPr>
        <w:t>Australia’s aged care program is in</w:t>
      </w:r>
      <w:r w:rsidRPr="0099107D">
        <w:rPr>
          <w:rFonts w:ascii="Arial" w:hAnsi="Arial" w:cs="Arial"/>
          <w:sz w:val="24"/>
          <w:szCs w:val="24"/>
        </w:rPr>
        <w:t xml:space="preserve"> currently in transition</w:t>
      </w:r>
      <w:r>
        <w:rPr>
          <w:rFonts w:ascii="Arial" w:hAnsi="Arial" w:cs="Arial"/>
          <w:sz w:val="24"/>
          <w:szCs w:val="24"/>
        </w:rPr>
        <w:t xml:space="preserve"> with a new focus on service delivery in the home and a return of negotiating power to the older person to engage a provider of their choice and to assess their own needs. </w:t>
      </w:r>
    </w:p>
    <w:p w:rsidR="007516FD" w:rsidRDefault="007516FD" w:rsidP="004E5104">
      <w:pPr>
        <w:rPr>
          <w:rFonts w:ascii="Arial" w:hAnsi="Arial" w:cs="Arial"/>
          <w:sz w:val="24"/>
          <w:szCs w:val="24"/>
        </w:rPr>
      </w:pPr>
    </w:p>
    <w:p w:rsidR="009944DF" w:rsidRDefault="004E5104" w:rsidP="009944DF">
      <w:pPr>
        <w:rPr>
          <w:rFonts w:ascii="Arial" w:hAnsi="Arial" w:cs="Arial"/>
          <w:sz w:val="24"/>
          <w:szCs w:val="24"/>
        </w:rPr>
      </w:pPr>
      <w:r>
        <w:rPr>
          <w:rFonts w:ascii="Arial" w:hAnsi="Arial" w:cs="Arial"/>
          <w:sz w:val="24"/>
          <w:szCs w:val="24"/>
        </w:rPr>
        <w:t xml:space="preserve">There is </w:t>
      </w:r>
      <w:r w:rsidR="007A5C9E">
        <w:rPr>
          <w:rFonts w:ascii="Arial" w:hAnsi="Arial" w:cs="Arial"/>
          <w:sz w:val="24"/>
          <w:szCs w:val="24"/>
        </w:rPr>
        <w:t>currently amending</w:t>
      </w:r>
      <w:r>
        <w:rPr>
          <w:rFonts w:ascii="Arial" w:hAnsi="Arial" w:cs="Arial"/>
          <w:sz w:val="24"/>
          <w:szCs w:val="24"/>
        </w:rPr>
        <w:t xml:space="preserve"> </w:t>
      </w:r>
      <w:proofErr w:type="gramStart"/>
      <w:r>
        <w:rPr>
          <w:rFonts w:ascii="Arial" w:hAnsi="Arial" w:cs="Arial"/>
          <w:sz w:val="24"/>
          <w:szCs w:val="24"/>
        </w:rPr>
        <w:t xml:space="preserve">Bill </w:t>
      </w:r>
      <w:r w:rsidRPr="0099107D">
        <w:rPr>
          <w:rFonts w:ascii="Arial" w:hAnsi="Arial" w:cs="Arial"/>
          <w:sz w:val="24"/>
          <w:szCs w:val="24"/>
        </w:rPr>
        <w:t xml:space="preserve"> before</w:t>
      </w:r>
      <w:proofErr w:type="gramEnd"/>
      <w:r w:rsidRPr="0099107D">
        <w:rPr>
          <w:rFonts w:ascii="Arial" w:hAnsi="Arial" w:cs="Arial"/>
          <w:sz w:val="24"/>
          <w:szCs w:val="24"/>
        </w:rPr>
        <w:t xml:space="preserve"> the Parliament</w:t>
      </w:r>
      <w:r>
        <w:rPr>
          <w:rFonts w:ascii="Arial" w:hAnsi="Arial" w:cs="Arial"/>
          <w:sz w:val="24"/>
          <w:szCs w:val="24"/>
        </w:rPr>
        <w:t>.</w:t>
      </w:r>
      <w:r>
        <w:rPr>
          <w:rStyle w:val="FootnoteReference"/>
          <w:rFonts w:ascii="Arial" w:hAnsi="Arial" w:cs="Arial"/>
          <w:sz w:val="24"/>
          <w:szCs w:val="24"/>
        </w:rPr>
        <w:footnoteReference w:id="14"/>
      </w:r>
      <w:r>
        <w:rPr>
          <w:rFonts w:ascii="Arial" w:hAnsi="Arial" w:cs="Arial"/>
          <w:sz w:val="24"/>
          <w:szCs w:val="24"/>
        </w:rPr>
        <w:t xml:space="preserve"> </w:t>
      </w:r>
      <w:r w:rsidRPr="0099107D">
        <w:rPr>
          <w:rFonts w:ascii="Arial" w:hAnsi="Arial" w:cs="Arial"/>
          <w:sz w:val="24"/>
          <w:szCs w:val="24"/>
        </w:rPr>
        <w:t>Wha</w:t>
      </w:r>
      <w:r>
        <w:rPr>
          <w:rFonts w:ascii="Arial" w:hAnsi="Arial" w:cs="Arial"/>
          <w:sz w:val="24"/>
          <w:szCs w:val="24"/>
        </w:rPr>
        <w:t xml:space="preserve">t is </w:t>
      </w:r>
      <w:r w:rsidRPr="0099107D">
        <w:rPr>
          <w:rFonts w:ascii="Arial" w:hAnsi="Arial" w:cs="Arial"/>
          <w:sz w:val="24"/>
          <w:szCs w:val="24"/>
        </w:rPr>
        <w:t xml:space="preserve">missing from the </w:t>
      </w:r>
      <w:r>
        <w:rPr>
          <w:rFonts w:ascii="Arial" w:hAnsi="Arial" w:cs="Arial"/>
          <w:sz w:val="24"/>
          <w:szCs w:val="24"/>
        </w:rPr>
        <w:t>amending act is any reference to</w:t>
      </w:r>
      <w:r w:rsidRPr="0099107D">
        <w:rPr>
          <w:rFonts w:ascii="Arial" w:hAnsi="Arial" w:cs="Arial"/>
          <w:sz w:val="24"/>
          <w:szCs w:val="24"/>
        </w:rPr>
        <w:t xml:space="preserve"> the issue of </w:t>
      </w:r>
      <w:r>
        <w:rPr>
          <w:rFonts w:ascii="Arial" w:hAnsi="Arial" w:cs="Arial"/>
          <w:sz w:val="24"/>
          <w:szCs w:val="24"/>
        </w:rPr>
        <w:t xml:space="preserve">whether </w:t>
      </w:r>
      <w:r w:rsidRPr="0099107D">
        <w:rPr>
          <w:rFonts w:ascii="Arial" w:hAnsi="Arial" w:cs="Arial"/>
          <w:sz w:val="24"/>
          <w:szCs w:val="24"/>
        </w:rPr>
        <w:t>compulsory reporting</w:t>
      </w:r>
      <w:r>
        <w:rPr>
          <w:rFonts w:ascii="Arial" w:hAnsi="Arial" w:cs="Arial"/>
          <w:sz w:val="24"/>
          <w:szCs w:val="24"/>
        </w:rPr>
        <w:t xml:space="preserve"> of elder abuse will be extended to </w:t>
      </w:r>
      <w:r w:rsidR="007516FD">
        <w:rPr>
          <w:rFonts w:ascii="Arial" w:hAnsi="Arial" w:cs="Arial"/>
          <w:sz w:val="24"/>
          <w:szCs w:val="24"/>
        </w:rPr>
        <w:t xml:space="preserve">funded care in </w:t>
      </w:r>
      <w:r>
        <w:rPr>
          <w:rFonts w:ascii="Arial" w:hAnsi="Arial" w:cs="Arial"/>
          <w:sz w:val="24"/>
          <w:szCs w:val="24"/>
        </w:rPr>
        <w:t xml:space="preserve">the home. </w:t>
      </w:r>
      <w:r w:rsidR="00D52C88">
        <w:rPr>
          <w:rFonts w:ascii="Arial" w:hAnsi="Arial" w:cs="Arial"/>
          <w:sz w:val="24"/>
          <w:szCs w:val="24"/>
        </w:rPr>
        <w:t xml:space="preserve"> </w:t>
      </w:r>
      <w:r w:rsidR="009944DF">
        <w:rPr>
          <w:rFonts w:ascii="Arial" w:hAnsi="Arial" w:cs="Arial"/>
          <w:sz w:val="24"/>
          <w:szCs w:val="24"/>
        </w:rPr>
        <w:t>(</w:t>
      </w:r>
      <w:proofErr w:type="gramStart"/>
      <w:r w:rsidR="009944DF">
        <w:rPr>
          <w:rFonts w:ascii="Arial" w:hAnsi="Arial" w:cs="Arial"/>
          <w:sz w:val="24"/>
          <w:szCs w:val="24"/>
        </w:rPr>
        <w:t>See  response</w:t>
      </w:r>
      <w:proofErr w:type="gramEnd"/>
      <w:r w:rsidR="009944DF">
        <w:rPr>
          <w:rFonts w:ascii="Arial" w:hAnsi="Arial" w:cs="Arial"/>
          <w:sz w:val="24"/>
          <w:szCs w:val="24"/>
        </w:rPr>
        <w:t xml:space="preserve"> to Q 45</w:t>
      </w:r>
      <w:r w:rsidR="00D52C88">
        <w:rPr>
          <w:rFonts w:ascii="Arial" w:hAnsi="Arial" w:cs="Arial"/>
          <w:sz w:val="24"/>
          <w:szCs w:val="24"/>
        </w:rPr>
        <w:t xml:space="preserve">   mandatory </w:t>
      </w:r>
      <w:r w:rsidR="009944DF">
        <w:rPr>
          <w:rFonts w:ascii="Arial" w:hAnsi="Arial" w:cs="Arial"/>
          <w:sz w:val="24"/>
          <w:szCs w:val="24"/>
        </w:rPr>
        <w:t>reporting abuse)</w:t>
      </w:r>
    </w:p>
    <w:p w:rsidR="004E5104" w:rsidRDefault="004E5104" w:rsidP="0099107D">
      <w:pPr>
        <w:rPr>
          <w:rFonts w:ascii="Arial" w:hAnsi="Arial" w:cs="Arial"/>
          <w:i/>
          <w:iCs/>
          <w:sz w:val="24"/>
          <w:szCs w:val="24"/>
          <w:u w:val="single"/>
        </w:rPr>
      </w:pPr>
    </w:p>
    <w:p w:rsidR="0099107D" w:rsidRDefault="0099107D" w:rsidP="0099107D">
      <w:pPr>
        <w:rPr>
          <w:rFonts w:ascii="Arial" w:hAnsi="Arial" w:cs="Arial"/>
          <w:i/>
          <w:iCs/>
          <w:sz w:val="24"/>
          <w:szCs w:val="24"/>
          <w:u w:val="single"/>
        </w:rPr>
      </w:pPr>
      <w:r w:rsidRPr="0099107D">
        <w:rPr>
          <w:rFonts w:ascii="Arial" w:hAnsi="Arial" w:cs="Arial"/>
          <w:i/>
          <w:iCs/>
          <w:sz w:val="24"/>
          <w:szCs w:val="24"/>
          <w:u w:val="single"/>
        </w:rPr>
        <w:t xml:space="preserve">Question 12 </w:t>
      </w:r>
      <w:r w:rsidR="00FA0827">
        <w:rPr>
          <w:rFonts w:ascii="Arial" w:hAnsi="Arial" w:cs="Arial"/>
          <w:i/>
          <w:iCs/>
          <w:sz w:val="24"/>
          <w:szCs w:val="24"/>
          <w:u w:val="single"/>
        </w:rPr>
        <w:tab/>
      </w:r>
      <w:r w:rsidR="00FA0827">
        <w:rPr>
          <w:rFonts w:ascii="Arial" w:hAnsi="Arial" w:cs="Arial"/>
          <w:i/>
          <w:iCs/>
          <w:sz w:val="24"/>
          <w:szCs w:val="24"/>
          <w:u w:val="single"/>
        </w:rPr>
        <w:tab/>
      </w:r>
      <w:r w:rsidRPr="0099107D">
        <w:rPr>
          <w:rFonts w:ascii="Arial" w:hAnsi="Arial" w:cs="Arial"/>
          <w:i/>
          <w:iCs/>
          <w:sz w:val="24"/>
          <w:szCs w:val="24"/>
          <w:u w:val="single"/>
        </w:rPr>
        <w:t>ACAS</w:t>
      </w:r>
    </w:p>
    <w:p w:rsidR="00F725DA" w:rsidRPr="0099107D" w:rsidRDefault="00F725DA" w:rsidP="0099107D">
      <w:pPr>
        <w:rPr>
          <w:rFonts w:ascii="Arial" w:hAnsi="Arial" w:cs="Arial"/>
          <w:i/>
          <w:iCs/>
          <w:sz w:val="24"/>
          <w:szCs w:val="24"/>
          <w:u w:val="single"/>
        </w:rPr>
      </w:pPr>
    </w:p>
    <w:p w:rsidR="0099107D" w:rsidRPr="0099107D" w:rsidRDefault="0099107D" w:rsidP="0099107D">
      <w:pPr>
        <w:rPr>
          <w:rFonts w:ascii="Arial" w:hAnsi="Arial" w:cs="Arial"/>
          <w:sz w:val="24"/>
          <w:szCs w:val="24"/>
        </w:rPr>
      </w:pPr>
      <w:r w:rsidRPr="0099107D">
        <w:rPr>
          <w:rFonts w:ascii="Arial" w:hAnsi="Arial" w:cs="Arial"/>
          <w:sz w:val="24"/>
          <w:szCs w:val="24"/>
        </w:rPr>
        <w:t xml:space="preserve">Empirical experience indicates that </w:t>
      </w:r>
      <w:r w:rsidR="005B5DF4">
        <w:rPr>
          <w:rFonts w:ascii="Arial" w:hAnsi="Arial" w:cs="Arial"/>
          <w:sz w:val="24"/>
          <w:szCs w:val="24"/>
        </w:rPr>
        <w:t xml:space="preserve">individual </w:t>
      </w:r>
      <w:r w:rsidRPr="0099107D">
        <w:rPr>
          <w:rFonts w:ascii="Arial" w:hAnsi="Arial" w:cs="Arial"/>
          <w:sz w:val="24"/>
          <w:szCs w:val="24"/>
        </w:rPr>
        <w:t xml:space="preserve">ACAS </w:t>
      </w:r>
      <w:r w:rsidR="005B5DF4">
        <w:rPr>
          <w:rFonts w:ascii="Arial" w:hAnsi="Arial" w:cs="Arial"/>
          <w:sz w:val="24"/>
          <w:szCs w:val="24"/>
        </w:rPr>
        <w:t xml:space="preserve">workers </w:t>
      </w:r>
      <w:r w:rsidRPr="0099107D">
        <w:rPr>
          <w:rFonts w:ascii="Arial" w:hAnsi="Arial" w:cs="Arial"/>
          <w:sz w:val="24"/>
          <w:szCs w:val="24"/>
        </w:rPr>
        <w:t>(</w:t>
      </w:r>
      <w:r w:rsidR="005B5DF4">
        <w:rPr>
          <w:rFonts w:ascii="Arial" w:hAnsi="Arial" w:cs="Arial"/>
          <w:sz w:val="24"/>
          <w:szCs w:val="24"/>
        </w:rPr>
        <w:t xml:space="preserve">known as </w:t>
      </w:r>
      <w:r w:rsidRPr="0099107D">
        <w:rPr>
          <w:rFonts w:ascii="Arial" w:hAnsi="Arial" w:cs="Arial"/>
          <w:sz w:val="24"/>
          <w:szCs w:val="24"/>
        </w:rPr>
        <w:t>ACAT in other states) take a protectionist approach to an assessment for aged care</w:t>
      </w:r>
      <w:r w:rsidR="005B5DF4">
        <w:rPr>
          <w:rFonts w:ascii="Arial" w:hAnsi="Arial" w:cs="Arial"/>
          <w:sz w:val="24"/>
          <w:szCs w:val="24"/>
        </w:rPr>
        <w:t xml:space="preserve"> entitlements</w:t>
      </w:r>
      <w:r w:rsidRPr="0099107D">
        <w:rPr>
          <w:rFonts w:ascii="Arial" w:hAnsi="Arial" w:cs="Arial"/>
          <w:sz w:val="24"/>
          <w:szCs w:val="24"/>
        </w:rPr>
        <w:t xml:space="preserve">. </w:t>
      </w:r>
    </w:p>
    <w:p w:rsidR="0099107D" w:rsidRPr="0099107D" w:rsidRDefault="0099107D" w:rsidP="0099107D">
      <w:pPr>
        <w:rPr>
          <w:rFonts w:ascii="Arial" w:hAnsi="Arial" w:cs="Arial"/>
          <w:sz w:val="24"/>
          <w:szCs w:val="24"/>
        </w:rPr>
      </w:pPr>
    </w:p>
    <w:p w:rsidR="005B5DF4" w:rsidRDefault="0099107D" w:rsidP="0099107D">
      <w:pPr>
        <w:rPr>
          <w:rFonts w:ascii="Arial" w:hAnsi="Arial" w:cs="Arial"/>
          <w:sz w:val="24"/>
          <w:szCs w:val="24"/>
        </w:rPr>
      </w:pPr>
      <w:r w:rsidRPr="0099107D">
        <w:rPr>
          <w:rFonts w:ascii="Arial" w:hAnsi="Arial" w:cs="Arial"/>
          <w:sz w:val="24"/>
          <w:szCs w:val="24"/>
        </w:rPr>
        <w:t xml:space="preserve">If </w:t>
      </w:r>
      <w:r w:rsidR="005B5DF4">
        <w:rPr>
          <w:rFonts w:ascii="Arial" w:hAnsi="Arial" w:cs="Arial"/>
          <w:sz w:val="24"/>
          <w:szCs w:val="24"/>
        </w:rPr>
        <w:t xml:space="preserve">observations </w:t>
      </w:r>
      <w:r w:rsidRPr="0099107D">
        <w:rPr>
          <w:rFonts w:ascii="Arial" w:hAnsi="Arial" w:cs="Arial"/>
          <w:sz w:val="24"/>
          <w:szCs w:val="24"/>
        </w:rPr>
        <w:t xml:space="preserve">are made about a risk of neglect </w:t>
      </w:r>
      <w:r w:rsidR="005B5DF4">
        <w:rPr>
          <w:rFonts w:ascii="Arial" w:hAnsi="Arial" w:cs="Arial"/>
          <w:sz w:val="24"/>
          <w:szCs w:val="24"/>
        </w:rPr>
        <w:t xml:space="preserve">or </w:t>
      </w:r>
      <w:r w:rsidRPr="0099107D">
        <w:rPr>
          <w:rFonts w:ascii="Arial" w:hAnsi="Arial" w:cs="Arial"/>
          <w:sz w:val="24"/>
          <w:szCs w:val="24"/>
        </w:rPr>
        <w:t>abuse in an older person</w:t>
      </w:r>
      <w:r w:rsidR="005B5DF4">
        <w:rPr>
          <w:rFonts w:ascii="Arial" w:hAnsi="Arial" w:cs="Arial"/>
          <w:sz w:val="24"/>
          <w:szCs w:val="24"/>
        </w:rPr>
        <w:t>’</w:t>
      </w:r>
      <w:r w:rsidRPr="0099107D">
        <w:rPr>
          <w:rFonts w:ascii="Arial" w:hAnsi="Arial" w:cs="Arial"/>
          <w:sz w:val="24"/>
          <w:szCs w:val="24"/>
        </w:rPr>
        <w:t>s own home</w:t>
      </w:r>
      <w:r w:rsidR="005B5DF4">
        <w:rPr>
          <w:rFonts w:ascii="Arial" w:hAnsi="Arial" w:cs="Arial"/>
          <w:sz w:val="24"/>
          <w:szCs w:val="24"/>
        </w:rPr>
        <w:t xml:space="preserve">, </w:t>
      </w:r>
      <w:r w:rsidRPr="0099107D">
        <w:rPr>
          <w:rFonts w:ascii="Arial" w:hAnsi="Arial" w:cs="Arial"/>
          <w:sz w:val="24"/>
          <w:szCs w:val="24"/>
        </w:rPr>
        <w:t xml:space="preserve">often a recommendation is made that the person be transferred </w:t>
      </w:r>
      <w:r w:rsidR="005B5DF4">
        <w:rPr>
          <w:rFonts w:ascii="Arial" w:hAnsi="Arial" w:cs="Arial"/>
          <w:sz w:val="24"/>
          <w:szCs w:val="24"/>
        </w:rPr>
        <w:t xml:space="preserve">from home </w:t>
      </w:r>
      <w:r w:rsidRPr="0099107D">
        <w:rPr>
          <w:rFonts w:ascii="Arial" w:hAnsi="Arial" w:cs="Arial"/>
          <w:sz w:val="24"/>
          <w:szCs w:val="24"/>
        </w:rPr>
        <w:t xml:space="preserve">into residential care </w:t>
      </w:r>
      <w:r w:rsidR="005B5DF4">
        <w:rPr>
          <w:rFonts w:ascii="Arial" w:hAnsi="Arial" w:cs="Arial"/>
          <w:sz w:val="24"/>
          <w:szCs w:val="24"/>
        </w:rPr>
        <w:t xml:space="preserve">regardless of </w:t>
      </w:r>
      <w:r w:rsidRPr="0099107D">
        <w:rPr>
          <w:rFonts w:ascii="Arial" w:hAnsi="Arial" w:cs="Arial"/>
          <w:sz w:val="24"/>
          <w:szCs w:val="24"/>
        </w:rPr>
        <w:t xml:space="preserve">whether </w:t>
      </w:r>
      <w:r w:rsidR="005B5DF4">
        <w:rPr>
          <w:rFonts w:ascii="Arial" w:hAnsi="Arial" w:cs="Arial"/>
          <w:sz w:val="24"/>
          <w:szCs w:val="24"/>
        </w:rPr>
        <w:t>they wish to leave their home.  This approach fails to deal w</w:t>
      </w:r>
      <w:r w:rsidRPr="0099107D">
        <w:rPr>
          <w:rFonts w:ascii="Arial" w:hAnsi="Arial" w:cs="Arial"/>
          <w:sz w:val="24"/>
          <w:szCs w:val="24"/>
        </w:rPr>
        <w:t>ith the perpetrator who oftentimes remains in the family home.</w:t>
      </w:r>
      <w:r w:rsidR="005B5DF4">
        <w:rPr>
          <w:rFonts w:ascii="Arial" w:hAnsi="Arial" w:cs="Arial"/>
          <w:sz w:val="24"/>
          <w:szCs w:val="24"/>
        </w:rPr>
        <w:t xml:space="preserve"> </w:t>
      </w:r>
      <w:r w:rsidRPr="0099107D">
        <w:rPr>
          <w:rFonts w:ascii="Arial" w:hAnsi="Arial" w:cs="Arial"/>
          <w:sz w:val="24"/>
          <w:szCs w:val="24"/>
        </w:rPr>
        <w:t xml:space="preserve"> In other words the</w:t>
      </w:r>
      <w:r w:rsidR="005B5DF4">
        <w:rPr>
          <w:rFonts w:ascii="Arial" w:hAnsi="Arial" w:cs="Arial"/>
          <w:sz w:val="24"/>
          <w:szCs w:val="24"/>
        </w:rPr>
        <w:t>ir</w:t>
      </w:r>
      <w:r w:rsidRPr="0099107D">
        <w:rPr>
          <w:rFonts w:ascii="Arial" w:hAnsi="Arial" w:cs="Arial"/>
          <w:sz w:val="24"/>
          <w:szCs w:val="24"/>
        </w:rPr>
        <w:t xml:space="preserve"> response to elder abuse is to remove the victim and not the perpetrator. </w:t>
      </w:r>
    </w:p>
    <w:p w:rsidR="005B5DF4" w:rsidRDefault="005B5DF4" w:rsidP="0099107D">
      <w:pPr>
        <w:rPr>
          <w:rFonts w:ascii="Arial" w:hAnsi="Arial" w:cs="Arial"/>
          <w:sz w:val="24"/>
          <w:szCs w:val="24"/>
        </w:rPr>
      </w:pPr>
    </w:p>
    <w:p w:rsidR="0099107D" w:rsidRPr="0099107D" w:rsidRDefault="005B5DF4" w:rsidP="0099107D">
      <w:pPr>
        <w:rPr>
          <w:rFonts w:ascii="Arial" w:hAnsi="Arial" w:cs="Arial"/>
          <w:sz w:val="24"/>
          <w:szCs w:val="24"/>
        </w:rPr>
      </w:pPr>
      <w:r>
        <w:rPr>
          <w:rFonts w:ascii="Arial" w:hAnsi="Arial" w:cs="Arial"/>
          <w:sz w:val="24"/>
          <w:szCs w:val="24"/>
        </w:rPr>
        <w:t>E</w:t>
      </w:r>
      <w:r w:rsidR="0099107D" w:rsidRPr="0099107D">
        <w:rPr>
          <w:rFonts w:ascii="Arial" w:hAnsi="Arial" w:cs="Arial"/>
          <w:sz w:val="24"/>
          <w:szCs w:val="24"/>
        </w:rPr>
        <w:t xml:space="preserve">mpirical experience </w:t>
      </w:r>
      <w:r>
        <w:rPr>
          <w:rFonts w:ascii="Arial" w:hAnsi="Arial" w:cs="Arial"/>
          <w:sz w:val="24"/>
          <w:szCs w:val="24"/>
        </w:rPr>
        <w:t xml:space="preserve">also indicates that individual ACAS workers sometimes </w:t>
      </w:r>
      <w:proofErr w:type="gramStart"/>
      <w:r>
        <w:rPr>
          <w:rFonts w:ascii="Arial" w:hAnsi="Arial" w:cs="Arial"/>
          <w:sz w:val="24"/>
          <w:szCs w:val="24"/>
        </w:rPr>
        <w:t xml:space="preserve">present  </w:t>
      </w:r>
      <w:r w:rsidR="0099107D" w:rsidRPr="0099107D">
        <w:rPr>
          <w:rFonts w:ascii="Arial" w:hAnsi="Arial" w:cs="Arial"/>
          <w:sz w:val="24"/>
          <w:szCs w:val="24"/>
        </w:rPr>
        <w:t>a</w:t>
      </w:r>
      <w:proofErr w:type="gramEnd"/>
      <w:r w:rsidR="0099107D" w:rsidRPr="0099107D">
        <w:rPr>
          <w:rFonts w:ascii="Arial" w:hAnsi="Arial" w:cs="Arial"/>
          <w:sz w:val="24"/>
          <w:szCs w:val="24"/>
        </w:rPr>
        <w:t xml:space="preserve"> barrier to an older person receiving care in their own home</w:t>
      </w:r>
      <w:r>
        <w:rPr>
          <w:rFonts w:ascii="Arial" w:hAnsi="Arial" w:cs="Arial"/>
          <w:sz w:val="24"/>
          <w:szCs w:val="24"/>
        </w:rPr>
        <w:t>, i</w:t>
      </w:r>
      <w:r w:rsidR="0099107D" w:rsidRPr="0099107D">
        <w:rPr>
          <w:rFonts w:ascii="Arial" w:hAnsi="Arial" w:cs="Arial"/>
          <w:sz w:val="24"/>
          <w:szCs w:val="24"/>
        </w:rPr>
        <w:t xml:space="preserve">f they form the view that the person would not be able to support themselves at home </w:t>
      </w:r>
      <w:r w:rsidR="00F3040C">
        <w:rPr>
          <w:rFonts w:ascii="Arial" w:hAnsi="Arial" w:cs="Arial"/>
          <w:sz w:val="24"/>
          <w:szCs w:val="24"/>
        </w:rPr>
        <w:t xml:space="preserve">without a </w:t>
      </w:r>
      <w:r w:rsidR="0099107D" w:rsidRPr="0099107D">
        <w:rPr>
          <w:rFonts w:ascii="Arial" w:hAnsi="Arial" w:cs="Arial"/>
          <w:sz w:val="24"/>
          <w:szCs w:val="24"/>
        </w:rPr>
        <w:t xml:space="preserve"> high level of care they are more likely to recommend that the person </w:t>
      </w:r>
      <w:r w:rsidR="00F3040C">
        <w:rPr>
          <w:rFonts w:ascii="Arial" w:hAnsi="Arial" w:cs="Arial"/>
          <w:sz w:val="24"/>
          <w:szCs w:val="24"/>
        </w:rPr>
        <w:t xml:space="preserve">move to </w:t>
      </w:r>
      <w:r w:rsidR="0099107D" w:rsidRPr="0099107D">
        <w:rPr>
          <w:rFonts w:ascii="Arial" w:hAnsi="Arial" w:cs="Arial"/>
          <w:sz w:val="24"/>
          <w:szCs w:val="24"/>
        </w:rPr>
        <w:t xml:space="preserve"> residential care and  disregard the person’s will and preferences. </w:t>
      </w:r>
      <w:r>
        <w:rPr>
          <w:rFonts w:ascii="Arial" w:hAnsi="Arial" w:cs="Arial"/>
          <w:sz w:val="24"/>
          <w:szCs w:val="24"/>
        </w:rPr>
        <w:t xml:space="preserve"> Ne</w:t>
      </w:r>
      <w:r w:rsidR="0099107D" w:rsidRPr="0099107D">
        <w:rPr>
          <w:rFonts w:ascii="Arial" w:hAnsi="Arial" w:cs="Arial"/>
          <w:sz w:val="24"/>
          <w:szCs w:val="24"/>
        </w:rPr>
        <w:t>gotiations</w:t>
      </w:r>
      <w:r>
        <w:rPr>
          <w:rFonts w:ascii="Arial" w:hAnsi="Arial" w:cs="Arial"/>
          <w:sz w:val="24"/>
          <w:szCs w:val="24"/>
        </w:rPr>
        <w:t xml:space="preserve"> for a </w:t>
      </w:r>
      <w:r w:rsidR="0099107D" w:rsidRPr="0099107D">
        <w:rPr>
          <w:rFonts w:ascii="Arial" w:hAnsi="Arial" w:cs="Arial"/>
          <w:sz w:val="24"/>
          <w:szCs w:val="24"/>
        </w:rPr>
        <w:t xml:space="preserve">  recommendation for more support services to support a home-based lifestyle</w:t>
      </w:r>
      <w:r w:rsidR="00F3040C">
        <w:rPr>
          <w:rFonts w:ascii="Arial" w:hAnsi="Arial" w:cs="Arial"/>
          <w:sz w:val="24"/>
          <w:szCs w:val="24"/>
        </w:rPr>
        <w:t xml:space="preserve"> choice are usually fruitless</w:t>
      </w:r>
      <w:r w:rsidR="0099107D" w:rsidRPr="0099107D">
        <w:rPr>
          <w:rFonts w:ascii="Arial" w:hAnsi="Arial" w:cs="Arial"/>
          <w:sz w:val="24"/>
          <w:szCs w:val="24"/>
        </w:rPr>
        <w:t xml:space="preserve">. </w:t>
      </w:r>
      <w:r w:rsidR="00F3040C">
        <w:rPr>
          <w:rFonts w:ascii="Arial" w:hAnsi="Arial" w:cs="Arial"/>
          <w:sz w:val="24"/>
          <w:szCs w:val="24"/>
        </w:rPr>
        <w:t xml:space="preserve">This approach is not consistent </w:t>
      </w:r>
      <w:proofErr w:type="gramStart"/>
      <w:r w:rsidR="00F3040C">
        <w:rPr>
          <w:rFonts w:ascii="Arial" w:hAnsi="Arial" w:cs="Arial"/>
          <w:sz w:val="24"/>
          <w:szCs w:val="24"/>
        </w:rPr>
        <w:t xml:space="preserve">with </w:t>
      </w:r>
      <w:r w:rsidR="0099107D" w:rsidRPr="0099107D">
        <w:rPr>
          <w:rFonts w:ascii="Arial" w:hAnsi="Arial" w:cs="Arial"/>
          <w:sz w:val="24"/>
          <w:szCs w:val="24"/>
        </w:rPr>
        <w:t xml:space="preserve"> older</w:t>
      </w:r>
      <w:proofErr w:type="gramEnd"/>
      <w:r w:rsidR="0099107D" w:rsidRPr="0099107D">
        <w:rPr>
          <w:rFonts w:ascii="Arial" w:hAnsi="Arial" w:cs="Arial"/>
          <w:sz w:val="24"/>
          <w:szCs w:val="24"/>
        </w:rPr>
        <w:t xml:space="preserve"> persons</w:t>
      </w:r>
      <w:r w:rsidR="00F3040C">
        <w:rPr>
          <w:rFonts w:ascii="Arial" w:hAnsi="Arial" w:cs="Arial"/>
          <w:sz w:val="24"/>
          <w:szCs w:val="24"/>
        </w:rPr>
        <w:t>’</w:t>
      </w:r>
      <w:r w:rsidR="0099107D" w:rsidRPr="0099107D">
        <w:rPr>
          <w:rFonts w:ascii="Arial" w:hAnsi="Arial" w:cs="Arial"/>
          <w:sz w:val="24"/>
          <w:szCs w:val="24"/>
        </w:rPr>
        <w:t xml:space="preserve"> </w:t>
      </w:r>
      <w:r w:rsidR="00F3040C">
        <w:rPr>
          <w:rFonts w:ascii="Arial" w:hAnsi="Arial" w:cs="Arial"/>
          <w:sz w:val="24"/>
          <w:szCs w:val="24"/>
        </w:rPr>
        <w:t xml:space="preserve">autonomy  and their right to </w:t>
      </w:r>
      <w:r w:rsidR="0099107D" w:rsidRPr="0099107D">
        <w:rPr>
          <w:rFonts w:ascii="Arial" w:hAnsi="Arial" w:cs="Arial"/>
          <w:sz w:val="24"/>
          <w:szCs w:val="24"/>
        </w:rPr>
        <w:t>assess</w:t>
      </w:r>
      <w:r w:rsidR="00F3040C">
        <w:rPr>
          <w:rFonts w:ascii="Arial" w:hAnsi="Arial" w:cs="Arial"/>
          <w:sz w:val="24"/>
          <w:szCs w:val="24"/>
        </w:rPr>
        <w:t xml:space="preserve"> risk </w:t>
      </w:r>
      <w:r w:rsidR="0099107D" w:rsidRPr="0099107D">
        <w:rPr>
          <w:rFonts w:ascii="Arial" w:hAnsi="Arial" w:cs="Arial"/>
          <w:sz w:val="24"/>
          <w:szCs w:val="24"/>
        </w:rPr>
        <w:t xml:space="preserve">and take </w:t>
      </w:r>
      <w:r w:rsidR="00F3040C">
        <w:rPr>
          <w:rFonts w:ascii="Arial" w:hAnsi="Arial" w:cs="Arial"/>
          <w:sz w:val="24"/>
          <w:szCs w:val="24"/>
        </w:rPr>
        <w:t xml:space="preserve">on </w:t>
      </w:r>
      <w:r w:rsidR="0099107D" w:rsidRPr="0099107D">
        <w:rPr>
          <w:rFonts w:ascii="Arial" w:hAnsi="Arial" w:cs="Arial"/>
          <w:sz w:val="24"/>
          <w:szCs w:val="24"/>
        </w:rPr>
        <w:t xml:space="preserve">a </w:t>
      </w:r>
      <w:r w:rsidR="00F3040C">
        <w:rPr>
          <w:rFonts w:ascii="Arial" w:hAnsi="Arial" w:cs="Arial"/>
          <w:sz w:val="24"/>
          <w:szCs w:val="24"/>
        </w:rPr>
        <w:t xml:space="preserve">degree  of risk themselves. </w:t>
      </w:r>
      <w:r w:rsidR="0099107D" w:rsidRPr="0099107D">
        <w:rPr>
          <w:rFonts w:ascii="Arial" w:hAnsi="Arial" w:cs="Arial"/>
          <w:sz w:val="24"/>
          <w:szCs w:val="24"/>
        </w:rPr>
        <w:t xml:space="preserve"> </w:t>
      </w:r>
    </w:p>
    <w:p w:rsidR="0099107D" w:rsidRPr="0099107D" w:rsidRDefault="0099107D" w:rsidP="0099107D">
      <w:pPr>
        <w:rPr>
          <w:rFonts w:ascii="Arial" w:hAnsi="Arial" w:cs="Arial"/>
          <w:sz w:val="24"/>
          <w:szCs w:val="24"/>
        </w:rPr>
      </w:pPr>
    </w:p>
    <w:p w:rsidR="005B5DF4" w:rsidRDefault="00F3040C" w:rsidP="0099107D">
      <w:pPr>
        <w:rPr>
          <w:rFonts w:ascii="Arial" w:hAnsi="Arial" w:cs="Arial"/>
          <w:sz w:val="24"/>
          <w:szCs w:val="24"/>
        </w:rPr>
      </w:pPr>
      <w:r>
        <w:rPr>
          <w:rFonts w:ascii="Arial" w:hAnsi="Arial" w:cs="Arial"/>
          <w:sz w:val="24"/>
          <w:szCs w:val="24"/>
        </w:rPr>
        <w:t xml:space="preserve">On the other hand the preference </w:t>
      </w:r>
      <w:proofErr w:type="gramStart"/>
      <w:r>
        <w:rPr>
          <w:rFonts w:ascii="Arial" w:hAnsi="Arial" w:cs="Arial"/>
          <w:sz w:val="24"/>
          <w:szCs w:val="24"/>
        </w:rPr>
        <w:t>for  home</w:t>
      </w:r>
      <w:proofErr w:type="gramEnd"/>
      <w:r>
        <w:rPr>
          <w:rFonts w:ascii="Arial" w:hAnsi="Arial" w:cs="Arial"/>
          <w:sz w:val="24"/>
          <w:szCs w:val="24"/>
        </w:rPr>
        <w:t xml:space="preserve"> based </w:t>
      </w:r>
      <w:r w:rsidR="0099107D" w:rsidRPr="0099107D">
        <w:rPr>
          <w:rFonts w:ascii="Arial" w:hAnsi="Arial" w:cs="Arial"/>
          <w:sz w:val="24"/>
          <w:szCs w:val="24"/>
        </w:rPr>
        <w:t>consumer direct</w:t>
      </w:r>
      <w:r>
        <w:rPr>
          <w:rFonts w:ascii="Arial" w:hAnsi="Arial" w:cs="Arial"/>
          <w:sz w:val="24"/>
          <w:szCs w:val="24"/>
        </w:rPr>
        <w:t>ed</w:t>
      </w:r>
      <w:r w:rsidR="0099107D" w:rsidRPr="0099107D">
        <w:rPr>
          <w:rFonts w:ascii="Arial" w:hAnsi="Arial" w:cs="Arial"/>
          <w:sz w:val="24"/>
          <w:szCs w:val="24"/>
        </w:rPr>
        <w:t xml:space="preserve"> care </w:t>
      </w:r>
      <w:r>
        <w:rPr>
          <w:rFonts w:ascii="Arial" w:hAnsi="Arial" w:cs="Arial"/>
          <w:sz w:val="24"/>
          <w:szCs w:val="24"/>
        </w:rPr>
        <w:t xml:space="preserve">may not be  made on the </w:t>
      </w:r>
      <w:r w:rsidR="0099107D" w:rsidRPr="0099107D">
        <w:rPr>
          <w:rFonts w:ascii="Arial" w:hAnsi="Arial" w:cs="Arial"/>
          <w:sz w:val="24"/>
          <w:szCs w:val="24"/>
        </w:rPr>
        <w:t>will and preference of the older person (</w:t>
      </w:r>
      <w:r>
        <w:rPr>
          <w:rFonts w:ascii="Arial" w:hAnsi="Arial" w:cs="Arial"/>
          <w:sz w:val="24"/>
          <w:szCs w:val="24"/>
        </w:rPr>
        <w:t>although it often is their preference</w:t>
      </w:r>
      <w:r w:rsidR="0099107D" w:rsidRPr="0099107D">
        <w:rPr>
          <w:rFonts w:ascii="Arial" w:hAnsi="Arial" w:cs="Arial"/>
          <w:sz w:val="24"/>
          <w:szCs w:val="24"/>
        </w:rPr>
        <w:t>)</w:t>
      </w:r>
      <w:r>
        <w:rPr>
          <w:rFonts w:ascii="Arial" w:hAnsi="Arial" w:cs="Arial"/>
          <w:sz w:val="24"/>
          <w:szCs w:val="24"/>
        </w:rPr>
        <w:t xml:space="preserve">.  It might be a preference </w:t>
      </w:r>
      <w:r w:rsidR="0099107D" w:rsidRPr="0099107D">
        <w:rPr>
          <w:rFonts w:ascii="Arial" w:hAnsi="Arial" w:cs="Arial"/>
          <w:sz w:val="24"/>
          <w:szCs w:val="24"/>
        </w:rPr>
        <w:t xml:space="preserve">to support the financial plans of the adult children who may wish to resist the necessary sale of the parents’ home to facilitate paying for their care </w:t>
      </w:r>
      <w:r>
        <w:rPr>
          <w:rFonts w:ascii="Arial" w:hAnsi="Arial" w:cs="Arial"/>
          <w:sz w:val="24"/>
          <w:szCs w:val="24"/>
        </w:rPr>
        <w:t>(</w:t>
      </w:r>
      <w:r w:rsidR="0099107D" w:rsidRPr="0099107D">
        <w:rPr>
          <w:rFonts w:ascii="Arial" w:hAnsi="Arial" w:cs="Arial"/>
          <w:sz w:val="24"/>
          <w:szCs w:val="24"/>
        </w:rPr>
        <w:t>inheritance preservation</w:t>
      </w:r>
      <w:r>
        <w:rPr>
          <w:rFonts w:ascii="Arial" w:hAnsi="Arial" w:cs="Arial"/>
          <w:sz w:val="24"/>
          <w:szCs w:val="24"/>
        </w:rPr>
        <w:t>)</w:t>
      </w:r>
      <w:r w:rsidR="0099107D" w:rsidRPr="0099107D">
        <w:rPr>
          <w:rFonts w:ascii="Arial" w:hAnsi="Arial" w:cs="Arial"/>
          <w:sz w:val="24"/>
          <w:szCs w:val="24"/>
        </w:rPr>
        <w:t xml:space="preserve">. </w:t>
      </w:r>
    </w:p>
    <w:p w:rsidR="005B5DF4" w:rsidRDefault="005B5DF4" w:rsidP="0099107D">
      <w:pPr>
        <w:rPr>
          <w:rFonts w:ascii="Arial" w:hAnsi="Arial" w:cs="Arial"/>
          <w:sz w:val="24"/>
          <w:szCs w:val="24"/>
        </w:rPr>
      </w:pPr>
    </w:p>
    <w:p w:rsidR="0099107D" w:rsidRPr="0099107D" w:rsidRDefault="00F3040C" w:rsidP="0099107D">
      <w:pPr>
        <w:rPr>
          <w:rFonts w:ascii="Arial" w:hAnsi="Arial" w:cs="Arial"/>
          <w:sz w:val="24"/>
          <w:szCs w:val="24"/>
        </w:rPr>
      </w:pPr>
      <w:r>
        <w:rPr>
          <w:rFonts w:ascii="Arial" w:hAnsi="Arial" w:cs="Arial"/>
          <w:sz w:val="24"/>
          <w:szCs w:val="24"/>
        </w:rPr>
        <w:t xml:space="preserve">Assessment of these influences could be assessed by </w:t>
      </w:r>
      <w:proofErr w:type="gramStart"/>
      <w:r>
        <w:rPr>
          <w:rFonts w:ascii="Arial" w:hAnsi="Arial" w:cs="Arial"/>
          <w:sz w:val="24"/>
          <w:szCs w:val="24"/>
        </w:rPr>
        <w:t>ACAS .</w:t>
      </w:r>
      <w:proofErr w:type="gramEnd"/>
      <w:r>
        <w:rPr>
          <w:rFonts w:ascii="Arial" w:hAnsi="Arial" w:cs="Arial"/>
          <w:sz w:val="24"/>
          <w:szCs w:val="24"/>
        </w:rPr>
        <w:t xml:space="preserve"> It might become necessary for the older person to </w:t>
      </w:r>
      <w:r w:rsidR="0099107D" w:rsidRPr="0099107D">
        <w:rPr>
          <w:rFonts w:ascii="Arial" w:hAnsi="Arial" w:cs="Arial"/>
          <w:sz w:val="24"/>
          <w:szCs w:val="24"/>
        </w:rPr>
        <w:t xml:space="preserve">explain what </w:t>
      </w:r>
      <w:proofErr w:type="gramStart"/>
      <w:r w:rsidR="0099107D" w:rsidRPr="0099107D">
        <w:rPr>
          <w:rFonts w:ascii="Arial" w:hAnsi="Arial" w:cs="Arial"/>
          <w:sz w:val="24"/>
          <w:szCs w:val="24"/>
        </w:rPr>
        <w:t>the</w:t>
      </w:r>
      <w:r>
        <w:rPr>
          <w:rFonts w:ascii="Arial" w:hAnsi="Arial" w:cs="Arial"/>
          <w:sz w:val="24"/>
          <w:szCs w:val="24"/>
        </w:rPr>
        <w:t xml:space="preserve">ir  </w:t>
      </w:r>
      <w:r w:rsidRPr="0099107D">
        <w:rPr>
          <w:rFonts w:ascii="Arial" w:hAnsi="Arial" w:cs="Arial"/>
          <w:sz w:val="24"/>
          <w:szCs w:val="24"/>
        </w:rPr>
        <w:t>financial</w:t>
      </w:r>
      <w:proofErr w:type="gramEnd"/>
      <w:r w:rsidRPr="0099107D">
        <w:rPr>
          <w:rFonts w:ascii="Arial" w:hAnsi="Arial" w:cs="Arial"/>
          <w:sz w:val="24"/>
          <w:szCs w:val="24"/>
        </w:rPr>
        <w:t xml:space="preserve"> circumstances </w:t>
      </w:r>
      <w:r>
        <w:rPr>
          <w:rFonts w:ascii="Arial" w:hAnsi="Arial" w:cs="Arial"/>
          <w:sz w:val="24"/>
          <w:szCs w:val="24"/>
        </w:rPr>
        <w:t xml:space="preserve">are and their </w:t>
      </w:r>
      <w:r w:rsidR="0099107D" w:rsidRPr="0099107D">
        <w:rPr>
          <w:rFonts w:ascii="Arial" w:hAnsi="Arial" w:cs="Arial"/>
          <w:sz w:val="24"/>
          <w:szCs w:val="24"/>
        </w:rPr>
        <w:t>plans for payment of aged care into the future</w:t>
      </w:r>
      <w:r>
        <w:rPr>
          <w:rFonts w:ascii="Arial" w:hAnsi="Arial" w:cs="Arial"/>
          <w:sz w:val="24"/>
          <w:szCs w:val="24"/>
        </w:rPr>
        <w:t xml:space="preserve">,  </w:t>
      </w:r>
      <w:r w:rsidR="0099107D" w:rsidRPr="0099107D">
        <w:rPr>
          <w:rFonts w:ascii="Arial" w:hAnsi="Arial" w:cs="Arial"/>
          <w:sz w:val="24"/>
          <w:szCs w:val="24"/>
        </w:rPr>
        <w:t>but this would necessary in any event in order to ascertain the older person had the requisite capacity to make financial decisions</w:t>
      </w:r>
      <w:r>
        <w:rPr>
          <w:rFonts w:ascii="Arial" w:hAnsi="Arial" w:cs="Arial"/>
          <w:sz w:val="24"/>
          <w:szCs w:val="24"/>
        </w:rPr>
        <w:t xml:space="preserve"> about accommodation</w:t>
      </w:r>
      <w:r w:rsidR="0099107D" w:rsidRPr="0099107D">
        <w:rPr>
          <w:rFonts w:ascii="Arial" w:hAnsi="Arial" w:cs="Arial"/>
          <w:sz w:val="24"/>
          <w:szCs w:val="24"/>
        </w:rPr>
        <w:t xml:space="preserve">. </w:t>
      </w:r>
    </w:p>
    <w:p w:rsidR="0099107D" w:rsidRPr="0099107D" w:rsidRDefault="0099107D" w:rsidP="0099107D">
      <w:pPr>
        <w:rPr>
          <w:rFonts w:ascii="Arial" w:hAnsi="Arial" w:cs="Arial"/>
          <w:sz w:val="24"/>
          <w:szCs w:val="24"/>
        </w:rPr>
      </w:pPr>
    </w:p>
    <w:p w:rsidR="00D52C88" w:rsidRPr="0099107D" w:rsidRDefault="00D52C88" w:rsidP="00D52C88">
      <w:pPr>
        <w:rPr>
          <w:rFonts w:ascii="Arial" w:hAnsi="Arial" w:cs="Arial"/>
          <w:sz w:val="24"/>
          <w:szCs w:val="24"/>
        </w:rPr>
      </w:pP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 xml:space="preserve">Question </w:t>
      </w:r>
      <w:proofErr w:type="gramStart"/>
      <w:r w:rsidRPr="0099107D">
        <w:rPr>
          <w:rFonts w:ascii="Arial" w:hAnsi="Arial" w:cs="Arial"/>
          <w:i/>
          <w:iCs/>
          <w:sz w:val="24"/>
          <w:szCs w:val="24"/>
          <w:u w:val="single"/>
        </w:rPr>
        <w:t xml:space="preserve">15 </w:t>
      </w:r>
      <w:r w:rsidR="007516FD">
        <w:rPr>
          <w:rFonts w:ascii="Arial" w:hAnsi="Arial" w:cs="Arial"/>
          <w:i/>
          <w:iCs/>
          <w:sz w:val="24"/>
          <w:szCs w:val="24"/>
          <w:u w:val="single"/>
        </w:rPr>
        <w:tab/>
      </w:r>
      <w:r w:rsidR="007516FD">
        <w:rPr>
          <w:rFonts w:ascii="Arial" w:hAnsi="Arial" w:cs="Arial"/>
          <w:i/>
          <w:iCs/>
          <w:sz w:val="24"/>
          <w:szCs w:val="24"/>
          <w:u w:val="single"/>
        </w:rPr>
        <w:tab/>
      </w:r>
      <w:r w:rsidRPr="0099107D">
        <w:rPr>
          <w:rFonts w:ascii="Arial" w:hAnsi="Arial" w:cs="Arial"/>
          <w:i/>
          <w:iCs/>
          <w:sz w:val="24"/>
          <w:szCs w:val="24"/>
          <w:u w:val="single"/>
        </w:rPr>
        <w:t>Quality</w:t>
      </w:r>
      <w:proofErr w:type="gramEnd"/>
      <w:r w:rsidRPr="0099107D">
        <w:rPr>
          <w:rFonts w:ascii="Arial" w:hAnsi="Arial" w:cs="Arial"/>
          <w:i/>
          <w:iCs/>
          <w:sz w:val="24"/>
          <w:szCs w:val="24"/>
          <w:u w:val="single"/>
        </w:rPr>
        <w:t xml:space="preserve"> of Care Principles</w:t>
      </w:r>
    </w:p>
    <w:p w:rsidR="007516FD" w:rsidRDefault="007516FD" w:rsidP="0099107D">
      <w:pPr>
        <w:rPr>
          <w:rFonts w:ascii="Arial" w:hAnsi="Arial" w:cs="Arial"/>
          <w:sz w:val="24"/>
          <w:szCs w:val="24"/>
        </w:rPr>
      </w:pPr>
    </w:p>
    <w:p w:rsidR="00F3040C" w:rsidRDefault="0099107D" w:rsidP="0099107D">
      <w:pPr>
        <w:rPr>
          <w:rFonts w:ascii="Arial" w:hAnsi="Arial" w:cs="Arial"/>
          <w:sz w:val="24"/>
          <w:szCs w:val="24"/>
        </w:rPr>
      </w:pPr>
      <w:r w:rsidRPr="0099107D">
        <w:rPr>
          <w:rFonts w:ascii="Arial" w:hAnsi="Arial" w:cs="Arial"/>
          <w:sz w:val="24"/>
          <w:szCs w:val="24"/>
        </w:rPr>
        <w:t xml:space="preserve">Quality of care principles should be </w:t>
      </w:r>
      <w:r w:rsidR="00F3040C">
        <w:rPr>
          <w:rFonts w:ascii="Arial" w:hAnsi="Arial" w:cs="Arial"/>
          <w:sz w:val="24"/>
          <w:szCs w:val="24"/>
        </w:rPr>
        <w:t xml:space="preserve">amended </w:t>
      </w:r>
      <w:r w:rsidRPr="0099107D">
        <w:rPr>
          <w:rFonts w:ascii="Arial" w:hAnsi="Arial" w:cs="Arial"/>
          <w:sz w:val="24"/>
          <w:szCs w:val="24"/>
        </w:rPr>
        <w:t>to i</w:t>
      </w:r>
      <w:r w:rsidR="00F3040C">
        <w:rPr>
          <w:rFonts w:ascii="Arial" w:hAnsi="Arial" w:cs="Arial"/>
          <w:sz w:val="24"/>
          <w:szCs w:val="24"/>
        </w:rPr>
        <w:t xml:space="preserve">ncrease </w:t>
      </w:r>
      <w:r w:rsidRPr="0099107D">
        <w:rPr>
          <w:rFonts w:ascii="Arial" w:hAnsi="Arial" w:cs="Arial"/>
          <w:sz w:val="24"/>
          <w:szCs w:val="24"/>
        </w:rPr>
        <w:t>the ratio of trained nursing staff</w:t>
      </w:r>
      <w:r w:rsidR="00F3040C">
        <w:rPr>
          <w:rFonts w:ascii="Arial" w:hAnsi="Arial" w:cs="Arial"/>
          <w:sz w:val="24"/>
          <w:szCs w:val="24"/>
        </w:rPr>
        <w:t xml:space="preserve"> to personal care staff.</w:t>
      </w:r>
      <w:r w:rsidRPr="0099107D">
        <w:rPr>
          <w:rFonts w:ascii="Arial" w:hAnsi="Arial" w:cs="Arial"/>
          <w:sz w:val="24"/>
          <w:szCs w:val="24"/>
        </w:rPr>
        <w:t xml:space="preserve"> The  justification of having a low ratio of trained nursing staff to personal care staff is that residential care provides </w:t>
      </w:r>
      <w:r w:rsidR="00F3040C">
        <w:rPr>
          <w:rFonts w:ascii="Arial" w:hAnsi="Arial" w:cs="Arial"/>
          <w:sz w:val="24"/>
          <w:szCs w:val="24"/>
        </w:rPr>
        <w:t>(</w:t>
      </w:r>
      <w:r w:rsidRPr="0099107D">
        <w:rPr>
          <w:rFonts w:ascii="Arial" w:hAnsi="Arial" w:cs="Arial"/>
          <w:sz w:val="24"/>
          <w:szCs w:val="24"/>
        </w:rPr>
        <w:t>exactly what it states</w:t>
      </w:r>
      <w:r w:rsidR="00F3040C">
        <w:rPr>
          <w:rFonts w:ascii="Arial" w:hAnsi="Arial" w:cs="Arial"/>
          <w:sz w:val="24"/>
          <w:szCs w:val="24"/>
        </w:rPr>
        <w:t>)</w:t>
      </w:r>
      <w:r w:rsidRPr="0099107D">
        <w:rPr>
          <w:rFonts w:ascii="Arial" w:hAnsi="Arial" w:cs="Arial"/>
          <w:sz w:val="24"/>
          <w:szCs w:val="24"/>
        </w:rPr>
        <w:t xml:space="preserve"> a residence rather than hospital care. </w:t>
      </w:r>
      <w:r w:rsidR="00295C4D">
        <w:rPr>
          <w:rFonts w:ascii="Arial" w:hAnsi="Arial" w:cs="Arial"/>
          <w:sz w:val="24"/>
          <w:szCs w:val="24"/>
        </w:rPr>
        <w:t>No doubt o</w:t>
      </w:r>
      <w:r w:rsidR="00AE7159">
        <w:rPr>
          <w:rFonts w:ascii="Arial" w:hAnsi="Arial" w:cs="Arial"/>
          <w:sz w:val="24"/>
          <w:szCs w:val="24"/>
        </w:rPr>
        <w:t>bjections will be raised in regard to costs and funding</w:t>
      </w:r>
      <w:r w:rsidR="00295C4D">
        <w:rPr>
          <w:rFonts w:ascii="Arial" w:hAnsi="Arial" w:cs="Arial"/>
          <w:sz w:val="24"/>
          <w:szCs w:val="24"/>
        </w:rPr>
        <w:t>.</w:t>
      </w:r>
    </w:p>
    <w:p w:rsidR="00F3040C" w:rsidRDefault="00F3040C" w:rsidP="0099107D">
      <w:pPr>
        <w:rPr>
          <w:rFonts w:ascii="Arial" w:hAnsi="Arial" w:cs="Arial"/>
          <w:sz w:val="24"/>
          <w:szCs w:val="24"/>
        </w:rPr>
      </w:pPr>
    </w:p>
    <w:p w:rsidR="0099107D" w:rsidRPr="0099107D" w:rsidRDefault="0099107D" w:rsidP="0099107D">
      <w:pPr>
        <w:rPr>
          <w:rFonts w:ascii="Arial" w:hAnsi="Arial" w:cs="Arial"/>
          <w:sz w:val="24"/>
          <w:szCs w:val="24"/>
        </w:rPr>
      </w:pPr>
      <w:r w:rsidRPr="0099107D">
        <w:rPr>
          <w:rFonts w:ascii="Arial" w:hAnsi="Arial" w:cs="Arial"/>
          <w:sz w:val="24"/>
          <w:szCs w:val="24"/>
        </w:rPr>
        <w:t>Nonetheless, the</w:t>
      </w:r>
      <w:r w:rsidR="00AE7159">
        <w:rPr>
          <w:rFonts w:ascii="Arial" w:hAnsi="Arial" w:cs="Arial"/>
          <w:sz w:val="24"/>
          <w:szCs w:val="24"/>
        </w:rPr>
        <w:t xml:space="preserve"> risk of injury to </w:t>
      </w:r>
      <w:r w:rsidRPr="0099107D">
        <w:rPr>
          <w:rFonts w:ascii="Arial" w:hAnsi="Arial" w:cs="Arial"/>
          <w:sz w:val="24"/>
          <w:szCs w:val="24"/>
        </w:rPr>
        <w:t>older people and the requirement to keep good records of any injuries necessitat</w:t>
      </w:r>
      <w:r w:rsidR="00AE7159">
        <w:rPr>
          <w:rFonts w:ascii="Arial" w:hAnsi="Arial" w:cs="Arial"/>
          <w:sz w:val="24"/>
          <w:szCs w:val="24"/>
        </w:rPr>
        <w:t>es</w:t>
      </w:r>
      <w:r w:rsidRPr="0099107D">
        <w:rPr>
          <w:rFonts w:ascii="Arial" w:hAnsi="Arial" w:cs="Arial"/>
          <w:sz w:val="24"/>
          <w:szCs w:val="24"/>
        </w:rPr>
        <w:t xml:space="preserve"> </w:t>
      </w:r>
      <w:r w:rsidR="00AE7159">
        <w:rPr>
          <w:rFonts w:ascii="Arial" w:hAnsi="Arial" w:cs="Arial"/>
          <w:sz w:val="24"/>
          <w:szCs w:val="24"/>
        </w:rPr>
        <w:t xml:space="preserve">more </w:t>
      </w:r>
      <w:r w:rsidRPr="0099107D">
        <w:rPr>
          <w:rFonts w:ascii="Arial" w:hAnsi="Arial" w:cs="Arial"/>
          <w:sz w:val="24"/>
          <w:szCs w:val="24"/>
        </w:rPr>
        <w:t xml:space="preserve">trained nursing staff the skills of observation, note-taking and </w:t>
      </w:r>
      <w:r w:rsidR="00AE7159">
        <w:rPr>
          <w:rFonts w:ascii="Arial" w:hAnsi="Arial" w:cs="Arial"/>
          <w:sz w:val="24"/>
          <w:szCs w:val="24"/>
        </w:rPr>
        <w:t xml:space="preserve">nursing care should be employed in the field. </w:t>
      </w:r>
    </w:p>
    <w:p w:rsidR="0099107D" w:rsidRPr="0099107D" w:rsidRDefault="0099107D" w:rsidP="0099107D">
      <w:pPr>
        <w:rPr>
          <w:rFonts w:ascii="Arial" w:hAnsi="Arial" w:cs="Arial"/>
          <w:sz w:val="24"/>
          <w:szCs w:val="24"/>
        </w:rPr>
      </w:pPr>
    </w:p>
    <w:p w:rsidR="00295C4D" w:rsidRDefault="00295C4D" w:rsidP="0099107D">
      <w:pPr>
        <w:rPr>
          <w:rFonts w:ascii="Arial" w:hAnsi="Arial" w:cs="Arial"/>
          <w:i/>
          <w:iCs/>
          <w:sz w:val="24"/>
          <w:szCs w:val="24"/>
          <w:u w:val="single"/>
        </w:rPr>
      </w:pP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 xml:space="preserve">Question 16 </w:t>
      </w:r>
      <w:r w:rsidR="007516FD">
        <w:rPr>
          <w:rFonts w:ascii="Arial" w:hAnsi="Arial" w:cs="Arial"/>
          <w:i/>
          <w:iCs/>
          <w:sz w:val="24"/>
          <w:szCs w:val="24"/>
          <w:u w:val="single"/>
        </w:rPr>
        <w:tab/>
      </w:r>
      <w:r w:rsidR="007516FD">
        <w:rPr>
          <w:rFonts w:ascii="Arial" w:hAnsi="Arial" w:cs="Arial"/>
          <w:i/>
          <w:iCs/>
          <w:sz w:val="24"/>
          <w:szCs w:val="24"/>
          <w:u w:val="single"/>
        </w:rPr>
        <w:tab/>
      </w:r>
      <w:r w:rsidRPr="0099107D">
        <w:rPr>
          <w:rFonts w:ascii="Arial" w:hAnsi="Arial" w:cs="Arial"/>
          <w:i/>
          <w:iCs/>
          <w:sz w:val="24"/>
          <w:szCs w:val="24"/>
          <w:u w:val="single"/>
        </w:rPr>
        <w:t>Restrictive Practices and Restraints</w:t>
      </w:r>
    </w:p>
    <w:p w:rsidR="00363FBF" w:rsidRDefault="00363FBF" w:rsidP="00AE7159">
      <w:pPr>
        <w:rPr>
          <w:rFonts w:ascii="Arial" w:hAnsi="Arial" w:cs="Arial"/>
          <w:sz w:val="24"/>
          <w:szCs w:val="24"/>
        </w:rPr>
      </w:pPr>
    </w:p>
    <w:p w:rsidR="00CD2B11" w:rsidRPr="00AB31FD" w:rsidRDefault="00CD2B11" w:rsidP="00CD2B11">
      <w:pPr>
        <w:spacing w:line="276" w:lineRule="auto"/>
        <w:rPr>
          <w:rFonts w:ascii="Arial" w:hAnsi="Arial" w:cs="Arial"/>
          <w:sz w:val="24"/>
          <w:szCs w:val="24"/>
          <w:u w:val="single"/>
        </w:rPr>
      </w:pPr>
      <w:r>
        <w:rPr>
          <w:rFonts w:ascii="Arial" w:hAnsi="Arial" w:cs="Arial"/>
          <w:sz w:val="24"/>
          <w:szCs w:val="24"/>
          <w:u w:val="single"/>
        </w:rPr>
        <w:t xml:space="preserve">Case study </w:t>
      </w:r>
      <w:proofErr w:type="gramStart"/>
      <w:r>
        <w:rPr>
          <w:rFonts w:ascii="Arial" w:hAnsi="Arial" w:cs="Arial"/>
          <w:sz w:val="24"/>
          <w:szCs w:val="24"/>
          <w:u w:val="single"/>
        </w:rPr>
        <w:t>-  Mavis</w:t>
      </w:r>
      <w:proofErr w:type="gramEnd"/>
      <w:r w:rsidRPr="00AB31FD">
        <w:rPr>
          <w:rFonts w:ascii="Arial" w:hAnsi="Arial" w:cs="Arial"/>
          <w:sz w:val="24"/>
          <w:szCs w:val="24"/>
          <w:u w:val="single"/>
        </w:rPr>
        <w:t xml:space="preserve"> </w:t>
      </w:r>
    </w:p>
    <w:p w:rsidR="00CD2B11" w:rsidRPr="00AB31FD" w:rsidRDefault="00CD2B11" w:rsidP="00CD2B11">
      <w:pPr>
        <w:spacing w:line="276" w:lineRule="auto"/>
        <w:rPr>
          <w:rFonts w:ascii="Arial" w:hAnsi="Arial" w:cs="Arial"/>
          <w:sz w:val="24"/>
          <w:szCs w:val="24"/>
        </w:rPr>
      </w:pPr>
    </w:p>
    <w:p w:rsidR="00CD2B11" w:rsidRPr="00CD2B11" w:rsidRDefault="00CD2B11" w:rsidP="007516FD">
      <w:pPr>
        <w:pBdr>
          <w:top w:val="single" w:sz="4" w:space="1" w:color="auto"/>
          <w:left w:val="single" w:sz="4" w:space="4" w:color="auto"/>
          <w:bottom w:val="single" w:sz="4" w:space="1" w:color="auto"/>
          <w:right w:val="single" w:sz="4" w:space="4" w:color="auto"/>
        </w:pBdr>
        <w:spacing w:line="276" w:lineRule="auto"/>
        <w:rPr>
          <w:rFonts w:ascii="Arial" w:hAnsi="Arial" w:cs="Arial"/>
          <w:i/>
          <w:sz w:val="24"/>
          <w:szCs w:val="24"/>
        </w:rPr>
      </w:pPr>
      <w:r w:rsidRPr="00CD2B11">
        <w:rPr>
          <w:rFonts w:ascii="Arial" w:hAnsi="Arial" w:cs="Arial"/>
          <w:i/>
          <w:sz w:val="24"/>
          <w:szCs w:val="24"/>
        </w:rPr>
        <w:t xml:space="preserve">Another lawyer visited a woman who had been placed in residential care after a stroke. After a period of time she wanted to return home. Her daughter did not want her to return to home because she wanted to eject the mother’s long time domestic partner from the home before he had a chance to assert any equitable rights to the home. Enquiries revealed that the woman had been prescribed </w:t>
      </w:r>
      <w:proofErr w:type="spellStart"/>
      <w:r w:rsidRPr="00CD2B11">
        <w:rPr>
          <w:rFonts w:ascii="Arial" w:hAnsi="Arial" w:cs="Arial"/>
          <w:i/>
          <w:sz w:val="24"/>
          <w:szCs w:val="24"/>
        </w:rPr>
        <w:t>Respiridone</w:t>
      </w:r>
      <w:proofErr w:type="spellEnd"/>
      <w:r w:rsidRPr="00CD2B11">
        <w:rPr>
          <w:rFonts w:ascii="Arial" w:hAnsi="Arial" w:cs="Arial"/>
          <w:i/>
          <w:sz w:val="24"/>
          <w:szCs w:val="24"/>
        </w:rPr>
        <w:t>, a very powerful anti-psychotic drug and was housed in a locked ward. This treatment was considered appropriate as she was judged a flight risk because she had expressed the desire to return to her home.  The daughter had made all these decisions under the belief that she was authorised to do so under a financial power of attorney. Again the residential care staff acted on the belief that such directions were binding on them.</w:t>
      </w:r>
    </w:p>
    <w:p w:rsidR="00363FBF" w:rsidRDefault="00363FBF" w:rsidP="00AE7159">
      <w:pPr>
        <w:rPr>
          <w:rFonts w:ascii="Arial" w:hAnsi="Arial" w:cs="Arial"/>
          <w:sz w:val="24"/>
          <w:szCs w:val="24"/>
        </w:rPr>
      </w:pPr>
    </w:p>
    <w:p w:rsidR="00CD2B11" w:rsidRPr="0099107D" w:rsidRDefault="00CD2B11" w:rsidP="00CD2B11">
      <w:pPr>
        <w:rPr>
          <w:rFonts w:ascii="Arial" w:hAnsi="Arial" w:cs="Arial"/>
          <w:sz w:val="24"/>
          <w:szCs w:val="24"/>
        </w:rPr>
      </w:pPr>
      <w:proofErr w:type="gramStart"/>
      <w:r>
        <w:rPr>
          <w:rFonts w:ascii="Arial" w:hAnsi="Arial" w:cs="Arial"/>
          <w:sz w:val="24"/>
          <w:szCs w:val="24"/>
        </w:rPr>
        <w:t xml:space="preserve">Recent </w:t>
      </w:r>
      <w:r w:rsidRPr="0099107D">
        <w:rPr>
          <w:rFonts w:ascii="Arial" w:hAnsi="Arial" w:cs="Arial"/>
          <w:sz w:val="24"/>
          <w:szCs w:val="24"/>
        </w:rPr>
        <w:t>high profile cases of behaviour modification of youth in detention centres seems</w:t>
      </w:r>
      <w:proofErr w:type="gramEnd"/>
      <w:r w:rsidRPr="0099107D">
        <w:rPr>
          <w:rFonts w:ascii="Arial" w:hAnsi="Arial" w:cs="Arial"/>
          <w:sz w:val="24"/>
          <w:szCs w:val="24"/>
        </w:rPr>
        <w:t xml:space="preserve"> to </w:t>
      </w:r>
      <w:r>
        <w:rPr>
          <w:rFonts w:ascii="Arial" w:hAnsi="Arial" w:cs="Arial"/>
          <w:sz w:val="24"/>
          <w:szCs w:val="24"/>
        </w:rPr>
        <w:t>have alarmed</w:t>
      </w:r>
      <w:r w:rsidRPr="0099107D">
        <w:rPr>
          <w:rFonts w:ascii="Arial" w:hAnsi="Arial" w:cs="Arial"/>
          <w:sz w:val="24"/>
          <w:szCs w:val="24"/>
        </w:rPr>
        <w:t xml:space="preserve"> the public whereas the use of chemical restraint on older people has been long-standing and largely unreported. </w:t>
      </w:r>
    </w:p>
    <w:p w:rsidR="00CD2B11" w:rsidRPr="0099107D" w:rsidRDefault="00CD2B11" w:rsidP="00CD2B11">
      <w:pPr>
        <w:rPr>
          <w:rFonts w:ascii="Arial" w:hAnsi="Arial" w:cs="Arial"/>
          <w:sz w:val="24"/>
          <w:szCs w:val="24"/>
        </w:rPr>
      </w:pPr>
    </w:p>
    <w:p w:rsidR="00CD2B11" w:rsidRPr="0099107D" w:rsidRDefault="00CD2B11" w:rsidP="00CD2B11">
      <w:pPr>
        <w:rPr>
          <w:rFonts w:ascii="Arial" w:hAnsi="Arial" w:cs="Arial"/>
          <w:sz w:val="24"/>
          <w:szCs w:val="24"/>
        </w:rPr>
      </w:pPr>
      <w:r w:rsidRPr="0099107D">
        <w:rPr>
          <w:rFonts w:ascii="Arial" w:hAnsi="Arial" w:cs="Arial"/>
          <w:sz w:val="24"/>
          <w:szCs w:val="24"/>
        </w:rPr>
        <w:t xml:space="preserve">Empirical evidence suggests that </w:t>
      </w:r>
      <w:r>
        <w:rPr>
          <w:rFonts w:ascii="Arial" w:hAnsi="Arial" w:cs="Arial"/>
          <w:sz w:val="24"/>
          <w:szCs w:val="24"/>
        </w:rPr>
        <w:t xml:space="preserve">the medical profession has long been complicit with the medication approach to behaviour management. There is </w:t>
      </w:r>
      <w:r w:rsidRPr="0099107D">
        <w:rPr>
          <w:rFonts w:ascii="Arial" w:hAnsi="Arial" w:cs="Arial"/>
          <w:sz w:val="24"/>
          <w:szCs w:val="24"/>
        </w:rPr>
        <w:t xml:space="preserve"> wide spread </w:t>
      </w:r>
      <w:r>
        <w:rPr>
          <w:rFonts w:ascii="Arial" w:hAnsi="Arial" w:cs="Arial"/>
          <w:sz w:val="24"/>
          <w:szCs w:val="24"/>
        </w:rPr>
        <w:t xml:space="preserve">overreliance on </w:t>
      </w:r>
      <w:r w:rsidRPr="0099107D">
        <w:rPr>
          <w:rFonts w:ascii="Arial" w:hAnsi="Arial" w:cs="Arial"/>
          <w:sz w:val="24"/>
          <w:szCs w:val="24"/>
        </w:rPr>
        <w:t xml:space="preserve">prescription of anti-anxiety tablets and anti-psychotic medication for older people who simply express a desire to return home or </w:t>
      </w:r>
      <w:r>
        <w:rPr>
          <w:rFonts w:ascii="Arial" w:hAnsi="Arial" w:cs="Arial"/>
          <w:sz w:val="24"/>
          <w:szCs w:val="24"/>
        </w:rPr>
        <w:t xml:space="preserve">who </w:t>
      </w:r>
      <w:r w:rsidRPr="0099107D">
        <w:rPr>
          <w:rFonts w:ascii="Arial" w:hAnsi="Arial" w:cs="Arial"/>
          <w:sz w:val="24"/>
          <w:szCs w:val="24"/>
        </w:rPr>
        <w:t>ex</w:t>
      </w:r>
      <w:r>
        <w:rPr>
          <w:rFonts w:ascii="Arial" w:hAnsi="Arial" w:cs="Arial"/>
          <w:sz w:val="24"/>
          <w:szCs w:val="24"/>
        </w:rPr>
        <w:t xml:space="preserve">hibit </w:t>
      </w:r>
      <w:r w:rsidRPr="0099107D">
        <w:rPr>
          <w:rFonts w:ascii="Arial" w:hAnsi="Arial" w:cs="Arial"/>
          <w:sz w:val="24"/>
          <w:szCs w:val="24"/>
        </w:rPr>
        <w:t xml:space="preserve"> symptoms of </w:t>
      </w:r>
      <w:r>
        <w:rPr>
          <w:rFonts w:ascii="Arial" w:hAnsi="Arial" w:cs="Arial"/>
          <w:sz w:val="24"/>
          <w:szCs w:val="24"/>
        </w:rPr>
        <w:t xml:space="preserve">situational </w:t>
      </w:r>
      <w:r w:rsidRPr="0099107D">
        <w:rPr>
          <w:rFonts w:ascii="Arial" w:hAnsi="Arial" w:cs="Arial"/>
          <w:sz w:val="24"/>
          <w:szCs w:val="24"/>
        </w:rPr>
        <w:t>depression</w:t>
      </w:r>
      <w:r>
        <w:rPr>
          <w:rFonts w:ascii="Arial" w:hAnsi="Arial" w:cs="Arial"/>
          <w:sz w:val="24"/>
          <w:szCs w:val="24"/>
        </w:rPr>
        <w:t>, finding themselves in cir</w:t>
      </w:r>
      <w:r w:rsidRPr="0099107D">
        <w:rPr>
          <w:rFonts w:ascii="Arial" w:hAnsi="Arial" w:cs="Arial"/>
          <w:sz w:val="24"/>
          <w:szCs w:val="24"/>
        </w:rPr>
        <w:t xml:space="preserve">cumstances where they are </w:t>
      </w:r>
      <w:r>
        <w:rPr>
          <w:rFonts w:ascii="Arial" w:hAnsi="Arial" w:cs="Arial"/>
          <w:sz w:val="24"/>
          <w:szCs w:val="24"/>
        </w:rPr>
        <w:t xml:space="preserve">confined in a place </w:t>
      </w:r>
      <w:r w:rsidRPr="0099107D">
        <w:rPr>
          <w:rFonts w:ascii="Arial" w:hAnsi="Arial" w:cs="Arial"/>
          <w:sz w:val="24"/>
          <w:szCs w:val="24"/>
        </w:rPr>
        <w:t xml:space="preserve">where they don’t want to be and can’t leave. This is one of the most distressing aspects of trying to support people in aged care. </w:t>
      </w:r>
    </w:p>
    <w:p w:rsidR="00CD2B11" w:rsidRDefault="00CD2B11" w:rsidP="00AE7159">
      <w:pPr>
        <w:rPr>
          <w:rFonts w:ascii="Arial" w:hAnsi="Arial" w:cs="Arial"/>
          <w:sz w:val="24"/>
          <w:szCs w:val="24"/>
        </w:rPr>
      </w:pPr>
    </w:p>
    <w:p w:rsidR="00AE7159" w:rsidRDefault="00363FBF" w:rsidP="00AE7159">
      <w:pPr>
        <w:rPr>
          <w:rFonts w:ascii="Arial" w:hAnsi="Arial" w:cs="Arial"/>
          <w:sz w:val="24"/>
          <w:szCs w:val="24"/>
        </w:rPr>
      </w:pPr>
      <w:r>
        <w:rPr>
          <w:rFonts w:ascii="Arial" w:hAnsi="Arial" w:cs="Arial"/>
          <w:sz w:val="24"/>
          <w:szCs w:val="24"/>
        </w:rPr>
        <w:t xml:space="preserve">In addition to </w:t>
      </w:r>
      <w:r w:rsidR="00AE7159" w:rsidRPr="0099107D">
        <w:rPr>
          <w:rFonts w:ascii="Arial" w:hAnsi="Arial" w:cs="Arial"/>
          <w:sz w:val="24"/>
          <w:szCs w:val="24"/>
        </w:rPr>
        <w:t>chemical restraint</w:t>
      </w:r>
      <w:r>
        <w:rPr>
          <w:rFonts w:ascii="Arial" w:hAnsi="Arial" w:cs="Arial"/>
          <w:sz w:val="24"/>
          <w:szCs w:val="24"/>
        </w:rPr>
        <w:t>,</w:t>
      </w:r>
      <w:r w:rsidR="00AE7159" w:rsidRPr="0099107D">
        <w:rPr>
          <w:rFonts w:ascii="Arial" w:hAnsi="Arial" w:cs="Arial"/>
          <w:sz w:val="24"/>
          <w:szCs w:val="24"/>
        </w:rPr>
        <w:t xml:space="preserve"> other restraint devices are used such as </w:t>
      </w:r>
      <w:r>
        <w:rPr>
          <w:rFonts w:ascii="Arial" w:hAnsi="Arial" w:cs="Arial"/>
          <w:sz w:val="24"/>
          <w:szCs w:val="24"/>
        </w:rPr>
        <w:t xml:space="preserve">secure ( locked)  areas, and </w:t>
      </w:r>
      <w:r w:rsidR="00AE7159" w:rsidRPr="0099107D">
        <w:rPr>
          <w:rFonts w:ascii="Arial" w:hAnsi="Arial" w:cs="Arial"/>
          <w:sz w:val="24"/>
          <w:szCs w:val="24"/>
        </w:rPr>
        <w:t xml:space="preserve">sensitized mats </w:t>
      </w:r>
      <w:r>
        <w:rPr>
          <w:rFonts w:ascii="Arial" w:hAnsi="Arial" w:cs="Arial"/>
          <w:sz w:val="24"/>
          <w:szCs w:val="24"/>
        </w:rPr>
        <w:t xml:space="preserve">placed </w:t>
      </w:r>
      <w:r w:rsidR="00AE7159" w:rsidRPr="0099107D">
        <w:rPr>
          <w:rFonts w:ascii="Arial" w:hAnsi="Arial" w:cs="Arial"/>
          <w:sz w:val="24"/>
          <w:szCs w:val="24"/>
        </w:rPr>
        <w:t xml:space="preserve">next to the bed so that when a </w:t>
      </w:r>
      <w:r>
        <w:rPr>
          <w:rFonts w:ascii="Arial" w:hAnsi="Arial" w:cs="Arial"/>
          <w:sz w:val="24"/>
          <w:szCs w:val="24"/>
        </w:rPr>
        <w:t xml:space="preserve">resident </w:t>
      </w:r>
      <w:r w:rsidR="00AE7159" w:rsidRPr="0099107D">
        <w:rPr>
          <w:rFonts w:ascii="Arial" w:hAnsi="Arial" w:cs="Arial"/>
          <w:sz w:val="24"/>
          <w:szCs w:val="24"/>
        </w:rPr>
        <w:t xml:space="preserve"> gets out of bed and stands on the mat an alarm goes off </w:t>
      </w:r>
      <w:r>
        <w:rPr>
          <w:rFonts w:ascii="Arial" w:hAnsi="Arial" w:cs="Arial"/>
          <w:sz w:val="24"/>
          <w:szCs w:val="24"/>
        </w:rPr>
        <w:t xml:space="preserve">causes staff to put the resident </w:t>
      </w:r>
      <w:r w:rsidR="00AE7159" w:rsidRPr="0099107D">
        <w:rPr>
          <w:rFonts w:ascii="Arial" w:hAnsi="Arial" w:cs="Arial"/>
          <w:sz w:val="24"/>
          <w:szCs w:val="24"/>
        </w:rPr>
        <w:t xml:space="preserve">back into their bed. That </w:t>
      </w:r>
      <w:r>
        <w:rPr>
          <w:rFonts w:ascii="Arial" w:hAnsi="Arial" w:cs="Arial"/>
          <w:sz w:val="24"/>
          <w:szCs w:val="24"/>
        </w:rPr>
        <w:t xml:space="preserve">resident </w:t>
      </w:r>
      <w:r w:rsidR="00AE7159" w:rsidRPr="0099107D">
        <w:rPr>
          <w:rFonts w:ascii="Arial" w:hAnsi="Arial" w:cs="Arial"/>
          <w:sz w:val="24"/>
          <w:szCs w:val="24"/>
        </w:rPr>
        <w:t xml:space="preserve">is thus restricted to their bed. </w:t>
      </w:r>
    </w:p>
    <w:p w:rsidR="00AE7159" w:rsidRDefault="00AE7159" w:rsidP="00AE7159">
      <w:pPr>
        <w:rPr>
          <w:rFonts w:ascii="Arial" w:hAnsi="Arial" w:cs="Arial"/>
          <w:sz w:val="24"/>
          <w:szCs w:val="24"/>
        </w:rPr>
      </w:pPr>
    </w:p>
    <w:p w:rsidR="00AE7159" w:rsidRDefault="0099107D" w:rsidP="0099107D">
      <w:pPr>
        <w:rPr>
          <w:rFonts w:ascii="Arial" w:hAnsi="Arial" w:cs="Arial"/>
          <w:sz w:val="24"/>
          <w:szCs w:val="24"/>
        </w:rPr>
      </w:pPr>
      <w:r w:rsidRPr="0099107D">
        <w:rPr>
          <w:rFonts w:ascii="Arial" w:hAnsi="Arial" w:cs="Arial"/>
          <w:sz w:val="24"/>
          <w:szCs w:val="24"/>
        </w:rPr>
        <w:lastRenderedPageBreak/>
        <w:t xml:space="preserve">Part of this difficulty is that the funding structure for aged care </w:t>
      </w:r>
      <w:r w:rsidR="009835F8">
        <w:rPr>
          <w:rFonts w:ascii="Arial" w:hAnsi="Arial" w:cs="Arial"/>
          <w:sz w:val="24"/>
          <w:szCs w:val="24"/>
        </w:rPr>
        <w:t xml:space="preserve">incorporates </w:t>
      </w:r>
      <w:r w:rsidR="00363FBF">
        <w:rPr>
          <w:rFonts w:ascii="Arial" w:hAnsi="Arial" w:cs="Arial"/>
          <w:sz w:val="24"/>
          <w:szCs w:val="24"/>
        </w:rPr>
        <w:t>classifi</w:t>
      </w:r>
      <w:r w:rsidR="009835F8">
        <w:rPr>
          <w:rFonts w:ascii="Arial" w:hAnsi="Arial" w:cs="Arial"/>
          <w:sz w:val="24"/>
          <w:szCs w:val="24"/>
        </w:rPr>
        <w:t xml:space="preserve">cation of </w:t>
      </w:r>
      <w:r w:rsidRPr="0099107D">
        <w:rPr>
          <w:rFonts w:ascii="Arial" w:hAnsi="Arial" w:cs="Arial"/>
          <w:sz w:val="24"/>
          <w:szCs w:val="24"/>
        </w:rPr>
        <w:t xml:space="preserve">aged care residents with particular behavioural problems or </w:t>
      </w:r>
      <w:proofErr w:type="gramStart"/>
      <w:r w:rsidRPr="0099107D">
        <w:rPr>
          <w:rFonts w:ascii="Arial" w:hAnsi="Arial" w:cs="Arial"/>
          <w:sz w:val="24"/>
          <w:szCs w:val="24"/>
        </w:rPr>
        <w:t xml:space="preserve">needs </w:t>
      </w:r>
      <w:r w:rsidR="00363FBF">
        <w:rPr>
          <w:rFonts w:ascii="Arial" w:hAnsi="Arial" w:cs="Arial"/>
          <w:sz w:val="24"/>
          <w:szCs w:val="24"/>
        </w:rPr>
        <w:t xml:space="preserve"> as</w:t>
      </w:r>
      <w:proofErr w:type="gramEnd"/>
      <w:r w:rsidR="00363FBF">
        <w:rPr>
          <w:rFonts w:ascii="Arial" w:hAnsi="Arial" w:cs="Arial"/>
          <w:sz w:val="24"/>
          <w:szCs w:val="24"/>
        </w:rPr>
        <w:t xml:space="preserve"> being entitled to </w:t>
      </w:r>
      <w:r w:rsidR="009835F8">
        <w:rPr>
          <w:rFonts w:ascii="Arial" w:hAnsi="Arial" w:cs="Arial"/>
          <w:sz w:val="24"/>
          <w:szCs w:val="24"/>
        </w:rPr>
        <w:t xml:space="preserve">be </w:t>
      </w:r>
      <w:r w:rsidR="00363FBF">
        <w:rPr>
          <w:rFonts w:ascii="Arial" w:hAnsi="Arial" w:cs="Arial"/>
          <w:sz w:val="24"/>
          <w:szCs w:val="24"/>
        </w:rPr>
        <w:t>f</w:t>
      </w:r>
      <w:r w:rsidRPr="0099107D">
        <w:rPr>
          <w:rFonts w:ascii="Arial" w:hAnsi="Arial" w:cs="Arial"/>
          <w:sz w:val="24"/>
          <w:szCs w:val="24"/>
        </w:rPr>
        <w:t xml:space="preserve">unded </w:t>
      </w:r>
      <w:r w:rsidR="00363FBF">
        <w:rPr>
          <w:rFonts w:ascii="Arial" w:hAnsi="Arial" w:cs="Arial"/>
          <w:sz w:val="24"/>
          <w:szCs w:val="24"/>
        </w:rPr>
        <w:t xml:space="preserve">support </w:t>
      </w:r>
      <w:r w:rsidRPr="0099107D">
        <w:rPr>
          <w:rFonts w:ascii="Arial" w:hAnsi="Arial" w:cs="Arial"/>
          <w:sz w:val="24"/>
          <w:szCs w:val="24"/>
        </w:rPr>
        <w:t xml:space="preserve">at a higher </w:t>
      </w:r>
      <w:r w:rsidR="00363FBF">
        <w:rPr>
          <w:rFonts w:ascii="Arial" w:hAnsi="Arial" w:cs="Arial"/>
          <w:sz w:val="24"/>
          <w:szCs w:val="24"/>
        </w:rPr>
        <w:t>rate</w:t>
      </w:r>
      <w:r w:rsidR="009835F8">
        <w:rPr>
          <w:rFonts w:ascii="Arial" w:hAnsi="Arial" w:cs="Arial"/>
          <w:sz w:val="24"/>
          <w:szCs w:val="24"/>
        </w:rPr>
        <w:t>.  So</w:t>
      </w:r>
      <w:r w:rsidRPr="0099107D">
        <w:rPr>
          <w:rFonts w:ascii="Arial" w:hAnsi="Arial" w:cs="Arial"/>
          <w:sz w:val="24"/>
          <w:szCs w:val="24"/>
        </w:rPr>
        <w:t xml:space="preserve"> the </w:t>
      </w:r>
      <w:r w:rsidR="00363FBF">
        <w:rPr>
          <w:rFonts w:ascii="Arial" w:hAnsi="Arial" w:cs="Arial"/>
          <w:sz w:val="24"/>
          <w:szCs w:val="24"/>
        </w:rPr>
        <w:t xml:space="preserve">aged care </w:t>
      </w:r>
      <w:r w:rsidRPr="0099107D">
        <w:rPr>
          <w:rFonts w:ascii="Arial" w:hAnsi="Arial" w:cs="Arial"/>
          <w:sz w:val="24"/>
          <w:szCs w:val="24"/>
        </w:rPr>
        <w:t xml:space="preserve">provider is actually rewarded by </w:t>
      </w:r>
      <w:r w:rsidR="009835F8">
        <w:rPr>
          <w:rFonts w:ascii="Arial" w:hAnsi="Arial" w:cs="Arial"/>
          <w:sz w:val="24"/>
          <w:szCs w:val="24"/>
        </w:rPr>
        <w:t xml:space="preserve">classifying </w:t>
      </w:r>
      <w:r w:rsidRPr="0099107D">
        <w:rPr>
          <w:rFonts w:ascii="Arial" w:hAnsi="Arial" w:cs="Arial"/>
          <w:sz w:val="24"/>
          <w:szCs w:val="24"/>
        </w:rPr>
        <w:t xml:space="preserve">an older person as having a range of behavioural difficulties. </w:t>
      </w:r>
    </w:p>
    <w:p w:rsidR="00AE7159" w:rsidRDefault="00AE7159" w:rsidP="0099107D">
      <w:pPr>
        <w:rPr>
          <w:rFonts w:ascii="Arial" w:hAnsi="Arial" w:cs="Arial"/>
          <w:sz w:val="24"/>
          <w:szCs w:val="24"/>
        </w:rPr>
      </w:pPr>
    </w:p>
    <w:p w:rsidR="00AE7159" w:rsidRDefault="0099107D" w:rsidP="0099107D">
      <w:pPr>
        <w:rPr>
          <w:rFonts w:ascii="Arial" w:hAnsi="Arial" w:cs="Arial"/>
          <w:sz w:val="24"/>
          <w:szCs w:val="24"/>
        </w:rPr>
      </w:pPr>
      <w:r w:rsidRPr="0099107D">
        <w:rPr>
          <w:rFonts w:ascii="Arial" w:hAnsi="Arial" w:cs="Arial"/>
          <w:sz w:val="24"/>
          <w:szCs w:val="24"/>
        </w:rPr>
        <w:t>In this context, a person who persistently expresses a wish to return home is ofte</w:t>
      </w:r>
      <w:r w:rsidR="00363FBF">
        <w:rPr>
          <w:rFonts w:ascii="Arial" w:hAnsi="Arial" w:cs="Arial"/>
          <w:sz w:val="24"/>
          <w:szCs w:val="24"/>
        </w:rPr>
        <w:t>n described as a “wanderer” and, k</w:t>
      </w:r>
      <w:r w:rsidRPr="0099107D">
        <w:rPr>
          <w:rFonts w:ascii="Arial" w:hAnsi="Arial" w:cs="Arial"/>
          <w:sz w:val="24"/>
          <w:szCs w:val="24"/>
        </w:rPr>
        <w:t xml:space="preserve">ept in a secure ward and </w:t>
      </w:r>
      <w:r w:rsidR="00363FBF">
        <w:rPr>
          <w:rFonts w:ascii="Arial" w:hAnsi="Arial" w:cs="Arial"/>
          <w:sz w:val="24"/>
          <w:szCs w:val="24"/>
        </w:rPr>
        <w:t xml:space="preserve">denied </w:t>
      </w:r>
      <w:proofErr w:type="gramStart"/>
      <w:r w:rsidR="00363FBF">
        <w:rPr>
          <w:rFonts w:ascii="Arial" w:hAnsi="Arial" w:cs="Arial"/>
          <w:sz w:val="24"/>
          <w:szCs w:val="24"/>
        </w:rPr>
        <w:t xml:space="preserve">their  </w:t>
      </w:r>
      <w:r w:rsidRPr="0099107D">
        <w:rPr>
          <w:rFonts w:ascii="Arial" w:hAnsi="Arial" w:cs="Arial"/>
          <w:sz w:val="24"/>
          <w:szCs w:val="24"/>
        </w:rPr>
        <w:t>right</w:t>
      </w:r>
      <w:proofErr w:type="gramEnd"/>
      <w:r w:rsidR="00363FBF">
        <w:rPr>
          <w:rFonts w:ascii="Arial" w:hAnsi="Arial" w:cs="Arial"/>
          <w:sz w:val="24"/>
          <w:szCs w:val="24"/>
        </w:rPr>
        <w:t xml:space="preserve">  of </w:t>
      </w:r>
      <w:r w:rsidRPr="0099107D">
        <w:rPr>
          <w:rFonts w:ascii="Arial" w:hAnsi="Arial" w:cs="Arial"/>
          <w:sz w:val="24"/>
          <w:szCs w:val="24"/>
        </w:rPr>
        <w:t xml:space="preserve">freedom of movement. </w:t>
      </w:r>
    </w:p>
    <w:p w:rsidR="0099107D" w:rsidRPr="0099107D" w:rsidRDefault="0099107D" w:rsidP="0099107D">
      <w:pPr>
        <w:rPr>
          <w:rFonts w:ascii="Arial" w:hAnsi="Arial" w:cs="Arial"/>
          <w:sz w:val="24"/>
          <w:szCs w:val="24"/>
        </w:rPr>
      </w:pP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Question 17 – Compulsory Reporting</w:t>
      </w:r>
    </w:p>
    <w:p w:rsidR="007516FD" w:rsidRDefault="007516FD" w:rsidP="0099107D">
      <w:pPr>
        <w:rPr>
          <w:rFonts w:ascii="Arial" w:hAnsi="Arial" w:cs="Arial"/>
          <w:sz w:val="24"/>
          <w:szCs w:val="24"/>
        </w:rPr>
      </w:pPr>
    </w:p>
    <w:p w:rsidR="00FA0827" w:rsidRDefault="00363FBF" w:rsidP="0099107D">
      <w:pPr>
        <w:rPr>
          <w:rFonts w:ascii="Arial" w:hAnsi="Arial" w:cs="Arial"/>
          <w:sz w:val="24"/>
          <w:szCs w:val="24"/>
        </w:rPr>
      </w:pPr>
      <w:r>
        <w:rPr>
          <w:rFonts w:ascii="Arial" w:hAnsi="Arial" w:cs="Arial"/>
          <w:sz w:val="24"/>
          <w:szCs w:val="24"/>
        </w:rPr>
        <w:t xml:space="preserve">There </w:t>
      </w:r>
      <w:r w:rsidR="00B95E53">
        <w:rPr>
          <w:rFonts w:ascii="Arial" w:hAnsi="Arial" w:cs="Arial"/>
          <w:sz w:val="24"/>
          <w:szCs w:val="24"/>
        </w:rPr>
        <w:t>is</w:t>
      </w:r>
      <w:r>
        <w:rPr>
          <w:rFonts w:ascii="Arial" w:hAnsi="Arial" w:cs="Arial"/>
          <w:sz w:val="24"/>
          <w:szCs w:val="24"/>
        </w:rPr>
        <w:t xml:space="preserve"> a </w:t>
      </w:r>
      <w:proofErr w:type="gramStart"/>
      <w:r>
        <w:rPr>
          <w:rFonts w:ascii="Arial" w:hAnsi="Arial" w:cs="Arial"/>
          <w:sz w:val="24"/>
          <w:szCs w:val="24"/>
        </w:rPr>
        <w:t>difference  between</w:t>
      </w:r>
      <w:proofErr w:type="gramEnd"/>
      <w:r>
        <w:rPr>
          <w:rFonts w:ascii="Arial" w:hAnsi="Arial" w:cs="Arial"/>
          <w:sz w:val="24"/>
          <w:szCs w:val="24"/>
        </w:rPr>
        <w:t xml:space="preserve"> mandatory reporting and compulsory reporting.  </w:t>
      </w:r>
      <w:r w:rsidR="00B95E53">
        <w:rPr>
          <w:rFonts w:ascii="Arial" w:hAnsi="Arial" w:cs="Arial"/>
          <w:sz w:val="24"/>
          <w:szCs w:val="24"/>
        </w:rPr>
        <w:t xml:space="preserve">Mandatory reporting is mandated by statute and usually imposes </w:t>
      </w:r>
      <w:proofErr w:type="gramStart"/>
      <w:r w:rsidR="00B95E53">
        <w:rPr>
          <w:rFonts w:ascii="Arial" w:hAnsi="Arial" w:cs="Arial"/>
          <w:sz w:val="24"/>
          <w:szCs w:val="24"/>
        </w:rPr>
        <w:t>an  obligation</w:t>
      </w:r>
      <w:proofErr w:type="gramEnd"/>
      <w:r w:rsidR="00B95E53">
        <w:rPr>
          <w:rFonts w:ascii="Arial" w:hAnsi="Arial" w:cs="Arial"/>
          <w:sz w:val="24"/>
          <w:szCs w:val="24"/>
        </w:rPr>
        <w:t xml:space="preserve"> to report suspicions of abuse on certain classes of professional person. Compulsory</w:t>
      </w:r>
      <w:r>
        <w:rPr>
          <w:rFonts w:ascii="Arial" w:hAnsi="Arial" w:cs="Arial"/>
          <w:sz w:val="24"/>
          <w:szCs w:val="24"/>
        </w:rPr>
        <w:t xml:space="preserve"> reporting is </w:t>
      </w:r>
      <w:r w:rsidR="00B95E53">
        <w:rPr>
          <w:rFonts w:ascii="Arial" w:hAnsi="Arial" w:cs="Arial"/>
          <w:sz w:val="24"/>
          <w:szCs w:val="24"/>
        </w:rPr>
        <w:t xml:space="preserve">imposed by contract as a condition of funding by the Commonwealth to the aged care provider. </w:t>
      </w:r>
    </w:p>
    <w:p w:rsidR="00FA0827" w:rsidRDefault="00FA0827" w:rsidP="0099107D">
      <w:pPr>
        <w:rPr>
          <w:rFonts w:ascii="Arial" w:hAnsi="Arial" w:cs="Arial"/>
          <w:sz w:val="24"/>
          <w:szCs w:val="24"/>
        </w:rPr>
      </w:pPr>
    </w:p>
    <w:p w:rsidR="00B95E53" w:rsidRDefault="00B95E53" w:rsidP="0099107D">
      <w:pPr>
        <w:rPr>
          <w:rFonts w:ascii="Arial" w:hAnsi="Arial" w:cs="Arial"/>
          <w:sz w:val="24"/>
          <w:szCs w:val="24"/>
        </w:rPr>
      </w:pPr>
      <w:r>
        <w:rPr>
          <w:rFonts w:ascii="Arial" w:hAnsi="Arial" w:cs="Arial"/>
          <w:sz w:val="24"/>
          <w:szCs w:val="24"/>
        </w:rPr>
        <w:t xml:space="preserve">The compulsory reporting regime currently included in s. 67 (1) AA </w:t>
      </w:r>
      <w:r w:rsidRPr="0065502F">
        <w:rPr>
          <w:rFonts w:ascii="Arial" w:hAnsi="Arial" w:cs="Arial"/>
          <w:sz w:val="24"/>
          <w:szCs w:val="24"/>
        </w:rPr>
        <w:t>Aged Care Act (1997</w:t>
      </w:r>
      <w:r>
        <w:rPr>
          <w:rFonts w:ascii="Arial" w:hAnsi="Arial" w:cs="Arial"/>
          <w:i/>
          <w:sz w:val="24"/>
          <w:szCs w:val="24"/>
        </w:rPr>
        <w:t>)</w:t>
      </w:r>
      <w:r>
        <w:rPr>
          <w:rFonts w:ascii="Arial" w:hAnsi="Arial" w:cs="Arial"/>
          <w:sz w:val="24"/>
          <w:szCs w:val="24"/>
        </w:rPr>
        <w:t xml:space="preserve"> requires reporting of suspected sexual and physical assault of residents. It </w:t>
      </w:r>
      <w:r w:rsidRPr="009835F8">
        <w:rPr>
          <w:rFonts w:ascii="Arial" w:hAnsi="Arial" w:cs="Arial"/>
          <w:sz w:val="24"/>
          <w:szCs w:val="24"/>
          <w:u w:val="single"/>
        </w:rPr>
        <w:t>does not require</w:t>
      </w:r>
      <w:r>
        <w:rPr>
          <w:rFonts w:ascii="Arial" w:hAnsi="Arial" w:cs="Arial"/>
          <w:sz w:val="24"/>
          <w:szCs w:val="24"/>
        </w:rPr>
        <w:t>:</w:t>
      </w:r>
    </w:p>
    <w:p w:rsidR="00B95E53" w:rsidRDefault="00B95E53" w:rsidP="0099107D">
      <w:pPr>
        <w:rPr>
          <w:rFonts w:ascii="Arial" w:hAnsi="Arial" w:cs="Arial"/>
          <w:sz w:val="24"/>
          <w:szCs w:val="24"/>
        </w:rPr>
      </w:pPr>
    </w:p>
    <w:p w:rsidR="00B95E53" w:rsidRPr="00B95E53" w:rsidRDefault="00B95E53" w:rsidP="00B95E53">
      <w:pPr>
        <w:pStyle w:val="ListParagraph"/>
        <w:numPr>
          <w:ilvl w:val="0"/>
          <w:numId w:val="4"/>
        </w:numPr>
        <w:rPr>
          <w:rFonts w:ascii="Arial" w:hAnsi="Arial" w:cs="Arial"/>
          <w:sz w:val="24"/>
          <w:szCs w:val="24"/>
        </w:rPr>
      </w:pPr>
      <w:r w:rsidRPr="00B95E53">
        <w:rPr>
          <w:rFonts w:ascii="Arial" w:hAnsi="Arial" w:cs="Arial"/>
          <w:sz w:val="24"/>
          <w:szCs w:val="24"/>
        </w:rPr>
        <w:t>Reporting of suspected financial abuse</w:t>
      </w:r>
      <w:r w:rsidR="00984683">
        <w:rPr>
          <w:rFonts w:ascii="Arial" w:hAnsi="Arial" w:cs="Arial"/>
          <w:sz w:val="24"/>
          <w:szCs w:val="24"/>
        </w:rPr>
        <w:t xml:space="preserve"> or other crimes such as theft</w:t>
      </w:r>
      <w:r w:rsidRPr="00B95E53">
        <w:rPr>
          <w:rFonts w:ascii="Arial" w:hAnsi="Arial" w:cs="Arial"/>
          <w:sz w:val="24"/>
          <w:szCs w:val="24"/>
        </w:rPr>
        <w:t xml:space="preserve"> </w:t>
      </w:r>
    </w:p>
    <w:p w:rsidR="00B95E53" w:rsidRPr="00B95E53" w:rsidRDefault="00B95E53" w:rsidP="00B95E53">
      <w:pPr>
        <w:pStyle w:val="ListParagraph"/>
        <w:numPr>
          <w:ilvl w:val="0"/>
          <w:numId w:val="4"/>
        </w:numPr>
        <w:rPr>
          <w:rFonts w:ascii="Arial" w:hAnsi="Arial" w:cs="Arial"/>
          <w:sz w:val="24"/>
          <w:szCs w:val="24"/>
        </w:rPr>
      </w:pPr>
      <w:r w:rsidRPr="00B95E53">
        <w:rPr>
          <w:rFonts w:ascii="Arial" w:hAnsi="Arial" w:cs="Arial"/>
          <w:sz w:val="24"/>
          <w:szCs w:val="24"/>
        </w:rPr>
        <w:t xml:space="preserve">Reporting of suspected human rights abuse – breach of rights </w:t>
      </w:r>
    </w:p>
    <w:p w:rsidR="00B95E53" w:rsidRPr="00B95E53" w:rsidRDefault="00984683" w:rsidP="00B95E53">
      <w:pPr>
        <w:pStyle w:val="ListParagraph"/>
        <w:numPr>
          <w:ilvl w:val="0"/>
          <w:numId w:val="4"/>
        </w:numPr>
        <w:rPr>
          <w:rFonts w:ascii="Arial" w:hAnsi="Arial" w:cs="Arial"/>
          <w:sz w:val="24"/>
          <w:szCs w:val="24"/>
        </w:rPr>
      </w:pPr>
      <w:r>
        <w:rPr>
          <w:rFonts w:ascii="Arial" w:hAnsi="Arial" w:cs="Arial"/>
          <w:sz w:val="24"/>
          <w:szCs w:val="24"/>
        </w:rPr>
        <w:t xml:space="preserve">That any </w:t>
      </w:r>
      <w:r w:rsidR="00B95E53" w:rsidRPr="00B95E53">
        <w:rPr>
          <w:rFonts w:ascii="Arial" w:hAnsi="Arial" w:cs="Arial"/>
          <w:sz w:val="24"/>
          <w:szCs w:val="24"/>
        </w:rPr>
        <w:t>report is supported by evidence.</w:t>
      </w:r>
    </w:p>
    <w:p w:rsidR="00B95E53" w:rsidRDefault="00B95E53" w:rsidP="0099107D">
      <w:pPr>
        <w:rPr>
          <w:rFonts w:ascii="Arial" w:hAnsi="Arial" w:cs="Arial"/>
          <w:sz w:val="24"/>
          <w:szCs w:val="24"/>
        </w:rPr>
      </w:pPr>
    </w:p>
    <w:p w:rsidR="00B95E53" w:rsidRDefault="00B95E53" w:rsidP="0099107D">
      <w:pPr>
        <w:rPr>
          <w:rFonts w:ascii="Arial" w:hAnsi="Arial" w:cs="Arial"/>
          <w:sz w:val="24"/>
          <w:szCs w:val="24"/>
        </w:rPr>
      </w:pPr>
      <w:r>
        <w:rPr>
          <w:rFonts w:ascii="Arial" w:hAnsi="Arial" w:cs="Arial"/>
          <w:sz w:val="24"/>
          <w:szCs w:val="24"/>
        </w:rPr>
        <w:t xml:space="preserve">Thus aged care providers are </w:t>
      </w:r>
      <w:r w:rsidR="009835F8">
        <w:rPr>
          <w:rFonts w:ascii="Arial" w:hAnsi="Arial" w:cs="Arial"/>
          <w:sz w:val="24"/>
          <w:szCs w:val="24"/>
        </w:rPr>
        <w:t xml:space="preserve">not </w:t>
      </w:r>
      <w:r>
        <w:rPr>
          <w:rFonts w:ascii="Arial" w:hAnsi="Arial" w:cs="Arial"/>
          <w:sz w:val="24"/>
          <w:szCs w:val="24"/>
        </w:rPr>
        <w:t>encouraged</w:t>
      </w:r>
      <w:r w:rsidR="009835F8">
        <w:rPr>
          <w:rFonts w:ascii="Arial" w:hAnsi="Arial" w:cs="Arial"/>
          <w:sz w:val="24"/>
          <w:szCs w:val="24"/>
        </w:rPr>
        <w:t xml:space="preserve"> </w:t>
      </w:r>
      <w:proofErr w:type="gramStart"/>
      <w:r w:rsidR="009835F8">
        <w:rPr>
          <w:rFonts w:ascii="Arial" w:hAnsi="Arial" w:cs="Arial"/>
          <w:sz w:val="24"/>
          <w:szCs w:val="24"/>
        </w:rPr>
        <w:t xml:space="preserve">to </w:t>
      </w:r>
      <w:r>
        <w:rPr>
          <w:rFonts w:ascii="Arial" w:hAnsi="Arial" w:cs="Arial"/>
          <w:sz w:val="24"/>
          <w:szCs w:val="24"/>
        </w:rPr>
        <w:t xml:space="preserve"> make</w:t>
      </w:r>
      <w:proofErr w:type="gramEnd"/>
      <w:r>
        <w:rPr>
          <w:rFonts w:ascii="Arial" w:hAnsi="Arial" w:cs="Arial"/>
          <w:sz w:val="24"/>
          <w:szCs w:val="24"/>
        </w:rPr>
        <w:t xml:space="preserve"> notes of observations of injuries which might be subject to later investigation.</w:t>
      </w:r>
    </w:p>
    <w:p w:rsidR="0065502F" w:rsidRDefault="0065502F" w:rsidP="0099107D">
      <w:pPr>
        <w:rPr>
          <w:rFonts w:ascii="Arial" w:hAnsi="Arial" w:cs="Arial"/>
          <w:sz w:val="24"/>
          <w:szCs w:val="24"/>
        </w:rPr>
      </w:pPr>
    </w:p>
    <w:p w:rsidR="007F1F7A" w:rsidRDefault="007F1F7A" w:rsidP="007F1F7A">
      <w:pPr>
        <w:rPr>
          <w:rFonts w:ascii="Arial" w:hAnsi="Arial" w:cs="Arial"/>
          <w:sz w:val="24"/>
          <w:szCs w:val="24"/>
          <w:u w:val="single"/>
        </w:rPr>
      </w:pPr>
      <w:r w:rsidRPr="0099107D">
        <w:rPr>
          <w:rFonts w:ascii="Arial" w:hAnsi="Arial" w:cs="Arial"/>
          <w:sz w:val="24"/>
          <w:szCs w:val="24"/>
          <w:u w:val="single"/>
        </w:rPr>
        <w:t>Case Study</w:t>
      </w:r>
      <w:r w:rsidR="00FA0827">
        <w:rPr>
          <w:rFonts w:ascii="Arial" w:hAnsi="Arial" w:cs="Arial"/>
          <w:sz w:val="24"/>
          <w:szCs w:val="24"/>
          <w:u w:val="single"/>
        </w:rPr>
        <w:t xml:space="preserve"> </w:t>
      </w:r>
      <w:proofErr w:type="gramStart"/>
      <w:r w:rsidR="00FA0827">
        <w:rPr>
          <w:rFonts w:ascii="Arial" w:hAnsi="Arial" w:cs="Arial"/>
          <w:sz w:val="24"/>
          <w:szCs w:val="24"/>
          <w:u w:val="single"/>
        </w:rPr>
        <w:t xml:space="preserve">- </w:t>
      </w:r>
      <w:r w:rsidRPr="0099107D">
        <w:rPr>
          <w:rFonts w:ascii="Arial" w:hAnsi="Arial" w:cs="Arial"/>
          <w:sz w:val="24"/>
          <w:szCs w:val="24"/>
          <w:u w:val="single"/>
        </w:rPr>
        <w:t xml:space="preserve"> Lydia</w:t>
      </w:r>
      <w:proofErr w:type="gramEnd"/>
    </w:p>
    <w:p w:rsidR="00FA0827" w:rsidRPr="0099107D" w:rsidRDefault="00FA0827" w:rsidP="007F1F7A">
      <w:pPr>
        <w:rPr>
          <w:rFonts w:ascii="Arial" w:hAnsi="Arial" w:cs="Arial"/>
          <w:sz w:val="24"/>
          <w:szCs w:val="24"/>
          <w:u w:val="single"/>
        </w:rPr>
      </w:pPr>
    </w:p>
    <w:p w:rsidR="00FA0827" w:rsidRPr="00057227" w:rsidRDefault="007F1F7A" w:rsidP="00057227">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057227">
        <w:rPr>
          <w:rFonts w:ascii="Arial" w:hAnsi="Arial" w:cs="Arial"/>
          <w:i/>
          <w:sz w:val="24"/>
          <w:szCs w:val="24"/>
        </w:rPr>
        <w:t xml:space="preserve">Lucia </w:t>
      </w:r>
      <w:r w:rsidR="00FA0827" w:rsidRPr="00057227">
        <w:rPr>
          <w:rFonts w:ascii="Arial" w:hAnsi="Arial" w:cs="Arial"/>
          <w:i/>
          <w:sz w:val="24"/>
          <w:szCs w:val="24"/>
        </w:rPr>
        <w:t xml:space="preserve">lived </w:t>
      </w:r>
      <w:r w:rsidRPr="00057227">
        <w:rPr>
          <w:rFonts w:ascii="Arial" w:hAnsi="Arial" w:cs="Arial"/>
          <w:i/>
          <w:sz w:val="24"/>
          <w:szCs w:val="24"/>
        </w:rPr>
        <w:t>in residential care</w:t>
      </w:r>
      <w:r w:rsidR="00FA0827" w:rsidRPr="00057227">
        <w:rPr>
          <w:rFonts w:ascii="Arial" w:hAnsi="Arial" w:cs="Arial"/>
          <w:i/>
          <w:sz w:val="24"/>
          <w:szCs w:val="24"/>
        </w:rPr>
        <w:t xml:space="preserve">. </w:t>
      </w:r>
      <w:proofErr w:type="gramStart"/>
      <w:r w:rsidR="00FA0827" w:rsidRPr="00057227">
        <w:rPr>
          <w:rFonts w:ascii="Arial" w:hAnsi="Arial" w:cs="Arial"/>
          <w:i/>
          <w:sz w:val="24"/>
          <w:szCs w:val="24"/>
        </w:rPr>
        <w:t xml:space="preserve">Her </w:t>
      </w:r>
      <w:r w:rsidRPr="00057227">
        <w:rPr>
          <w:rFonts w:ascii="Arial" w:hAnsi="Arial" w:cs="Arial"/>
          <w:i/>
          <w:sz w:val="24"/>
          <w:szCs w:val="24"/>
        </w:rPr>
        <w:t xml:space="preserve"> daughter</w:t>
      </w:r>
      <w:proofErr w:type="gramEnd"/>
      <w:r w:rsidRPr="00057227">
        <w:rPr>
          <w:rFonts w:ascii="Arial" w:hAnsi="Arial" w:cs="Arial"/>
          <w:i/>
          <w:sz w:val="24"/>
          <w:szCs w:val="24"/>
        </w:rPr>
        <w:t xml:space="preserve"> discovered </w:t>
      </w:r>
      <w:r w:rsidR="00FA0827" w:rsidRPr="00057227">
        <w:rPr>
          <w:rFonts w:ascii="Arial" w:hAnsi="Arial" w:cs="Arial"/>
          <w:i/>
          <w:sz w:val="24"/>
          <w:szCs w:val="24"/>
        </w:rPr>
        <w:t xml:space="preserve">she had </w:t>
      </w:r>
      <w:r w:rsidRPr="00057227">
        <w:rPr>
          <w:rFonts w:ascii="Arial" w:hAnsi="Arial" w:cs="Arial"/>
          <w:i/>
          <w:sz w:val="24"/>
          <w:szCs w:val="24"/>
        </w:rPr>
        <w:t xml:space="preserve">a very large </w:t>
      </w:r>
      <w:r w:rsidR="009835F8">
        <w:rPr>
          <w:rFonts w:ascii="Arial" w:hAnsi="Arial" w:cs="Arial"/>
          <w:i/>
          <w:sz w:val="24"/>
          <w:szCs w:val="24"/>
        </w:rPr>
        <w:t xml:space="preserve">bruise </w:t>
      </w:r>
      <w:r w:rsidRPr="00057227">
        <w:rPr>
          <w:rFonts w:ascii="Arial" w:hAnsi="Arial" w:cs="Arial"/>
          <w:i/>
          <w:sz w:val="24"/>
          <w:szCs w:val="24"/>
        </w:rPr>
        <w:t xml:space="preserve"> and swelling approximately two inches in diameter</w:t>
      </w:r>
      <w:r w:rsidR="009835F8">
        <w:rPr>
          <w:rFonts w:ascii="Arial" w:hAnsi="Arial" w:cs="Arial"/>
          <w:i/>
          <w:sz w:val="24"/>
          <w:szCs w:val="24"/>
        </w:rPr>
        <w:t xml:space="preserve"> </w:t>
      </w:r>
      <w:r w:rsidR="009835F8" w:rsidRPr="00057227">
        <w:rPr>
          <w:rFonts w:ascii="Arial" w:hAnsi="Arial" w:cs="Arial"/>
          <w:i/>
          <w:sz w:val="24"/>
          <w:szCs w:val="24"/>
        </w:rPr>
        <w:t>on one side of her face</w:t>
      </w:r>
      <w:r w:rsidRPr="00057227">
        <w:rPr>
          <w:rFonts w:ascii="Arial" w:hAnsi="Arial" w:cs="Arial"/>
          <w:i/>
          <w:sz w:val="24"/>
          <w:szCs w:val="24"/>
        </w:rPr>
        <w:t xml:space="preserve">.  She also complained of pain in her arm. Her daughter made enquiries as to how her mother could have gotten these injuries and was met with blank faces </w:t>
      </w:r>
      <w:proofErr w:type="gramStart"/>
      <w:r w:rsidRPr="00057227">
        <w:rPr>
          <w:rFonts w:ascii="Arial" w:hAnsi="Arial" w:cs="Arial"/>
          <w:i/>
          <w:sz w:val="24"/>
          <w:szCs w:val="24"/>
        </w:rPr>
        <w:t>There</w:t>
      </w:r>
      <w:proofErr w:type="gramEnd"/>
      <w:r w:rsidRPr="00057227">
        <w:rPr>
          <w:rFonts w:ascii="Arial" w:hAnsi="Arial" w:cs="Arial"/>
          <w:i/>
          <w:sz w:val="24"/>
          <w:szCs w:val="24"/>
        </w:rPr>
        <w:t xml:space="preserve"> were no nursing notes to indicate how the injuries occurred and no one could provide any information. </w:t>
      </w:r>
    </w:p>
    <w:p w:rsidR="00FA0827" w:rsidRPr="00057227" w:rsidRDefault="00FA0827" w:rsidP="00057227">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7F1F7A" w:rsidRPr="00057227" w:rsidRDefault="007F1F7A" w:rsidP="00057227">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057227">
        <w:rPr>
          <w:rFonts w:ascii="Arial" w:hAnsi="Arial" w:cs="Arial"/>
          <w:i/>
          <w:sz w:val="24"/>
          <w:szCs w:val="24"/>
        </w:rPr>
        <w:t xml:space="preserve">The daughter called in </w:t>
      </w:r>
      <w:r w:rsidR="00FA0827" w:rsidRPr="00057227">
        <w:rPr>
          <w:rFonts w:ascii="Arial" w:hAnsi="Arial" w:cs="Arial"/>
          <w:i/>
          <w:sz w:val="24"/>
          <w:szCs w:val="24"/>
        </w:rPr>
        <w:t>the treating</w:t>
      </w:r>
      <w:r w:rsidRPr="00057227">
        <w:rPr>
          <w:rFonts w:ascii="Arial" w:hAnsi="Arial" w:cs="Arial"/>
          <w:i/>
          <w:sz w:val="24"/>
          <w:szCs w:val="24"/>
        </w:rPr>
        <w:t xml:space="preserve"> GP who examined her mother. He confirmed that there was bruising</w:t>
      </w:r>
      <w:r w:rsidR="00FA0827" w:rsidRPr="00057227">
        <w:rPr>
          <w:rFonts w:ascii="Arial" w:hAnsi="Arial" w:cs="Arial"/>
          <w:i/>
          <w:sz w:val="24"/>
          <w:szCs w:val="24"/>
        </w:rPr>
        <w:t xml:space="preserve"> and swelling on the cheek </w:t>
      </w:r>
      <w:r w:rsidRPr="00057227">
        <w:rPr>
          <w:rFonts w:ascii="Arial" w:hAnsi="Arial" w:cs="Arial"/>
          <w:i/>
          <w:sz w:val="24"/>
          <w:szCs w:val="24"/>
        </w:rPr>
        <w:t xml:space="preserve">and a fractured upper arm. </w:t>
      </w:r>
      <w:r w:rsidR="00FA0827" w:rsidRPr="00057227">
        <w:rPr>
          <w:rFonts w:ascii="Arial" w:hAnsi="Arial" w:cs="Arial"/>
          <w:i/>
          <w:sz w:val="24"/>
          <w:szCs w:val="24"/>
        </w:rPr>
        <w:t xml:space="preserve"> </w:t>
      </w:r>
      <w:r w:rsidRPr="00057227">
        <w:rPr>
          <w:rFonts w:ascii="Arial" w:hAnsi="Arial" w:cs="Arial"/>
          <w:i/>
          <w:sz w:val="24"/>
          <w:szCs w:val="24"/>
        </w:rPr>
        <w:t xml:space="preserve">He ventured that the fractured arm could </w:t>
      </w:r>
      <w:r w:rsidR="00FA0827" w:rsidRPr="00057227">
        <w:rPr>
          <w:rFonts w:ascii="Arial" w:hAnsi="Arial" w:cs="Arial"/>
          <w:i/>
          <w:sz w:val="24"/>
          <w:szCs w:val="24"/>
        </w:rPr>
        <w:t xml:space="preserve">be </w:t>
      </w:r>
      <w:r w:rsidRPr="00057227">
        <w:rPr>
          <w:rFonts w:ascii="Arial" w:hAnsi="Arial" w:cs="Arial"/>
          <w:i/>
          <w:sz w:val="24"/>
          <w:szCs w:val="24"/>
        </w:rPr>
        <w:t xml:space="preserve">possibly consistent with a fall as it was a horizontal fracture but there was no explanation that he could think of to explain the bruising. It was not internally caused by of her other conditions. </w:t>
      </w:r>
    </w:p>
    <w:p w:rsidR="007F1F7A" w:rsidRPr="00057227" w:rsidRDefault="007F1F7A" w:rsidP="00057227">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FA0827" w:rsidRPr="00057227" w:rsidRDefault="009835F8" w:rsidP="00057227">
      <w:pPr>
        <w:pStyle w:val="ListParagraph"/>
        <w:pBdr>
          <w:top w:val="single" w:sz="4" w:space="1" w:color="auto"/>
          <w:left w:val="single" w:sz="4" w:space="4" w:color="auto"/>
          <w:bottom w:val="single" w:sz="4" w:space="1" w:color="auto"/>
          <w:right w:val="single" w:sz="4" w:space="4" w:color="auto"/>
        </w:pBdr>
        <w:ind w:left="0"/>
        <w:rPr>
          <w:rFonts w:ascii="Arial" w:hAnsi="Arial" w:cs="Arial"/>
          <w:i/>
          <w:sz w:val="24"/>
          <w:szCs w:val="24"/>
        </w:rPr>
      </w:pPr>
      <w:r>
        <w:rPr>
          <w:rFonts w:ascii="Arial" w:hAnsi="Arial" w:cs="Arial"/>
          <w:i/>
          <w:sz w:val="24"/>
          <w:szCs w:val="24"/>
        </w:rPr>
        <w:t>Our lawyer r</w:t>
      </w:r>
      <w:r w:rsidR="007F1F7A" w:rsidRPr="00057227">
        <w:rPr>
          <w:rFonts w:ascii="Arial" w:hAnsi="Arial" w:cs="Arial"/>
          <w:i/>
          <w:sz w:val="24"/>
          <w:szCs w:val="24"/>
        </w:rPr>
        <w:t xml:space="preserve">equested the care </w:t>
      </w:r>
      <w:proofErr w:type="gramStart"/>
      <w:r w:rsidR="007F1F7A" w:rsidRPr="00057227">
        <w:rPr>
          <w:rFonts w:ascii="Arial" w:hAnsi="Arial" w:cs="Arial"/>
          <w:i/>
          <w:sz w:val="24"/>
          <w:szCs w:val="24"/>
        </w:rPr>
        <w:t>provider  report</w:t>
      </w:r>
      <w:proofErr w:type="gramEnd"/>
      <w:r w:rsidR="007F1F7A" w:rsidRPr="00057227">
        <w:rPr>
          <w:rFonts w:ascii="Arial" w:hAnsi="Arial" w:cs="Arial"/>
          <w:i/>
          <w:sz w:val="24"/>
          <w:szCs w:val="24"/>
        </w:rPr>
        <w:t xml:space="preserve"> pursuant to s 67 (1) AA of the </w:t>
      </w:r>
      <w:r w:rsidR="007F1F7A" w:rsidRPr="00057227">
        <w:rPr>
          <w:rFonts w:ascii="Arial" w:hAnsi="Arial" w:cs="Arial"/>
          <w:i/>
          <w:iCs/>
          <w:sz w:val="24"/>
          <w:szCs w:val="24"/>
        </w:rPr>
        <w:t>Aged Care</w:t>
      </w:r>
      <w:r w:rsidR="007F1F7A" w:rsidRPr="00057227">
        <w:rPr>
          <w:rFonts w:ascii="Arial" w:hAnsi="Arial" w:cs="Arial"/>
          <w:i/>
          <w:sz w:val="24"/>
          <w:szCs w:val="24"/>
        </w:rPr>
        <w:t xml:space="preserve"> Act within 24 hours, as this had not been done. This was done reluctantly after our intervention, however the obligation on the provider is </w:t>
      </w:r>
      <w:r>
        <w:rPr>
          <w:rFonts w:ascii="Arial" w:hAnsi="Arial" w:cs="Arial"/>
          <w:i/>
          <w:sz w:val="24"/>
          <w:szCs w:val="24"/>
        </w:rPr>
        <w:t xml:space="preserve">only </w:t>
      </w:r>
      <w:r w:rsidR="007F1F7A" w:rsidRPr="00057227">
        <w:rPr>
          <w:rFonts w:ascii="Arial" w:hAnsi="Arial" w:cs="Arial"/>
          <w:i/>
          <w:sz w:val="24"/>
          <w:szCs w:val="24"/>
        </w:rPr>
        <w:t xml:space="preserve">to make </w:t>
      </w:r>
      <w:proofErr w:type="gramStart"/>
      <w:r w:rsidR="007F1F7A" w:rsidRPr="00057227">
        <w:rPr>
          <w:rFonts w:ascii="Arial" w:hAnsi="Arial" w:cs="Arial"/>
          <w:i/>
          <w:sz w:val="24"/>
          <w:szCs w:val="24"/>
        </w:rPr>
        <w:t>the</w:t>
      </w:r>
      <w:r w:rsidR="00E66DD6">
        <w:rPr>
          <w:rFonts w:ascii="Arial" w:hAnsi="Arial" w:cs="Arial"/>
          <w:i/>
          <w:sz w:val="24"/>
          <w:szCs w:val="24"/>
        </w:rPr>
        <w:t xml:space="preserve"> </w:t>
      </w:r>
      <w:r w:rsidR="007F1F7A" w:rsidRPr="00057227">
        <w:rPr>
          <w:rFonts w:ascii="Arial" w:hAnsi="Arial" w:cs="Arial"/>
          <w:i/>
          <w:sz w:val="24"/>
          <w:szCs w:val="24"/>
        </w:rPr>
        <w:t xml:space="preserve"> report</w:t>
      </w:r>
      <w:proofErr w:type="gramEnd"/>
      <w:r w:rsidR="007F1F7A" w:rsidRPr="00057227">
        <w:rPr>
          <w:rFonts w:ascii="Arial" w:hAnsi="Arial" w:cs="Arial"/>
          <w:i/>
          <w:sz w:val="24"/>
          <w:szCs w:val="24"/>
        </w:rPr>
        <w:t xml:space="preserve">.  They </w:t>
      </w:r>
      <w:r w:rsidR="00FA0827" w:rsidRPr="00057227">
        <w:rPr>
          <w:rFonts w:ascii="Arial" w:hAnsi="Arial" w:cs="Arial"/>
          <w:i/>
          <w:sz w:val="24"/>
          <w:szCs w:val="24"/>
        </w:rPr>
        <w:t>collected no evidence</w:t>
      </w:r>
      <w:r>
        <w:rPr>
          <w:rFonts w:ascii="Arial" w:hAnsi="Arial" w:cs="Arial"/>
          <w:i/>
          <w:sz w:val="24"/>
          <w:szCs w:val="24"/>
        </w:rPr>
        <w:t xml:space="preserve"> </w:t>
      </w:r>
      <w:proofErr w:type="gramStart"/>
      <w:r>
        <w:rPr>
          <w:rFonts w:ascii="Arial" w:hAnsi="Arial" w:cs="Arial"/>
          <w:i/>
          <w:sz w:val="24"/>
          <w:szCs w:val="24"/>
        </w:rPr>
        <w:t xml:space="preserve">and </w:t>
      </w:r>
      <w:r w:rsidR="00FA0827" w:rsidRPr="00057227">
        <w:rPr>
          <w:rFonts w:ascii="Arial" w:hAnsi="Arial" w:cs="Arial"/>
          <w:i/>
          <w:sz w:val="24"/>
          <w:szCs w:val="24"/>
        </w:rPr>
        <w:t xml:space="preserve"> </w:t>
      </w:r>
      <w:r w:rsidR="007F1F7A" w:rsidRPr="00057227">
        <w:rPr>
          <w:rFonts w:ascii="Arial" w:hAnsi="Arial" w:cs="Arial"/>
          <w:i/>
          <w:sz w:val="24"/>
          <w:szCs w:val="24"/>
        </w:rPr>
        <w:t>did</w:t>
      </w:r>
      <w:proofErr w:type="gramEnd"/>
      <w:r w:rsidR="007F1F7A" w:rsidRPr="00057227">
        <w:rPr>
          <w:rFonts w:ascii="Arial" w:hAnsi="Arial" w:cs="Arial"/>
          <w:i/>
          <w:sz w:val="24"/>
          <w:szCs w:val="24"/>
        </w:rPr>
        <w:t xml:space="preserve"> not substantiate the report with any photographs or any other evidence </w:t>
      </w:r>
      <w:r w:rsidR="00FA0827" w:rsidRPr="00057227">
        <w:rPr>
          <w:rFonts w:ascii="Arial" w:hAnsi="Arial" w:cs="Arial"/>
          <w:i/>
          <w:sz w:val="24"/>
          <w:szCs w:val="24"/>
        </w:rPr>
        <w:t>and</w:t>
      </w:r>
      <w:r>
        <w:rPr>
          <w:rFonts w:ascii="Arial" w:hAnsi="Arial" w:cs="Arial"/>
          <w:i/>
          <w:sz w:val="24"/>
          <w:szCs w:val="24"/>
        </w:rPr>
        <w:t>,</w:t>
      </w:r>
      <w:r w:rsidR="00FA0827" w:rsidRPr="00057227">
        <w:rPr>
          <w:rFonts w:ascii="Arial" w:hAnsi="Arial" w:cs="Arial"/>
          <w:i/>
          <w:sz w:val="24"/>
          <w:szCs w:val="24"/>
        </w:rPr>
        <w:t xml:space="preserve"> </w:t>
      </w:r>
      <w:r w:rsidR="007F1F7A" w:rsidRPr="00057227">
        <w:rPr>
          <w:rFonts w:ascii="Arial" w:hAnsi="Arial" w:cs="Arial"/>
          <w:i/>
          <w:sz w:val="24"/>
          <w:szCs w:val="24"/>
        </w:rPr>
        <w:t xml:space="preserve">as a consequence the police declined to investigate. </w:t>
      </w:r>
    </w:p>
    <w:p w:rsidR="007F1F7A" w:rsidRPr="00057227" w:rsidRDefault="007F1F7A" w:rsidP="00057227">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7F1F7A" w:rsidRDefault="007F1F7A" w:rsidP="00057227">
      <w:pPr>
        <w:pBdr>
          <w:top w:val="single" w:sz="4" w:space="1" w:color="auto"/>
          <w:left w:val="single" w:sz="4" w:space="4" w:color="auto"/>
          <w:bottom w:val="single" w:sz="4" w:space="1" w:color="auto"/>
          <w:right w:val="single" w:sz="4" w:space="4" w:color="auto"/>
        </w:pBdr>
        <w:rPr>
          <w:rFonts w:ascii="Arial" w:hAnsi="Arial" w:cs="Arial"/>
          <w:sz w:val="24"/>
          <w:szCs w:val="24"/>
        </w:rPr>
      </w:pPr>
      <w:r w:rsidRPr="00057227">
        <w:rPr>
          <w:rFonts w:ascii="Arial" w:hAnsi="Arial" w:cs="Arial"/>
          <w:i/>
          <w:sz w:val="24"/>
          <w:szCs w:val="24"/>
        </w:rPr>
        <w:t>When we forwarded the medical report and photographs to the police and invited them to investigate further, they re</w:t>
      </w:r>
      <w:r w:rsidR="009835F8">
        <w:rPr>
          <w:rFonts w:ascii="Arial" w:hAnsi="Arial" w:cs="Arial"/>
          <w:i/>
          <w:sz w:val="24"/>
          <w:szCs w:val="24"/>
        </w:rPr>
        <w:t xml:space="preserve">sponded </w:t>
      </w:r>
      <w:r w:rsidRPr="00057227">
        <w:rPr>
          <w:rFonts w:ascii="Arial" w:hAnsi="Arial" w:cs="Arial"/>
          <w:i/>
          <w:sz w:val="24"/>
          <w:szCs w:val="24"/>
        </w:rPr>
        <w:t>that it was a matter for referral to the Health Services Commissioner</w:t>
      </w:r>
      <w:r w:rsidR="00FA0827" w:rsidRPr="00057227">
        <w:rPr>
          <w:rFonts w:ascii="Arial" w:hAnsi="Arial" w:cs="Arial"/>
          <w:i/>
          <w:sz w:val="24"/>
          <w:szCs w:val="24"/>
        </w:rPr>
        <w:t xml:space="preserve">. </w:t>
      </w:r>
      <w:r w:rsidR="009835F8">
        <w:rPr>
          <w:rFonts w:ascii="Arial" w:hAnsi="Arial" w:cs="Arial"/>
          <w:i/>
          <w:sz w:val="24"/>
          <w:szCs w:val="24"/>
        </w:rPr>
        <w:t>(</w:t>
      </w:r>
      <w:r w:rsidR="00FA0827" w:rsidRPr="00057227">
        <w:rPr>
          <w:rFonts w:ascii="Arial" w:hAnsi="Arial" w:cs="Arial"/>
          <w:i/>
          <w:sz w:val="24"/>
          <w:szCs w:val="24"/>
        </w:rPr>
        <w:t xml:space="preserve">It was </w:t>
      </w:r>
      <w:proofErr w:type="gramStart"/>
      <w:r w:rsidR="00FA0827" w:rsidRPr="00057227">
        <w:rPr>
          <w:rFonts w:ascii="Arial" w:hAnsi="Arial" w:cs="Arial"/>
          <w:i/>
          <w:sz w:val="24"/>
          <w:szCs w:val="24"/>
        </w:rPr>
        <w:t xml:space="preserve">not </w:t>
      </w:r>
      <w:r w:rsidRPr="00057227">
        <w:rPr>
          <w:rFonts w:ascii="Arial" w:hAnsi="Arial" w:cs="Arial"/>
          <w:i/>
          <w:sz w:val="24"/>
          <w:szCs w:val="24"/>
        </w:rPr>
        <w:t xml:space="preserve"> within</w:t>
      </w:r>
      <w:proofErr w:type="gramEnd"/>
      <w:r w:rsidRPr="00057227">
        <w:rPr>
          <w:rFonts w:ascii="Arial" w:hAnsi="Arial" w:cs="Arial"/>
          <w:i/>
          <w:sz w:val="24"/>
          <w:szCs w:val="24"/>
        </w:rPr>
        <w:t xml:space="preserve"> the purview of the Health Services Commissioner.</w:t>
      </w:r>
      <w:r w:rsidR="009835F8">
        <w:rPr>
          <w:rFonts w:ascii="Arial" w:hAnsi="Arial" w:cs="Arial"/>
          <w:i/>
          <w:sz w:val="24"/>
          <w:szCs w:val="24"/>
        </w:rPr>
        <w:t>)</w:t>
      </w:r>
      <w:r w:rsidR="00FA0827" w:rsidRPr="00057227">
        <w:rPr>
          <w:rFonts w:ascii="Arial" w:hAnsi="Arial" w:cs="Arial"/>
          <w:i/>
          <w:sz w:val="24"/>
          <w:szCs w:val="24"/>
        </w:rPr>
        <w:t xml:space="preserve"> </w:t>
      </w:r>
      <w:r w:rsidR="00FA0827" w:rsidRPr="00057227">
        <w:rPr>
          <w:rStyle w:val="FootnoteReference"/>
          <w:rFonts w:ascii="Arial" w:hAnsi="Arial" w:cs="Arial"/>
          <w:i/>
          <w:sz w:val="24"/>
          <w:szCs w:val="24"/>
        </w:rPr>
        <w:footnoteReference w:id="15"/>
      </w:r>
      <w:r w:rsidRPr="00057227">
        <w:rPr>
          <w:rFonts w:ascii="Arial" w:hAnsi="Arial" w:cs="Arial"/>
          <w:i/>
          <w:sz w:val="24"/>
          <w:szCs w:val="24"/>
        </w:rPr>
        <w:t xml:space="preserve">When we persisted </w:t>
      </w:r>
      <w:r w:rsidR="00FA0827" w:rsidRPr="00057227">
        <w:rPr>
          <w:rFonts w:ascii="Arial" w:hAnsi="Arial" w:cs="Arial"/>
          <w:i/>
          <w:sz w:val="24"/>
          <w:szCs w:val="24"/>
        </w:rPr>
        <w:t xml:space="preserve">that </w:t>
      </w:r>
      <w:proofErr w:type="gramStart"/>
      <w:r w:rsidR="00FA0827" w:rsidRPr="00057227">
        <w:rPr>
          <w:rFonts w:ascii="Arial" w:hAnsi="Arial" w:cs="Arial"/>
          <w:i/>
          <w:sz w:val="24"/>
          <w:szCs w:val="24"/>
        </w:rPr>
        <w:t xml:space="preserve">Police </w:t>
      </w:r>
      <w:r w:rsidRPr="00057227">
        <w:rPr>
          <w:rFonts w:ascii="Arial" w:hAnsi="Arial" w:cs="Arial"/>
          <w:i/>
          <w:sz w:val="24"/>
          <w:szCs w:val="24"/>
        </w:rPr>
        <w:t xml:space="preserve"> refer</w:t>
      </w:r>
      <w:proofErr w:type="gramEnd"/>
      <w:r w:rsidRPr="00057227">
        <w:rPr>
          <w:rFonts w:ascii="Arial" w:hAnsi="Arial" w:cs="Arial"/>
          <w:i/>
          <w:sz w:val="24"/>
          <w:szCs w:val="24"/>
        </w:rPr>
        <w:t xml:space="preserve"> </w:t>
      </w:r>
      <w:r w:rsidR="00FA0827" w:rsidRPr="00057227">
        <w:rPr>
          <w:rFonts w:ascii="Arial" w:hAnsi="Arial" w:cs="Arial"/>
          <w:i/>
          <w:sz w:val="24"/>
          <w:szCs w:val="24"/>
        </w:rPr>
        <w:t xml:space="preserve">the report </w:t>
      </w:r>
      <w:r w:rsidRPr="00057227">
        <w:rPr>
          <w:rFonts w:ascii="Arial" w:hAnsi="Arial" w:cs="Arial"/>
          <w:i/>
          <w:sz w:val="24"/>
          <w:szCs w:val="24"/>
        </w:rPr>
        <w:t xml:space="preserve">to a forensic physician for investigation they said it was not a criminal matter but a civil matter of negligence. </w:t>
      </w:r>
    </w:p>
    <w:p w:rsidR="008E3DEC" w:rsidRDefault="008E3DEC" w:rsidP="008E3DEC">
      <w:pPr>
        <w:pStyle w:val="ListParagraph"/>
        <w:rPr>
          <w:rFonts w:ascii="Arial" w:hAnsi="Arial" w:cs="Arial"/>
          <w:sz w:val="24"/>
          <w:szCs w:val="24"/>
        </w:rPr>
      </w:pPr>
    </w:p>
    <w:p w:rsidR="003740E1" w:rsidRPr="003740E1" w:rsidRDefault="003740E1" w:rsidP="003740E1">
      <w:pPr>
        <w:rPr>
          <w:rFonts w:ascii="Arial" w:hAnsi="Arial" w:cs="Arial"/>
          <w:sz w:val="24"/>
          <w:szCs w:val="24"/>
        </w:rPr>
      </w:pPr>
      <w:r w:rsidRPr="003740E1">
        <w:rPr>
          <w:rFonts w:ascii="Arial" w:hAnsi="Arial" w:cs="Arial"/>
          <w:sz w:val="24"/>
          <w:szCs w:val="24"/>
        </w:rPr>
        <w:t xml:space="preserve">The difficulties in pursuing a provider in negligence are discussed </w:t>
      </w:r>
      <w:r>
        <w:rPr>
          <w:rFonts w:ascii="Arial" w:hAnsi="Arial" w:cs="Arial"/>
          <w:sz w:val="24"/>
          <w:szCs w:val="24"/>
        </w:rPr>
        <w:t>above</w:t>
      </w:r>
      <w:r w:rsidRPr="003740E1">
        <w:rPr>
          <w:rFonts w:ascii="Arial" w:hAnsi="Arial" w:cs="Arial"/>
          <w:sz w:val="24"/>
          <w:szCs w:val="24"/>
        </w:rPr>
        <w:t>.</w:t>
      </w:r>
      <w:r>
        <w:rPr>
          <w:rStyle w:val="FootnoteReference"/>
          <w:rFonts w:ascii="Arial" w:hAnsi="Arial" w:cs="Arial"/>
          <w:sz w:val="24"/>
          <w:szCs w:val="24"/>
        </w:rPr>
        <w:footnoteReference w:id="16"/>
      </w:r>
      <w:r w:rsidRPr="003740E1">
        <w:rPr>
          <w:rFonts w:ascii="Arial" w:hAnsi="Arial" w:cs="Arial"/>
          <w:sz w:val="24"/>
          <w:szCs w:val="24"/>
        </w:rPr>
        <w:t xml:space="preserve"> </w:t>
      </w:r>
    </w:p>
    <w:p w:rsidR="003740E1" w:rsidRPr="003740E1" w:rsidRDefault="003740E1" w:rsidP="003740E1">
      <w:pPr>
        <w:rPr>
          <w:rFonts w:ascii="Arial" w:hAnsi="Arial" w:cs="Arial"/>
          <w:sz w:val="24"/>
          <w:szCs w:val="24"/>
        </w:rPr>
      </w:pPr>
    </w:p>
    <w:p w:rsidR="003740E1" w:rsidRDefault="003740E1" w:rsidP="00326A98">
      <w:pPr>
        <w:rPr>
          <w:rFonts w:ascii="Arial" w:hAnsi="Arial" w:cs="Arial"/>
          <w:i/>
          <w:iCs/>
          <w:sz w:val="24"/>
          <w:szCs w:val="24"/>
          <w:u w:val="single"/>
        </w:rPr>
      </w:pPr>
    </w:p>
    <w:p w:rsidR="00326A98" w:rsidRPr="0099107D" w:rsidRDefault="00326A98" w:rsidP="00326A98">
      <w:pPr>
        <w:rPr>
          <w:rFonts w:ascii="Arial" w:hAnsi="Arial" w:cs="Arial"/>
          <w:i/>
          <w:iCs/>
          <w:sz w:val="24"/>
          <w:szCs w:val="24"/>
          <w:u w:val="single"/>
        </w:rPr>
      </w:pPr>
      <w:r w:rsidRPr="0099107D">
        <w:rPr>
          <w:rFonts w:ascii="Arial" w:hAnsi="Arial" w:cs="Arial"/>
          <w:i/>
          <w:iCs/>
          <w:sz w:val="24"/>
          <w:szCs w:val="24"/>
          <w:u w:val="single"/>
        </w:rPr>
        <w:t>Question 18 –</w:t>
      </w:r>
      <w:r w:rsidR="0070107D">
        <w:rPr>
          <w:rFonts w:ascii="Arial" w:hAnsi="Arial" w:cs="Arial"/>
          <w:i/>
          <w:iCs/>
          <w:sz w:val="24"/>
          <w:szCs w:val="24"/>
          <w:u w:val="single"/>
        </w:rPr>
        <w:tab/>
      </w:r>
      <w:r w:rsidRPr="0099107D">
        <w:rPr>
          <w:rFonts w:ascii="Arial" w:hAnsi="Arial" w:cs="Arial"/>
          <w:i/>
          <w:iCs/>
          <w:sz w:val="24"/>
          <w:szCs w:val="24"/>
          <w:u w:val="single"/>
        </w:rPr>
        <w:t xml:space="preserve"> the Aged Care Complaints Investigation Service</w:t>
      </w:r>
    </w:p>
    <w:p w:rsidR="00326A98" w:rsidRDefault="00326A98" w:rsidP="00326A98">
      <w:pPr>
        <w:rPr>
          <w:rFonts w:ascii="Arial" w:hAnsi="Arial" w:cs="Arial"/>
          <w:sz w:val="24"/>
          <w:szCs w:val="24"/>
        </w:rPr>
      </w:pPr>
    </w:p>
    <w:p w:rsidR="0070107D" w:rsidRPr="0099107D" w:rsidRDefault="0070107D" w:rsidP="0070107D">
      <w:pPr>
        <w:pStyle w:val="ListParagraph"/>
        <w:ind w:left="0"/>
        <w:rPr>
          <w:rFonts w:ascii="Arial" w:hAnsi="Arial" w:cs="Arial"/>
          <w:sz w:val="24"/>
          <w:szCs w:val="24"/>
        </w:rPr>
      </w:pPr>
      <w:r>
        <w:rPr>
          <w:rFonts w:ascii="Arial" w:hAnsi="Arial" w:cs="Arial"/>
          <w:sz w:val="24"/>
          <w:szCs w:val="24"/>
        </w:rPr>
        <w:t xml:space="preserve">The case of Lydia (above) was </w:t>
      </w:r>
      <w:r w:rsidRPr="0099107D">
        <w:rPr>
          <w:rFonts w:ascii="Arial" w:hAnsi="Arial" w:cs="Arial"/>
          <w:sz w:val="24"/>
          <w:szCs w:val="24"/>
        </w:rPr>
        <w:t xml:space="preserve">raised in a complaint to the Commonwealth Investigation Service along with other complaints about the service delivery of the provider. The </w:t>
      </w:r>
      <w:r>
        <w:rPr>
          <w:rFonts w:ascii="Arial" w:hAnsi="Arial" w:cs="Arial"/>
          <w:sz w:val="24"/>
          <w:szCs w:val="24"/>
        </w:rPr>
        <w:t>C</w:t>
      </w:r>
      <w:r w:rsidRPr="0099107D">
        <w:rPr>
          <w:rFonts w:ascii="Arial" w:hAnsi="Arial" w:cs="Arial"/>
          <w:sz w:val="24"/>
          <w:szCs w:val="24"/>
        </w:rPr>
        <w:t xml:space="preserve">ommonwealth Investigation Service officers </w:t>
      </w:r>
      <w:r>
        <w:rPr>
          <w:rFonts w:ascii="Arial" w:hAnsi="Arial" w:cs="Arial"/>
          <w:sz w:val="24"/>
          <w:szCs w:val="24"/>
        </w:rPr>
        <w:t xml:space="preserve">chose to deal with the complaint of the unexplained injury as another agenda item in </w:t>
      </w:r>
      <w:proofErr w:type="gramStart"/>
      <w:r>
        <w:rPr>
          <w:rFonts w:ascii="Arial" w:hAnsi="Arial" w:cs="Arial"/>
          <w:sz w:val="24"/>
          <w:szCs w:val="24"/>
        </w:rPr>
        <w:t>a mediation</w:t>
      </w:r>
      <w:proofErr w:type="gramEnd"/>
      <w:r>
        <w:rPr>
          <w:rFonts w:ascii="Arial" w:hAnsi="Arial" w:cs="Arial"/>
          <w:sz w:val="24"/>
          <w:szCs w:val="24"/>
        </w:rPr>
        <w:t xml:space="preserve"> between the provider and Lydia’s daughter, which they were authorised to do</w:t>
      </w:r>
      <w:r w:rsidRPr="0099107D">
        <w:rPr>
          <w:rFonts w:ascii="Arial" w:hAnsi="Arial" w:cs="Arial"/>
          <w:sz w:val="24"/>
          <w:szCs w:val="24"/>
        </w:rPr>
        <w:t xml:space="preserve"> </w:t>
      </w:r>
    </w:p>
    <w:p w:rsidR="0070107D" w:rsidRPr="0099107D" w:rsidRDefault="0070107D" w:rsidP="0070107D">
      <w:pPr>
        <w:pStyle w:val="ListParagraph"/>
        <w:ind w:left="0"/>
        <w:rPr>
          <w:rFonts w:ascii="Arial" w:hAnsi="Arial" w:cs="Arial"/>
          <w:sz w:val="24"/>
          <w:szCs w:val="24"/>
        </w:rPr>
      </w:pPr>
    </w:p>
    <w:p w:rsidR="0070107D" w:rsidRDefault="0070107D" w:rsidP="0070107D">
      <w:pPr>
        <w:pStyle w:val="ListParagraph"/>
        <w:ind w:left="0"/>
        <w:rPr>
          <w:rFonts w:ascii="Arial" w:hAnsi="Arial" w:cs="Arial"/>
          <w:sz w:val="24"/>
          <w:szCs w:val="24"/>
        </w:rPr>
      </w:pPr>
      <w:r w:rsidRPr="0099107D">
        <w:rPr>
          <w:rFonts w:ascii="Arial" w:hAnsi="Arial" w:cs="Arial"/>
          <w:sz w:val="24"/>
          <w:szCs w:val="24"/>
        </w:rPr>
        <w:t xml:space="preserve">The option of treating serious assaults as </w:t>
      </w:r>
      <w:r>
        <w:rPr>
          <w:rFonts w:ascii="Arial" w:hAnsi="Arial" w:cs="Arial"/>
          <w:sz w:val="24"/>
          <w:szCs w:val="24"/>
        </w:rPr>
        <w:t xml:space="preserve">matters which may be the </w:t>
      </w:r>
      <w:r w:rsidRPr="0099107D">
        <w:rPr>
          <w:rFonts w:ascii="Arial" w:hAnsi="Arial" w:cs="Arial"/>
          <w:sz w:val="24"/>
          <w:szCs w:val="24"/>
        </w:rPr>
        <w:t xml:space="preserve">subject to mediation </w:t>
      </w:r>
      <w:r>
        <w:rPr>
          <w:rFonts w:ascii="Arial" w:hAnsi="Arial" w:cs="Arial"/>
          <w:sz w:val="24"/>
          <w:szCs w:val="24"/>
        </w:rPr>
        <w:t xml:space="preserve">similar to a consumer issue </w:t>
      </w:r>
      <w:r w:rsidRPr="0099107D">
        <w:rPr>
          <w:rFonts w:ascii="Arial" w:hAnsi="Arial" w:cs="Arial"/>
          <w:sz w:val="24"/>
          <w:szCs w:val="24"/>
        </w:rPr>
        <w:t xml:space="preserve">is unacceptable. All assaults, </w:t>
      </w:r>
      <w:r>
        <w:rPr>
          <w:rFonts w:ascii="Arial" w:hAnsi="Arial" w:cs="Arial"/>
          <w:sz w:val="24"/>
          <w:szCs w:val="24"/>
        </w:rPr>
        <w:t xml:space="preserve">and </w:t>
      </w:r>
      <w:r w:rsidRPr="0099107D">
        <w:rPr>
          <w:rFonts w:ascii="Arial" w:hAnsi="Arial" w:cs="Arial"/>
          <w:sz w:val="24"/>
          <w:szCs w:val="24"/>
        </w:rPr>
        <w:t xml:space="preserve">all unexplained injuries should be reported. </w:t>
      </w:r>
    </w:p>
    <w:p w:rsidR="004E5104" w:rsidRDefault="004E5104" w:rsidP="00326A98">
      <w:pPr>
        <w:rPr>
          <w:rFonts w:ascii="Arial" w:hAnsi="Arial" w:cs="Arial"/>
          <w:sz w:val="24"/>
          <w:szCs w:val="24"/>
        </w:rPr>
      </w:pPr>
    </w:p>
    <w:p w:rsidR="004E5104" w:rsidRPr="00AB31FD" w:rsidRDefault="004E5104" w:rsidP="004E5104">
      <w:pPr>
        <w:spacing w:line="276" w:lineRule="auto"/>
        <w:rPr>
          <w:rFonts w:ascii="Arial" w:hAnsi="Arial" w:cs="Arial"/>
          <w:sz w:val="24"/>
          <w:szCs w:val="24"/>
        </w:rPr>
      </w:pPr>
      <w:r w:rsidRPr="00AB31FD">
        <w:rPr>
          <w:rFonts w:ascii="Arial" w:hAnsi="Arial" w:cs="Arial"/>
          <w:sz w:val="24"/>
          <w:szCs w:val="24"/>
        </w:rPr>
        <w:t>There has been criticism of the complaints sc</w:t>
      </w:r>
      <w:r w:rsidR="003740E1">
        <w:rPr>
          <w:rFonts w:ascii="Arial" w:hAnsi="Arial" w:cs="Arial"/>
          <w:sz w:val="24"/>
          <w:szCs w:val="24"/>
        </w:rPr>
        <w:t>heme that it lacks impartiality</w:t>
      </w:r>
      <w:proofErr w:type="gramStart"/>
      <w:r w:rsidR="003740E1">
        <w:rPr>
          <w:rFonts w:ascii="Arial" w:hAnsi="Arial" w:cs="Arial"/>
          <w:sz w:val="24"/>
          <w:szCs w:val="24"/>
        </w:rPr>
        <w:t xml:space="preserve">, </w:t>
      </w:r>
      <w:r w:rsidRPr="00AB31FD">
        <w:rPr>
          <w:rFonts w:ascii="Arial" w:hAnsi="Arial" w:cs="Arial"/>
          <w:sz w:val="24"/>
          <w:szCs w:val="24"/>
        </w:rPr>
        <w:t xml:space="preserve"> is</w:t>
      </w:r>
      <w:proofErr w:type="gramEnd"/>
      <w:r w:rsidRPr="00AB31FD">
        <w:rPr>
          <w:rFonts w:ascii="Arial" w:hAnsi="Arial" w:cs="Arial"/>
          <w:sz w:val="24"/>
          <w:szCs w:val="24"/>
        </w:rPr>
        <w:t xml:space="preserve"> not viewed as being independent of the department that administers aged care and that it focuses on dispute resolution rather than investigation.</w:t>
      </w:r>
      <w:r w:rsidRPr="00AB31FD">
        <w:rPr>
          <w:rStyle w:val="FootnoteReference"/>
          <w:rFonts w:ascii="Arial" w:hAnsi="Arial" w:cs="Arial"/>
          <w:sz w:val="24"/>
          <w:szCs w:val="24"/>
        </w:rPr>
        <w:footnoteReference w:id="17"/>
      </w:r>
      <w:r w:rsidRPr="00AB31FD">
        <w:rPr>
          <w:rFonts w:ascii="Arial" w:hAnsi="Arial" w:cs="Arial"/>
          <w:sz w:val="24"/>
          <w:szCs w:val="24"/>
        </w:rPr>
        <w:t xml:space="preserve"> </w:t>
      </w:r>
    </w:p>
    <w:p w:rsidR="0070107D" w:rsidRPr="00AB31FD" w:rsidRDefault="0070107D" w:rsidP="004E5104">
      <w:pPr>
        <w:spacing w:line="276" w:lineRule="auto"/>
        <w:rPr>
          <w:rFonts w:ascii="Arial" w:hAnsi="Arial" w:cs="Arial"/>
          <w:sz w:val="24"/>
          <w:szCs w:val="24"/>
        </w:rPr>
      </w:pPr>
    </w:p>
    <w:p w:rsidR="004E5104" w:rsidRPr="00AB31FD" w:rsidRDefault="004E5104" w:rsidP="004E5104">
      <w:pPr>
        <w:spacing w:line="276" w:lineRule="auto"/>
        <w:rPr>
          <w:rFonts w:ascii="Arial" w:hAnsi="Arial" w:cs="Arial"/>
          <w:sz w:val="24"/>
          <w:szCs w:val="24"/>
        </w:rPr>
      </w:pPr>
      <w:r w:rsidRPr="00AB31FD">
        <w:rPr>
          <w:rFonts w:ascii="Arial" w:hAnsi="Arial" w:cs="Arial"/>
          <w:sz w:val="24"/>
          <w:szCs w:val="24"/>
        </w:rPr>
        <w:t>The perceived lack of co-ordination of the responses by the Complaints system has led to a lack of comprehensive data:</w:t>
      </w:r>
    </w:p>
    <w:p w:rsidR="004E5104" w:rsidRPr="00AB31FD" w:rsidRDefault="004E5104" w:rsidP="004E5104">
      <w:pPr>
        <w:spacing w:line="276" w:lineRule="auto"/>
        <w:rPr>
          <w:rFonts w:ascii="Arial" w:hAnsi="Arial" w:cs="Arial"/>
          <w:sz w:val="24"/>
          <w:szCs w:val="24"/>
        </w:rPr>
      </w:pPr>
    </w:p>
    <w:p w:rsidR="004E5104" w:rsidRPr="00AB31FD" w:rsidRDefault="004E5104" w:rsidP="003740E1">
      <w:pPr>
        <w:spacing w:line="276" w:lineRule="auto"/>
        <w:ind w:left="720"/>
        <w:rPr>
          <w:rFonts w:ascii="Arial" w:hAnsi="Arial" w:cs="Arial"/>
          <w:sz w:val="24"/>
          <w:szCs w:val="24"/>
        </w:rPr>
      </w:pPr>
      <w:r w:rsidRPr="00AB31FD">
        <w:rPr>
          <w:rFonts w:ascii="Arial" w:hAnsi="Arial" w:cs="Arial"/>
          <w:sz w:val="24"/>
          <w:szCs w:val="24"/>
        </w:rPr>
        <w:t xml:space="preserve">“Even where data is collected, there is little information regarding how or even whether, cases are mediated, prosecuted or resolved in some way. This may be a consequence of the soft frameworks in place, where the agency responsible for receiving enquiries or claims of elder abuse essentially co-ordinates referral and/or advocacy services rather than operating as a coordinator of agencies with investigative responsibilities” </w:t>
      </w:r>
      <w:r w:rsidRPr="00AB31FD">
        <w:rPr>
          <w:rStyle w:val="FootnoteReference"/>
          <w:rFonts w:ascii="Arial" w:hAnsi="Arial" w:cs="Arial"/>
          <w:sz w:val="24"/>
          <w:szCs w:val="24"/>
        </w:rPr>
        <w:footnoteReference w:id="18"/>
      </w:r>
    </w:p>
    <w:p w:rsidR="004E5104" w:rsidRPr="00AB31FD" w:rsidRDefault="004E5104" w:rsidP="004E5104">
      <w:pPr>
        <w:spacing w:line="276" w:lineRule="auto"/>
        <w:rPr>
          <w:rFonts w:ascii="Arial" w:hAnsi="Arial" w:cs="Arial"/>
          <w:sz w:val="24"/>
          <w:szCs w:val="24"/>
        </w:rPr>
      </w:pPr>
      <w:r w:rsidRPr="00AB31FD">
        <w:rPr>
          <w:rFonts w:ascii="Arial" w:hAnsi="Arial" w:cs="Arial"/>
          <w:sz w:val="24"/>
          <w:szCs w:val="24"/>
        </w:rPr>
        <w:t xml:space="preserve"> </w:t>
      </w:r>
    </w:p>
    <w:p w:rsidR="00B03F2D" w:rsidRDefault="00B03F2D" w:rsidP="00326A98">
      <w:pPr>
        <w:rPr>
          <w:rFonts w:ascii="Arial" w:hAnsi="Arial" w:cs="Arial"/>
          <w:sz w:val="24"/>
          <w:szCs w:val="24"/>
        </w:rPr>
      </w:pP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 xml:space="preserve">Question 19 </w:t>
      </w:r>
      <w:r w:rsidR="00295C4D">
        <w:rPr>
          <w:rFonts w:ascii="Arial" w:hAnsi="Arial" w:cs="Arial"/>
          <w:i/>
          <w:iCs/>
          <w:sz w:val="24"/>
          <w:szCs w:val="24"/>
          <w:u w:val="single"/>
        </w:rPr>
        <w:tab/>
      </w:r>
      <w:r w:rsidR="00295C4D">
        <w:rPr>
          <w:rFonts w:ascii="Arial" w:hAnsi="Arial" w:cs="Arial"/>
          <w:i/>
          <w:iCs/>
          <w:sz w:val="24"/>
          <w:szCs w:val="24"/>
          <w:u w:val="single"/>
        </w:rPr>
        <w:tab/>
      </w:r>
      <w:r w:rsidR="00295C4D">
        <w:rPr>
          <w:rFonts w:ascii="Arial" w:hAnsi="Arial" w:cs="Arial"/>
          <w:i/>
          <w:iCs/>
          <w:sz w:val="24"/>
          <w:szCs w:val="24"/>
          <w:u w:val="single"/>
        </w:rPr>
        <w:tab/>
      </w:r>
      <w:r w:rsidRPr="0099107D">
        <w:rPr>
          <w:rFonts w:ascii="Arial" w:hAnsi="Arial" w:cs="Arial"/>
          <w:i/>
          <w:iCs/>
          <w:sz w:val="24"/>
          <w:szCs w:val="24"/>
          <w:u w:val="single"/>
        </w:rPr>
        <w:t xml:space="preserve"> the Sanctions Regime</w:t>
      </w:r>
    </w:p>
    <w:p w:rsidR="0070107D" w:rsidRDefault="0070107D" w:rsidP="0099107D">
      <w:pPr>
        <w:rPr>
          <w:rFonts w:ascii="Arial" w:hAnsi="Arial" w:cs="Arial"/>
          <w:sz w:val="24"/>
          <w:szCs w:val="24"/>
        </w:rPr>
      </w:pPr>
    </w:p>
    <w:p w:rsidR="0099107D" w:rsidRPr="0099107D" w:rsidRDefault="0099107D" w:rsidP="0099107D">
      <w:pPr>
        <w:rPr>
          <w:rFonts w:ascii="Arial" w:hAnsi="Arial" w:cs="Arial"/>
          <w:sz w:val="24"/>
          <w:szCs w:val="24"/>
        </w:rPr>
      </w:pPr>
      <w:r w:rsidRPr="0099107D">
        <w:rPr>
          <w:rFonts w:ascii="Arial" w:hAnsi="Arial" w:cs="Arial"/>
          <w:sz w:val="24"/>
          <w:szCs w:val="24"/>
        </w:rPr>
        <w:t>The sanctions regime applie</w:t>
      </w:r>
      <w:r w:rsidR="00984683">
        <w:rPr>
          <w:rFonts w:ascii="Arial" w:hAnsi="Arial" w:cs="Arial"/>
          <w:sz w:val="24"/>
          <w:szCs w:val="24"/>
        </w:rPr>
        <w:t>d</w:t>
      </w:r>
      <w:r w:rsidRPr="0099107D">
        <w:rPr>
          <w:rFonts w:ascii="Arial" w:hAnsi="Arial" w:cs="Arial"/>
          <w:sz w:val="24"/>
          <w:szCs w:val="24"/>
        </w:rPr>
        <w:t xml:space="preserve"> to the aged care provider </w:t>
      </w:r>
      <w:r w:rsidR="00984683">
        <w:rPr>
          <w:rFonts w:ascii="Arial" w:hAnsi="Arial" w:cs="Arial"/>
          <w:sz w:val="24"/>
          <w:szCs w:val="24"/>
        </w:rPr>
        <w:t xml:space="preserve">is also imposed by contractual agreement and operates to </w:t>
      </w:r>
      <w:r w:rsidRPr="0099107D">
        <w:rPr>
          <w:rFonts w:ascii="Arial" w:hAnsi="Arial" w:cs="Arial"/>
          <w:sz w:val="24"/>
          <w:szCs w:val="24"/>
        </w:rPr>
        <w:t>revok</w:t>
      </w:r>
      <w:r w:rsidR="00984683">
        <w:rPr>
          <w:rFonts w:ascii="Arial" w:hAnsi="Arial" w:cs="Arial"/>
          <w:sz w:val="24"/>
          <w:szCs w:val="24"/>
        </w:rPr>
        <w:t xml:space="preserve">e the </w:t>
      </w:r>
      <w:proofErr w:type="gramStart"/>
      <w:r w:rsidR="00984683">
        <w:rPr>
          <w:rFonts w:ascii="Arial" w:hAnsi="Arial" w:cs="Arial"/>
          <w:sz w:val="24"/>
          <w:szCs w:val="24"/>
        </w:rPr>
        <w:t>providers</w:t>
      </w:r>
      <w:proofErr w:type="gramEnd"/>
      <w:r w:rsidR="00984683">
        <w:rPr>
          <w:rFonts w:ascii="Arial" w:hAnsi="Arial" w:cs="Arial"/>
          <w:sz w:val="24"/>
          <w:szCs w:val="24"/>
        </w:rPr>
        <w:t xml:space="preserve"> </w:t>
      </w:r>
      <w:r w:rsidRPr="0099107D">
        <w:rPr>
          <w:rFonts w:ascii="Arial" w:hAnsi="Arial" w:cs="Arial"/>
          <w:sz w:val="24"/>
          <w:szCs w:val="24"/>
        </w:rPr>
        <w:t xml:space="preserve">accreditation and </w:t>
      </w:r>
      <w:r w:rsidR="00984683">
        <w:rPr>
          <w:rFonts w:ascii="Arial" w:hAnsi="Arial" w:cs="Arial"/>
          <w:sz w:val="24"/>
          <w:szCs w:val="24"/>
        </w:rPr>
        <w:t xml:space="preserve">presents a risk to its revenue. </w:t>
      </w:r>
      <w:r w:rsidRPr="0099107D">
        <w:rPr>
          <w:rFonts w:ascii="Arial" w:hAnsi="Arial" w:cs="Arial"/>
          <w:sz w:val="24"/>
          <w:szCs w:val="24"/>
        </w:rPr>
        <w:t xml:space="preserve"> </w:t>
      </w:r>
    </w:p>
    <w:p w:rsidR="00295C4D" w:rsidRDefault="00295C4D" w:rsidP="0099107D">
      <w:pPr>
        <w:rPr>
          <w:rFonts w:ascii="Arial" w:hAnsi="Arial" w:cs="Arial"/>
          <w:sz w:val="24"/>
          <w:szCs w:val="24"/>
        </w:rPr>
      </w:pPr>
    </w:p>
    <w:p w:rsidR="00295C4D" w:rsidRDefault="00295C4D" w:rsidP="0099107D">
      <w:pPr>
        <w:rPr>
          <w:rFonts w:ascii="Arial" w:hAnsi="Arial" w:cs="Arial"/>
          <w:sz w:val="24"/>
          <w:szCs w:val="24"/>
        </w:rPr>
      </w:pPr>
      <w:r>
        <w:rPr>
          <w:rFonts w:ascii="Arial" w:hAnsi="Arial" w:cs="Arial"/>
          <w:sz w:val="24"/>
          <w:szCs w:val="24"/>
        </w:rPr>
        <w:lastRenderedPageBreak/>
        <w:t>Empirical evidence is that inspections</w:t>
      </w:r>
      <w:r w:rsidR="003740E1">
        <w:rPr>
          <w:rFonts w:ascii="Arial" w:hAnsi="Arial" w:cs="Arial"/>
          <w:sz w:val="24"/>
          <w:szCs w:val="24"/>
        </w:rPr>
        <w:t xml:space="preserve"> operate like audits </w:t>
      </w:r>
      <w:proofErr w:type="gramStart"/>
      <w:r w:rsidR="003740E1">
        <w:rPr>
          <w:rFonts w:ascii="Arial" w:hAnsi="Arial" w:cs="Arial"/>
          <w:sz w:val="24"/>
          <w:szCs w:val="24"/>
        </w:rPr>
        <w:t xml:space="preserve">and </w:t>
      </w:r>
      <w:r>
        <w:rPr>
          <w:rFonts w:ascii="Arial" w:hAnsi="Arial" w:cs="Arial"/>
          <w:sz w:val="24"/>
          <w:szCs w:val="24"/>
        </w:rPr>
        <w:t xml:space="preserve"> are</w:t>
      </w:r>
      <w:proofErr w:type="gramEnd"/>
      <w:r>
        <w:rPr>
          <w:rFonts w:ascii="Arial" w:hAnsi="Arial" w:cs="Arial"/>
          <w:sz w:val="24"/>
          <w:szCs w:val="24"/>
        </w:rPr>
        <w:t xml:space="preserve"> carried out “on the papers” with a reliance on written evidence of compliance rather than actual observation and inspections.</w:t>
      </w:r>
    </w:p>
    <w:p w:rsidR="00984683" w:rsidRDefault="00984683" w:rsidP="0099107D">
      <w:pPr>
        <w:rPr>
          <w:rFonts w:ascii="Arial" w:hAnsi="Arial" w:cs="Arial"/>
          <w:sz w:val="24"/>
          <w:szCs w:val="24"/>
        </w:rPr>
      </w:pPr>
    </w:p>
    <w:p w:rsidR="0099107D" w:rsidRPr="0099107D" w:rsidRDefault="0099107D" w:rsidP="0099107D">
      <w:pPr>
        <w:rPr>
          <w:rFonts w:ascii="Arial" w:hAnsi="Arial" w:cs="Arial"/>
          <w:sz w:val="24"/>
          <w:szCs w:val="24"/>
        </w:rPr>
      </w:pP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 xml:space="preserve">Question 25 </w:t>
      </w:r>
      <w:r w:rsidR="00295C4D">
        <w:rPr>
          <w:rFonts w:ascii="Arial" w:hAnsi="Arial" w:cs="Arial"/>
          <w:i/>
          <w:iCs/>
          <w:sz w:val="24"/>
          <w:szCs w:val="24"/>
          <w:u w:val="single"/>
        </w:rPr>
        <w:tab/>
      </w:r>
      <w:r w:rsidR="00295C4D">
        <w:rPr>
          <w:rFonts w:ascii="Arial" w:hAnsi="Arial" w:cs="Arial"/>
          <w:i/>
          <w:iCs/>
          <w:sz w:val="24"/>
          <w:szCs w:val="24"/>
          <w:u w:val="single"/>
        </w:rPr>
        <w:tab/>
      </w:r>
      <w:r w:rsidR="00295C4D">
        <w:rPr>
          <w:rFonts w:ascii="Arial" w:hAnsi="Arial" w:cs="Arial"/>
          <w:i/>
          <w:iCs/>
          <w:sz w:val="24"/>
          <w:szCs w:val="24"/>
          <w:u w:val="single"/>
        </w:rPr>
        <w:tab/>
      </w:r>
      <w:r w:rsidRPr="0099107D">
        <w:rPr>
          <w:rFonts w:ascii="Arial" w:hAnsi="Arial" w:cs="Arial"/>
          <w:i/>
          <w:iCs/>
          <w:sz w:val="24"/>
          <w:szCs w:val="24"/>
          <w:u w:val="single"/>
        </w:rPr>
        <w:t xml:space="preserve"> Banks</w:t>
      </w:r>
    </w:p>
    <w:p w:rsidR="007A5C9E" w:rsidRPr="008E3DEC" w:rsidRDefault="007A5C9E" w:rsidP="008E3DEC">
      <w:pPr>
        <w:ind w:left="360"/>
        <w:rPr>
          <w:rFonts w:ascii="Arial" w:hAnsi="Arial" w:cs="Arial"/>
          <w:sz w:val="24"/>
          <w:szCs w:val="24"/>
        </w:rPr>
      </w:pPr>
    </w:p>
    <w:p w:rsidR="003740E1" w:rsidRDefault="0099107D" w:rsidP="0099107D">
      <w:pPr>
        <w:rPr>
          <w:rFonts w:ascii="Arial" w:hAnsi="Arial" w:cs="Arial"/>
          <w:sz w:val="24"/>
          <w:szCs w:val="24"/>
        </w:rPr>
      </w:pPr>
      <w:r w:rsidRPr="0099107D">
        <w:rPr>
          <w:rFonts w:ascii="Arial" w:hAnsi="Arial" w:cs="Arial"/>
          <w:sz w:val="24"/>
          <w:szCs w:val="24"/>
        </w:rPr>
        <w:t xml:space="preserve">Banks can certainly play a part in the prevention of financial abuse of older people by their </w:t>
      </w:r>
      <w:r w:rsidR="00634F02">
        <w:rPr>
          <w:rFonts w:ascii="Arial" w:hAnsi="Arial" w:cs="Arial"/>
          <w:sz w:val="24"/>
          <w:szCs w:val="24"/>
        </w:rPr>
        <w:t xml:space="preserve">family members or people whom they trust. </w:t>
      </w:r>
      <w:r w:rsidR="009944DF" w:rsidRPr="0099107D">
        <w:rPr>
          <w:rFonts w:ascii="Arial" w:hAnsi="Arial" w:cs="Arial"/>
          <w:sz w:val="24"/>
          <w:szCs w:val="24"/>
        </w:rPr>
        <w:t xml:space="preserve">Banks can </w:t>
      </w:r>
      <w:r w:rsidR="009944DF">
        <w:rPr>
          <w:rFonts w:ascii="Arial" w:hAnsi="Arial" w:cs="Arial"/>
          <w:sz w:val="24"/>
          <w:szCs w:val="24"/>
        </w:rPr>
        <w:t xml:space="preserve">do a great deal in </w:t>
      </w:r>
      <w:r w:rsidR="009944DF" w:rsidRPr="0099107D">
        <w:rPr>
          <w:rFonts w:ascii="Arial" w:hAnsi="Arial" w:cs="Arial"/>
          <w:sz w:val="24"/>
          <w:szCs w:val="24"/>
        </w:rPr>
        <w:t>preventing financial abuse</w:t>
      </w:r>
      <w:r w:rsidR="009944DF">
        <w:rPr>
          <w:rFonts w:ascii="Arial" w:hAnsi="Arial" w:cs="Arial"/>
          <w:sz w:val="24"/>
          <w:szCs w:val="24"/>
        </w:rPr>
        <w:t xml:space="preserve"> of </w:t>
      </w:r>
      <w:proofErr w:type="gramStart"/>
      <w:r w:rsidR="009944DF">
        <w:rPr>
          <w:rFonts w:ascii="Arial" w:hAnsi="Arial" w:cs="Arial"/>
          <w:sz w:val="24"/>
          <w:szCs w:val="24"/>
        </w:rPr>
        <w:t xml:space="preserve">elders </w:t>
      </w:r>
      <w:r w:rsidR="009944DF" w:rsidRPr="0099107D">
        <w:rPr>
          <w:rFonts w:ascii="Arial" w:hAnsi="Arial" w:cs="Arial"/>
          <w:sz w:val="24"/>
          <w:szCs w:val="24"/>
        </w:rPr>
        <w:t xml:space="preserve"> by</w:t>
      </w:r>
      <w:proofErr w:type="gramEnd"/>
      <w:r w:rsidR="009944DF" w:rsidRPr="0099107D">
        <w:rPr>
          <w:rFonts w:ascii="Arial" w:hAnsi="Arial" w:cs="Arial"/>
          <w:sz w:val="24"/>
          <w:szCs w:val="24"/>
        </w:rPr>
        <w:t xml:space="preserve"> simply questioning the purpose for which an older person seeks to transfer or mortgage an asset and questioning </w:t>
      </w:r>
      <w:r w:rsidR="009944DF">
        <w:rPr>
          <w:rFonts w:ascii="Arial" w:hAnsi="Arial" w:cs="Arial"/>
          <w:sz w:val="24"/>
          <w:szCs w:val="24"/>
        </w:rPr>
        <w:t xml:space="preserve">how well </w:t>
      </w:r>
      <w:r w:rsidR="009944DF" w:rsidRPr="0099107D">
        <w:rPr>
          <w:rFonts w:ascii="Arial" w:hAnsi="Arial" w:cs="Arial"/>
          <w:sz w:val="24"/>
          <w:szCs w:val="24"/>
        </w:rPr>
        <w:t xml:space="preserve">the older person understands the </w:t>
      </w:r>
      <w:r w:rsidR="009944DF">
        <w:rPr>
          <w:rFonts w:ascii="Arial" w:hAnsi="Arial" w:cs="Arial"/>
          <w:sz w:val="24"/>
          <w:szCs w:val="24"/>
        </w:rPr>
        <w:t xml:space="preserve">financial </w:t>
      </w:r>
      <w:r w:rsidR="009944DF" w:rsidRPr="0099107D">
        <w:rPr>
          <w:rFonts w:ascii="Arial" w:hAnsi="Arial" w:cs="Arial"/>
          <w:sz w:val="24"/>
          <w:szCs w:val="24"/>
        </w:rPr>
        <w:t xml:space="preserve">risks associated with their proposed course of action. </w:t>
      </w:r>
      <w:r w:rsidRPr="0099107D">
        <w:rPr>
          <w:rFonts w:ascii="Arial" w:hAnsi="Arial" w:cs="Arial"/>
          <w:sz w:val="24"/>
          <w:szCs w:val="24"/>
        </w:rPr>
        <w:t xml:space="preserve"> </w:t>
      </w:r>
    </w:p>
    <w:p w:rsidR="003740E1" w:rsidRDefault="003740E1" w:rsidP="0099107D">
      <w:pPr>
        <w:rPr>
          <w:rFonts w:ascii="Arial" w:hAnsi="Arial" w:cs="Arial"/>
          <w:sz w:val="24"/>
          <w:szCs w:val="24"/>
        </w:rPr>
      </w:pPr>
    </w:p>
    <w:p w:rsidR="00634F02" w:rsidRDefault="0099107D" w:rsidP="0099107D">
      <w:pPr>
        <w:rPr>
          <w:rFonts w:ascii="Arial" w:hAnsi="Arial" w:cs="Arial"/>
          <w:sz w:val="24"/>
          <w:szCs w:val="24"/>
        </w:rPr>
      </w:pPr>
      <w:r w:rsidRPr="0099107D">
        <w:rPr>
          <w:rFonts w:ascii="Arial" w:hAnsi="Arial" w:cs="Arial"/>
          <w:sz w:val="24"/>
          <w:szCs w:val="24"/>
        </w:rPr>
        <w:t xml:space="preserve">However banks </w:t>
      </w:r>
      <w:r w:rsidR="00634F02">
        <w:rPr>
          <w:rFonts w:ascii="Arial" w:hAnsi="Arial" w:cs="Arial"/>
          <w:sz w:val="24"/>
          <w:szCs w:val="24"/>
        </w:rPr>
        <w:t xml:space="preserve">can be complicit </w:t>
      </w:r>
      <w:r w:rsidRPr="0099107D">
        <w:rPr>
          <w:rFonts w:ascii="Arial" w:hAnsi="Arial" w:cs="Arial"/>
          <w:sz w:val="24"/>
          <w:szCs w:val="24"/>
        </w:rPr>
        <w:t xml:space="preserve">  </w:t>
      </w:r>
      <w:r w:rsidR="00634F02">
        <w:rPr>
          <w:rFonts w:ascii="Arial" w:hAnsi="Arial" w:cs="Arial"/>
          <w:sz w:val="24"/>
          <w:szCs w:val="24"/>
        </w:rPr>
        <w:t xml:space="preserve">in the abuse and </w:t>
      </w:r>
      <w:r w:rsidRPr="0099107D">
        <w:rPr>
          <w:rFonts w:ascii="Arial" w:hAnsi="Arial" w:cs="Arial"/>
          <w:sz w:val="24"/>
          <w:szCs w:val="24"/>
        </w:rPr>
        <w:t xml:space="preserve">perpetuate financial abuse </w:t>
      </w:r>
      <w:r w:rsidR="00634F02">
        <w:rPr>
          <w:rFonts w:ascii="Arial" w:hAnsi="Arial" w:cs="Arial"/>
          <w:sz w:val="24"/>
          <w:szCs w:val="24"/>
        </w:rPr>
        <w:t xml:space="preserve">as a result of </w:t>
      </w:r>
      <w:r w:rsidRPr="0099107D">
        <w:rPr>
          <w:rFonts w:ascii="Arial" w:hAnsi="Arial" w:cs="Arial"/>
          <w:sz w:val="24"/>
          <w:szCs w:val="24"/>
        </w:rPr>
        <w:t xml:space="preserve">their </w:t>
      </w:r>
      <w:r w:rsidR="00634F02">
        <w:rPr>
          <w:rFonts w:ascii="Arial" w:hAnsi="Arial" w:cs="Arial"/>
          <w:sz w:val="24"/>
          <w:szCs w:val="24"/>
        </w:rPr>
        <w:t xml:space="preserve">own internal </w:t>
      </w:r>
      <w:r w:rsidRPr="0099107D">
        <w:rPr>
          <w:rFonts w:ascii="Arial" w:hAnsi="Arial" w:cs="Arial"/>
          <w:sz w:val="24"/>
          <w:szCs w:val="24"/>
        </w:rPr>
        <w:t>requirements</w:t>
      </w:r>
      <w:r w:rsidR="00634F02">
        <w:rPr>
          <w:rFonts w:ascii="Arial" w:hAnsi="Arial" w:cs="Arial"/>
          <w:sz w:val="24"/>
          <w:szCs w:val="24"/>
        </w:rPr>
        <w:t xml:space="preserve"> and guidelines.</w:t>
      </w:r>
    </w:p>
    <w:p w:rsidR="009944DF" w:rsidRDefault="009944DF" w:rsidP="0099107D">
      <w:pPr>
        <w:rPr>
          <w:rFonts w:ascii="Arial" w:hAnsi="Arial" w:cs="Arial"/>
          <w:sz w:val="24"/>
          <w:szCs w:val="24"/>
        </w:rPr>
      </w:pPr>
    </w:p>
    <w:p w:rsidR="00634F02" w:rsidRDefault="003740E1" w:rsidP="0099107D">
      <w:pPr>
        <w:rPr>
          <w:rFonts w:ascii="Arial" w:hAnsi="Arial" w:cs="Arial"/>
          <w:sz w:val="24"/>
          <w:szCs w:val="24"/>
        </w:rPr>
      </w:pPr>
      <w:r>
        <w:rPr>
          <w:rFonts w:ascii="Arial" w:hAnsi="Arial" w:cs="Arial"/>
          <w:sz w:val="24"/>
          <w:szCs w:val="24"/>
        </w:rPr>
        <w:t xml:space="preserve">For example, </w:t>
      </w:r>
      <w:r w:rsidR="0099107D" w:rsidRPr="0099107D">
        <w:rPr>
          <w:rFonts w:ascii="Arial" w:hAnsi="Arial" w:cs="Arial"/>
          <w:sz w:val="24"/>
          <w:szCs w:val="24"/>
        </w:rPr>
        <w:t xml:space="preserve">banks </w:t>
      </w:r>
      <w:r w:rsidR="00634F02">
        <w:rPr>
          <w:rFonts w:ascii="Arial" w:hAnsi="Arial" w:cs="Arial"/>
          <w:sz w:val="24"/>
          <w:szCs w:val="24"/>
        </w:rPr>
        <w:t xml:space="preserve">are often </w:t>
      </w:r>
      <w:r w:rsidR="0099107D" w:rsidRPr="0099107D">
        <w:rPr>
          <w:rFonts w:ascii="Arial" w:hAnsi="Arial" w:cs="Arial"/>
          <w:sz w:val="24"/>
          <w:szCs w:val="24"/>
        </w:rPr>
        <w:t xml:space="preserve">reluctant to abide by instructions </w:t>
      </w:r>
      <w:r w:rsidR="00634F02">
        <w:rPr>
          <w:rFonts w:ascii="Arial" w:hAnsi="Arial" w:cs="Arial"/>
          <w:sz w:val="24"/>
          <w:szCs w:val="24"/>
        </w:rPr>
        <w:t xml:space="preserve">given by an Attorney acting </w:t>
      </w:r>
      <w:r w:rsidR="0099107D" w:rsidRPr="0099107D">
        <w:rPr>
          <w:rFonts w:ascii="Arial" w:hAnsi="Arial" w:cs="Arial"/>
          <w:sz w:val="24"/>
          <w:szCs w:val="24"/>
        </w:rPr>
        <w:t xml:space="preserve">under an Enduring </w:t>
      </w:r>
      <w:r w:rsidR="00634F02">
        <w:rPr>
          <w:rFonts w:ascii="Arial" w:hAnsi="Arial" w:cs="Arial"/>
          <w:sz w:val="24"/>
          <w:szCs w:val="24"/>
        </w:rPr>
        <w:t xml:space="preserve">Financial </w:t>
      </w:r>
      <w:r w:rsidR="0099107D" w:rsidRPr="0099107D">
        <w:rPr>
          <w:rFonts w:ascii="Arial" w:hAnsi="Arial" w:cs="Arial"/>
          <w:sz w:val="24"/>
          <w:szCs w:val="24"/>
        </w:rPr>
        <w:t xml:space="preserve">Power of Attorney </w:t>
      </w:r>
      <w:proofErr w:type="gramStart"/>
      <w:r w:rsidR="00634F02">
        <w:rPr>
          <w:rFonts w:ascii="Arial" w:hAnsi="Arial" w:cs="Arial"/>
          <w:sz w:val="24"/>
          <w:szCs w:val="24"/>
        </w:rPr>
        <w:t xml:space="preserve">in </w:t>
      </w:r>
      <w:r w:rsidR="0099107D" w:rsidRPr="0099107D">
        <w:rPr>
          <w:rFonts w:ascii="Arial" w:hAnsi="Arial" w:cs="Arial"/>
          <w:sz w:val="24"/>
          <w:szCs w:val="24"/>
        </w:rPr>
        <w:t xml:space="preserve"> circumstances</w:t>
      </w:r>
      <w:proofErr w:type="gramEnd"/>
      <w:r w:rsidR="0099107D" w:rsidRPr="0099107D">
        <w:rPr>
          <w:rFonts w:ascii="Arial" w:hAnsi="Arial" w:cs="Arial"/>
          <w:sz w:val="24"/>
          <w:szCs w:val="24"/>
        </w:rPr>
        <w:t xml:space="preserve"> where the </w:t>
      </w:r>
      <w:r w:rsidR="00634F02">
        <w:rPr>
          <w:rFonts w:ascii="Arial" w:hAnsi="Arial" w:cs="Arial"/>
          <w:sz w:val="24"/>
          <w:szCs w:val="24"/>
        </w:rPr>
        <w:t>P</w:t>
      </w:r>
      <w:r w:rsidR="0099107D" w:rsidRPr="0099107D">
        <w:rPr>
          <w:rFonts w:ascii="Arial" w:hAnsi="Arial" w:cs="Arial"/>
          <w:sz w:val="24"/>
          <w:szCs w:val="24"/>
        </w:rPr>
        <w:t xml:space="preserve">rincipal also has </w:t>
      </w:r>
      <w:r w:rsidR="00634F02">
        <w:rPr>
          <w:rFonts w:ascii="Arial" w:hAnsi="Arial" w:cs="Arial"/>
          <w:sz w:val="24"/>
          <w:szCs w:val="24"/>
        </w:rPr>
        <w:t xml:space="preserve">computer </w:t>
      </w:r>
      <w:r w:rsidR="0099107D" w:rsidRPr="0099107D">
        <w:rPr>
          <w:rFonts w:ascii="Arial" w:hAnsi="Arial" w:cs="Arial"/>
          <w:sz w:val="24"/>
          <w:szCs w:val="24"/>
        </w:rPr>
        <w:t>access to funds</w:t>
      </w:r>
      <w:r w:rsidR="00634F02">
        <w:rPr>
          <w:rFonts w:ascii="Arial" w:hAnsi="Arial" w:cs="Arial"/>
          <w:sz w:val="24"/>
          <w:szCs w:val="24"/>
        </w:rPr>
        <w:t xml:space="preserve">.  </w:t>
      </w:r>
    </w:p>
    <w:p w:rsidR="00634F02" w:rsidRDefault="00634F02" w:rsidP="0099107D">
      <w:pPr>
        <w:rPr>
          <w:rFonts w:ascii="Arial" w:hAnsi="Arial" w:cs="Arial"/>
          <w:sz w:val="24"/>
          <w:szCs w:val="24"/>
        </w:rPr>
      </w:pPr>
    </w:p>
    <w:p w:rsidR="00634F02" w:rsidRDefault="009944DF" w:rsidP="0099107D">
      <w:pPr>
        <w:rPr>
          <w:rFonts w:ascii="Arial" w:hAnsi="Arial" w:cs="Arial"/>
          <w:sz w:val="24"/>
          <w:szCs w:val="24"/>
        </w:rPr>
      </w:pPr>
      <w:proofErr w:type="gramStart"/>
      <w:r>
        <w:rPr>
          <w:rFonts w:ascii="Arial" w:hAnsi="Arial" w:cs="Arial"/>
          <w:sz w:val="24"/>
          <w:szCs w:val="24"/>
        </w:rPr>
        <w:t>Loan criteria is</w:t>
      </w:r>
      <w:proofErr w:type="gramEnd"/>
      <w:r>
        <w:rPr>
          <w:rFonts w:ascii="Arial" w:hAnsi="Arial" w:cs="Arial"/>
          <w:sz w:val="24"/>
          <w:szCs w:val="24"/>
        </w:rPr>
        <w:t xml:space="preserve"> often another source of elder financial abuse. </w:t>
      </w:r>
      <w:r w:rsidR="00634F02" w:rsidRPr="0099107D">
        <w:rPr>
          <w:rFonts w:ascii="Arial" w:hAnsi="Arial" w:cs="Arial"/>
          <w:sz w:val="24"/>
          <w:szCs w:val="24"/>
        </w:rPr>
        <w:t>Whe</w:t>
      </w:r>
      <w:r w:rsidR="00634F02">
        <w:rPr>
          <w:rFonts w:ascii="Arial" w:hAnsi="Arial" w:cs="Arial"/>
          <w:sz w:val="24"/>
          <w:szCs w:val="24"/>
        </w:rPr>
        <w:t>n</w:t>
      </w:r>
      <w:r w:rsidR="00634F02" w:rsidRPr="0099107D">
        <w:rPr>
          <w:rFonts w:ascii="Arial" w:hAnsi="Arial" w:cs="Arial"/>
          <w:sz w:val="24"/>
          <w:szCs w:val="24"/>
        </w:rPr>
        <w:t xml:space="preserve"> an older person wishes to renovat</w:t>
      </w:r>
      <w:r w:rsidR="00634F02">
        <w:rPr>
          <w:rFonts w:ascii="Arial" w:hAnsi="Arial" w:cs="Arial"/>
          <w:sz w:val="24"/>
          <w:szCs w:val="24"/>
        </w:rPr>
        <w:t xml:space="preserve">e </w:t>
      </w:r>
      <w:r w:rsidR="00634F02" w:rsidRPr="0099107D">
        <w:rPr>
          <w:rFonts w:ascii="Arial" w:hAnsi="Arial" w:cs="Arial"/>
          <w:sz w:val="24"/>
          <w:szCs w:val="24"/>
        </w:rPr>
        <w:t xml:space="preserve">their home, they </w:t>
      </w:r>
      <w:r w:rsidR="00634F02">
        <w:rPr>
          <w:rFonts w:ascii="Arial" w:hAnsi="Arial" w:cs="Arial"/>
          <w:sz w:val="24"/>
          <w:szCs w:val="24"/>
        </w:rPr>
        <w:t xml:space="preserve">must often approach a bank for a loan. </w:t>
      </w:r>
      <w:r w:rsidR="0099107D" w:rsidRPr="0099107D">
        <w:rPr>
          <w:rFonts w:ascii="Arial" w:hAnsi="Arial" w:cs="Arial"/>
          <w:sz w:val="24"/>
          <w:szCs w:val="24"/>
        </w:rPr>
        <w:t>Older people find it difficult to borrow money for legitimate purposes as they do not meet the banks</w:t>
      </w:r>
      <w:r w:rsidR="00634F02">
        <w:rPr>
          <w:rFonts w:ascii="Arial" w:hAnsi="Arial" w:cs="Arial"/>
          <w:sz w:val="24"/>
          <w:szCs w:val="24"/>
        </w:rPr>
        <w:t>’</w:t>
      </w:r>
      <w:r w:rsidR="0099107D" w:rsidRPr="0099107D">
        <w:rPr>
          <w:rFonts w:ascii="Arial" w:hAnsi="Arial" w:cs="Arial"/>
          <w:sz w:val="24"/>
          <w:szCs w:val="24"/>
        </w:rPr>
        <w:t xml:space="preserve"> affordability criteria</w:t>
      </w:r>
      <w:r w:rsidR="00634F02">
        <w:rPr>
          <w:rFonts w:ascii="Arial" w:hAnsi="Arial" w:cs="Arial"/>
          <w:sz w:val="24"/>
          <w:szCs w:val="24"/>
        </w:rPr>
        <w:t>. T</w:t>
      </w:r>
      <w:r w:rsidR="0099107D" w:rsidRPr="0099107D">
        <w:rPr>
          <w:rFonts w:ascii="Arial" w:hAnsi="Arial" w:cs="Arial"/>
          <w:sz w:val="24"/>
          <w:szCs w:val="24"/>
        </w:rPr>
        <w:t xml:space="preserve">hey generally retire from work and don’t have </w:t>
      </w:r>
      <w:r w:rsidR="00634F02">
        <w:rPr>
          <w:rFonts w:ascii="Arial" w:hAnsi="Arial" w:cs="Arial"/>
          <w:sz w:val="24"/>
          <w:szCs w:val="24"/>
        </w:rPr>
        <w:t xml:space="preserve">sufficient </w:t>
      </w:r>
      <w:r w:rsidR="0099107D" w:rsidRPr="0099107D">
        <w:rPr>
          <w:rFonts w:ascii="Arial" w:hAnsi="Arial" w:cs="Arial"/>
          <w:sz w:val="24"/>
          <w:szCs w:val="24"/>
        </w:rPr>
        <w:t xml:space="preserve">income to support a loan. </w:t>
      </w:r>
    </w:p>
    <w:p w:rsidR="00634F02" w:rsidRDefault="00634F02" w:rsidP="0099107D">
      <w:pPr>
        <w:rPr>
          <w:rFonts w:ascii="Arial" w:hAnsi="Arial" w:cs="Arial"/>
          <w:sz w:val="24"/>
          <w:szCs w:val="24"/>
        </w:rPr>
      </w:pPr>
    </w:p>
    <w:p w:rsidR="003740E1" w:rsidRDefault="009944DF" w:rsidP="0099107D">
      <w:pPr>
        <w:rPr>
          <w:rFonts w:ascii="Arial" w:hAnsi="Arial" w:cs="Arial"/>
          <w:sz w:val="24"/>
          <w:szCs w:val="24"/>
        </w:rPr>
      </w:pPr>
      <w:r>
        <w:rPr>
          <w:rFonts w:ascii="Arial" w:hAnsi="Arial" w:cs="Arial"/>
          <w:sz w:val="24"/>
          <w:szCs w:val="24"/>
        </w:rPr>
        <w:t>While it is possible to provide loan funds and request a guarantee</w:t>
      </w:r>
      <w:r w:rsidR="003740E1">
        <w:rPr>
          <w:rFonts w:ascii="Arial" w:hAnsi="Arial" w:cs="Arial"/>
          <w:sz w:val="24"/>
          <w:szCs w:val="24"/>
        </w:rPr>
        <w:t xml:space="preserve">, since the case of </w:t>
      </w:r>
      <w:proofErr w:type="spellStart"/>
      <w:r w:rsidR="003740E1" w:rsidRPr="003740E1">
        <w:rPr>
          <w:rFonts w:ascii="Arial" w:hAnsi="Arial" w:cs="Arial"/>
          <w:sz w:val="24"/>
          <w:szCs w:val="24"/>
          <w:u w:val="single"/>
        </w:rPr>
        <w:t>Amadio</w:t>
      </w:r>
      <w:proofErr w:type="spellEnd"/>
      <w:r w:rsidR="003740E1">
        <w:rPr>
          <w:rStyle w:val="FootnoteReference"/>
          <w:rFonts w:ascii="Arial" w:hAnsi="Arial" w:cs="Arial"/>
          <w:sz w:val="24"/>
          <w:szCs w:val="24"/>
          <w:u w:val="single"/>
        </w:rPr>
        <w:footnoteReference w:id="19"/>
      </w:r>
      <w:r>
        <w:rPr>
          <w:rFonts w:ascii="Arial" w:hAnsi="Arial" w:cs="Arial"/>
          <w:sz w:val="24"/>
          <w:szCs w:val="24"/>
        </w:rPr>
        <w:t xml:space="preserve"> it has become </w:t>
      </w:r>
      <w:r w:rsidR="003740E1">
        <w:rPr>
          <w:rFonts w:ascii="Arial" w:hAnsi="Arial" w:cs="Arial"/>
          <w:sz w:val="24"/>
          <w:szCs w:val="24"/>
        </w:rPr>
        <w:t xml:space="preserve">commonplace </w:t>
      </w:r>
      <w:r>
        <w:rPr>
          <w:rFonts w:ascii="Arial" w:hAnsi="Arial" w:cs="Arial"/>
          <w:sz w:val="24"/>
          <w:szCs w:val="24"/>
        </w:rPr>
        <w:t xml:space="preserve">for banks to insist that </w:t>
      </w:r>
      <w:r w:rsidR="0099107D" w:rsidRPr="0099107D">
        <w:rPr>
          <w:rFonts w:ascii="Arial" w:hAnsi="Arial" w:cs="Arial"/>
          <w:sz w:val="24"/>
          <w:szCs w:val="24"/>
        </w:rPr>
        <w:t xml:space="preserve">all borrowers </w:t>
      </w:r>
      <w:r>
        <w:rPr>
          <w:rFonts w:ascii="Arial" w:hAnsi="Arial" w:cs="Arial"/>
          <w:sz w:val="24"/>
          <w:szCs w:val="24"/>
        </w:rPr>
        <w:t xml:space="preserve">become </w:t>
      </w:r>
      <w:r w:rsidR="0099107D" w:rsidRPr="0099107D">
        <w:rPr>
          <w:rFonts w:ascii="Arial" w:hAnsi="Arial" w:cs="Arial"/>
          <w:sz w:val="24"/>
          <w:szCs w:val="24"/>
        </w:rPr>
        <w:t xml:space="preserve">joint borrowers. </w:t>
      </w:r>
      <w:proofErr w:type="gramStart"/>
      <w:r w:rsidR="0099107D" w:rsidRPr="0099107D">
        <w:rPr>
          <w:rFonts w:ascii="Arial" w:hAnsi="Arial" w:cs="Arial"/>
          <w:sz w:val="24"/>
          <w:szCs w:val="24"/>
        </w:rPr>
        <w:t>This results</w:t>
      </w:r>
      <w:proofErr w:type="gramEnd"/>
      <w:r w:rsidR="0099107D" w:rsidRPr="0099107D">
        <w:rPr>
          <w:rFonts w:ascii="Arial" w:hAnsi="Arial" w:cs="Arial"/>
          <w:sz w:val="24"/>
          <w:szCs w:val="24"/>
        </w:rPr>
        <w:t xml:space="preserve"> in the necessary transfer of property from the older person to the </w:t>
      </w:r>
      <w:r w:rsidR="003740E1">
        <w:rPr>
          <w:rFonts w:ascii="Arial" w:hAnsi="Arial" w:cs="Arial"/>
          <w:sz w:val="24"/>
          <w:szCs w:val="24"/>
        </w:rPr>
        <w:t xml:space="preserve">co-borrower, usually the adult child. </w:t>
      </w:r>
    </w:p>
    <w:p w:rsidR="003740E1" w:rsidRDefault="003740E1" w:rsidP="0099107D">
      <w:pPr>
        <w:rPr>
          <w:rFonts w:ascii="Arial" w:hAnsi="Arial" w:cs="Arial"/>
          <w:sz w:val="24"/>
          <w:szCs w:val="24"/>
        </w:rPr>
      </w:pPr>
    </w:p>
    <w:p w:rsidR="003740E1" w:rsidRDefault="003740E1" w:rsidP="003740E1">
      <w:pPr>
        <w:rPr>
          <w:rFonts w:ascii="Arial" w:hAnsi="Arial" w:cs="Arial"/>
          <w:sz w:val="24"/>
          <w:szCs w:val="24"/>
        </w:rPr>
      </w:pPr>
      <w:r>
        <w:rPr>
          <w:rFonts w:ascii="Arial" w:hAnsi="Arial" w:cs="Arial"/>
          <w:sz w:val="24"/>
          <w:szCs w:val="24"/>
        </w:rPr>
        <w:t xml:space="preserve">This has a range of consequences. </w:t>
      </w:r>
      <w:r w:rsidR="0099107D" w:rsidRPr="0099107D">
        <w:rPr>
          <w:rFonts w:ascii="Arial" w:hAnsi="Arial" w:cs="Arial"/>
          <w:sz w:val="24"/>
          <w:szCs w:val="24"/>
        </w:rPr>
        <w:t>Once assets are partly owned in the name of other people the assets are exposed to third part</w:t>
      </w:r>
      <w:r w:rsidR="00EA035A">
        <w:rPr>
          <w:rFonts w:ascii="Arial" w:hAnsi="Arial" w:cs="Arial"/>
          <w:sz w:val="24"/>
          <w:szCs w:val="24"/>
        </w:rPr>
        <w:t xml:space="preserve">y rights </w:t>
      </w:r>
      <w:r w:rsidR="0099107D" w:rsidRPr="0099107D">
        <w:rPr>
          <w:rFonts w:ascii="Arial" w:hAnsi="Arial" w:cs="Arial"/>
          <w:sz w:val="24"/>
          <w:szCs w:val="24"/>
        </w:rPr>
        <w:t>such as bankruptcy and family court proceedings which may diminish the value of the property.</w:t>
      </w:r>
      <w:r w:rsidR="009944DF" w:rsidRPr="009944DF">
        <w:rPr>
          <w:rFonts w:ascii="Arial" w:hAnsi="Arial" w:cs="Arial"/>
          <w:sz w:val="24"/>
          <w:szCs w:val="24"/>
        </w:rPr>
        <w:t xml:space="preserve"> </w:t>
      </w:r>
      <w:r w:rsidR="009944DF" w:rsidRPr="0099107D">
        <w:rPr>
          <w:rFonts w:ascii="Arial" w:hAnsi="Arial" w:cs="Arial"/>
          <w:sz w:val="24"/>
          <w:szCs w:val="24"/>
        </w:rPr>
        <w:t xml:space="preserve">Transfers also affect the older </w:t>
      </w:r>
      <w:proofErr w:type="gramStart"/>
      <w:r w:rsidR="009944DF" w:rsidRPr="0099107D">
        <w:rPr>
          <w:rFonts w:ascii="Arial" w:hAnsi="Arial" w:cs="Arial"/>
          <w:sz w:val="24"/>
          <w:szCs w:val="24"/>
        </w:rPr>
        <w:t>persons</w:t>
      </w:r>
      <w:proofErr w:type="gramEnd"/>
      <w:r w:rsidR="009944DF" w:rsidRPr="0099107D">
        <w:rPr>
          <w:rFonts w:ascii="Arial" w:hAnsi="Arial" w:cs="Arial"/>
          <w:sz w:val="24"/>
          <w:szCs w:val="24"/>
        </w:rPr>
        <w:t xml:space="preserve"> entitlement to income support and to aged care support as these</w:t>
      </w:r>
      <w:r w:rsidR="009944DF">
        <w:rPr>
          <w:rFonts w:ascii="Arial" w:hAnsi="Arial" w:cs="Arial"/>
          <w:sz w:val="24"/>
          <w:szCs w:val="24"/>
        </w:rPr>
        <w:t xml:space="preserve"> transfers </w:t>
      </w:r>
      <w:r w:rsidR="009944DF" w:rsidRPr="0099107D">
        <w:rPr>
          <w:rFonts w:ascii="Arial" w:hAnsi="Arial" w:cs="Arial"/>
          <w:sz w:val="24"/>
          <w:szCs w:val="24"/>
        </w:rPr>
        <w:t xml:space="preserve">are treated as gifts. </w:t>
      </w:r>
      <w:r>
        <w:rPr>
          <w:rFonts w:ascii="Arial" w:hAnsi="Arial" w:cs="Arial"/>
          <w:sz w:val="24"/>
          <w:szCs w:val="24"/>
        </w:rPr>
        <w:t xml:space="preserve">Joint proprietorship </w:t>
      </w:r>
      <w:r w:rsidRPr="0099107D">
        <w:rPr>
          <w:rFonts w:ascii="Arial" w:hAnsi="Arial" w:cs="Arial"/>
          <w:sz w:val="24"/>
          <w:szCs w:val="24"/>
        </w:rPr>
        <w:t xml:space="preserve">results in the acquisition of the entire property by the </w:t>
      </w:r>
      <w:r>
        <w:rPr>
          <w:rFonts w:ascii="Arial" w:hAnsi="Arial" w:cs="Arial"/>
          <w:sz w:val="24"/>
          <w:szCs w:val="24"/>
        </w:rPr>
        <w:t xml:space="preserve">surviving co-borrower </w:t>
      </w:r>
      <w:r w:rsidRPr="0099107D">
        <w:rPr>
          <w:rFonts w:ascii="Arial" w:hAnsi="Arial" w:cs="Arial"/>
          <w:sz w:val="24"/>
          <w:szCs w:val="24"/>
        </w:rPr>
        <w:t>on death</w:t>
      </w:r>
      <w:r>
        <w:rPr>
          <w:rFonts w:ascii="Arial" w:hAnsi="Arial" w:cs="Arial"/>
          <w:sz w:val="24"/>
          <w:szCs w:val="24"/>
        </w:rPr>
        <w:t xml:space="preserve"> of the older person, </w:t>
      </w:r>
      <w:r w:rsidRPr="0099107D">
        <w:rPr>
          <w:rFonts w:ascii="Arial" w:hAnsi="Arial" w:cs="Arial"/>
          <w:sz w:val="24"/>
          <w:szCs w:val="24"/>
        </w:rPr>
        <w:t>which m</w:t>
      </w:r>
      <w:r>
        <w:rPr>
          <w:rFonts w:ascii="Arial" w:hAnsi="Arial" w:cs="Arial"/>
          <w:sz w:val="24"/>
          <w:szCs w:val="24"/>
        </w:rPr>
        <w:t xml:space="preserve">ight </w:t>
      </w:r>
      <w:r w:rsidRPr="0099107D">
        <w:rPr>
          <w:rFonts w:ascii="Arial" w:hAnsi="Arial" w:cs="Arial"/>
          <w:sz w:val="24"/>
          <w:szCs w:val="24"/>
        </w:rPr>
        <w:t>not have been the older person</w:t>
      </w:r>
      <w:r>
        <w:rPr>
          <w:rFonts w:ascii="Arial" w:hAnsi="Arial" w:cs="Arial"/>
          <w:sz w:val="24"/>
          <w:szCs w:val="24"/>
        </w:rPr>
        <w:t>’</w:t>
      </w:r>
      <w:r w:rsidRPr="0099107D">
        <w:rPr>
          <w:rFonts w:ascii="Arial" w:hAnsi="Arial" w:cs="Arial"/>
          <w:sz w:val="24"/>
          <w:szCs w:val="24"/>
        </w:rPr>
        <w:t xml:space="preserve">s intention. </w:t>
      </w:r>
    </w:p>
    <w:p w:rsidR="003740E1" w:rsidRDefault="003740E1" w:rsidP="003740E1">
      <w:pPr>
        <w:rPr>
          <w:rFonts w:ascii="Arial" w:hAnsi="Arial" w:cs="Arial"/>
          <w:sz w:val="24"/>
          <w:szCs w:val="24"/>
        </w:rPr>
      </w:pPr>
    </w:p>
    <w:p w:rsidR="003740E1" w:rsidRDefault="0099107D" w:rsidP="0099107D">
      <w:pPr>
        <w:rPr>
          <w:rFonts w:ascii="Arial" w:hAnsi="Arial" w:cs="Arial"/>
          <w:sz w:val="24"/>
          <w:szCs w:val="24"/>
        </w:rPr>
      </w:pPr>
      <w:r w:rsidRPr="0099107D">
        <w:rPr>
          <w:rFonts w:ascii="Arial" w:hAnsi="Arial" w:cs="Arial"/>
          <w:sz w:val="24"/>
          <w:szCs w:val="24"/>
        </w:rPr>
        <w:t xml:space="preserve"> Banks also cause grief for older </w:t>
      </w:r>
      <w:r w:rsidR="00567CEB">
        <w:rPr>
          <w:rFonts w:ascii="Arial" w:hAnsi="Arial" w:cs="Arial"/>
          <w:sz w:val="24"/>
          <w:szCs w:val="24"/>
        </w:rPr>
        <w:t xml:space="preserve">married </w:t>
      </w:r>
      <w:r w:rsidRPr="0099107D">
        <w:rPr>
          <w:rFonts w:ascii="Arial" w:hAnsi="Arial" w:cs="Arial"/>
          <w:sz w:val="24"/>
          <w:szCs w:val="24"/>
        </w:rPr>
        <w:t xml:space="preserve">women in particular </w:t>
      </w:r>
      <w:r w:rsidR="00567CEB">
        <w:rPr>
          <w:rFonts w:ascii="Arial" w:hAnsi="Arial" w:cs="Arial"/>
          <w:sz w:val="24"/>
          <w:szCs w:val="24"/>
        </w:rPr>
        <w:t xml:space="preserve">as a result of a common practice of having a single account in the husband’s name into which two pensions are deposited.  The law regarding joint ownership of personal property in </w:t>
      </w:r>
      <w:r w:rsidR="00567CEB">
        <w:rPr>
          <w:rFonts w:ascii="Arial" w:hAnsi="Arial" w:cs="Arial"/>
          <w:sz w:val="24"/>
          <w:szCs w:val="24"/>
        </w:rPr>
        <w:lastRenderedPageBreak/>
        <w:t xml:space="preserve">bank deposits is complicated and banks treat the entire sum of cash in such accounts as the legal </w:t>
      </w:r>
      <w:proofErr w:type="gramStart"/>
      <w:r w:rsidR="00567CEB">
        <w:rPr>
          <w:rFonts w:ascii="Arial" w:hAnsi="Arial" w:cs="Arial"/>
          <w:sz w:val="24"/>
          <w:szCs w:val="24"/>
        </w:rPr>
        <w:t>property  of</w:t>
      </w:r>
      <w:proofErr w:type="gramEnd"/>
      <w:r w:rsidR="00567CEB">
        <w:rPr>
          <w:rFonts w:ascii="Arial" w:hAnsi="Arial" w:cs="Arial"/>
          <w:sz w:val="24"/>
          <w:szCs w:val="24"/>
        </w:rPr>
        <w:t xml:space="preserve"> the person with the </w:t>
      </w:r>
      <w:r w:rsidRPr="0099107D">
        <w:rPr>
          <w:rFonts w:ascii="Arial" w:hAnsi="Arial" w:cs="Arial"/>
          <w:sz w:val="24"/>
          <w:szCs w:val="24"/>
        </w:rPr>
        <w:t xml:space="preserve">account </w:t>
      </w:r>
      <w:r w:rsidR="00567CEB">
        <w:rPr>
          <w:rFonts w:ascii="Arial" w:hAnsi="Arial" w:cs="Arial"/>
          <w:sz w:val="24"/>
          <w:szCs w:val="24"/>
        </w:rPr>
        <w:t xml:space="preserve">title or </w:t>
      </w:r>
      <w:r w:rsidRPr="0099107D">
        <w:rPr>
          <w:rFonts w:ascii="Arial" w:hAnsi="Arial" w:cs="Arial"/>
          <w:sz w:val="24"/>
          <w:szCs w:val="24"/>
        </w:rPr>
        <w:t xml:space="preserve">designation. </w:t>
      </w:r>
    </w:p>
    <w:p w:rsidR="003740E1" w:rsidRDefault="003740E1" w:rsidP="0099107D">
      <w:pPr>
        <w:rPr>
          <w:rFonts w:ascii="Arial" w:hAnsi="Arial" w:cs="Arial"/>
          <w:sz w:val="24"/>
          <w:szCs w:val="24"/>
        </w:rPr>
      </w:pPr>
    </w:p>
    <w:p w:rsidR="00567CEB" w:rsidRDefault="00567CEB" w:rsidP="0099107D">
      <w:pPr>
        <w:rPr>
          <w:rFonts w:ascii="Arial" w:hAnsi="Arial" w:cs="Arial"/>
          <w:sz w:val="24"/>
          <w:szCs w:val="24"/>
        </w:rPr>
      </w:pPr>
      <w:r>
        <w:rPr>
          <w:rFonts w:ascii="Arial" w:hAnsi="Arial" w:cs="Arial"/>
          <w:sz w:val="24"/>
          <w:szCs w:val="24"/>
        </w:rPr>
        <w:t xml:space="preserve">In other words, beneficial interests as a result of contribution are not taken into account by </w:t>
      </w:r>
      <w:proofErr w:type="gramStart"/>
      <w:r>
        <w:rPr>
          <w:rFonts w:ascii="Arial" w:hAnsi="Arial" w:cs="Arial"/>
          <w:sz w:val="24"/>
          <w:szCs w:val="24"/>
        </w:rPr>
        <w:t xml:space="preserve">banks  </w:t>
      </w:r>
      <w:r w:rsidR="003740E1">
        <w:rPr>
          <w:rFonts w:ascii="Arial" w:hAnsi="Arial" w:cs="Arial"/>
          <w:sz w:val="24"/>
          <w:szCs w:val="24"/>
        </w:rPr>
        <w:t>(</w:t>
      </w:r>
      <w:proofErr w:type="gramEnd"/>
      <w:r>
        <w:rPr>
          <w:rFonts w:ascii="Arial" w:hAnsi="Arial" w:cs="Arial"/>
          <w:sz w:val="24"/>
          <w:szCs w:val="24"/>
        </w:rPr>
        <w:t xml:space="preserve">while this presents no problem for </w:t>
      </w:r>
      <w:proofErr w:type="spellStart"/>
      <w:r>
        <w:rPr>
          <w:rFonts w:ascii="Arial" w:hAnsi="Arial" w:cs="Arial"/>
          <w:sz w:val="24"/>
          <w:szCs w:val="24"/>
        </w:rPr>
        <w:t>Centrelink</w:t>
      </w:r>
      <w:proofErr w:type="spellEnd"/>
      <w:r w:rsidR="003740E1">
        <w:rPr>
          <w:rFonts w:ascii="Arial" w:hAnsi="Arial" w:cs="Arial"/>
          <w:sz w:val="24"/>
          <w:szCs w:val="24"/>
        </w:rPr>
        <w:t>)</w:t>
      </w:r>
      <w:r>
        <w:rPr>
          <w:rFonts w:ascii="Arial" w:hAnsi="Arial" w:cs="Arial"/>
          <w:sz w:val="24"/>
          <w:szCs w:val="24"/>
        </w:rPr>
        <w:t xml:space="preserve">.  </w:t>
      </w:r>
      <w:r w:rsidR="0099107D" w:rsidRPr="0099107D">
        <w:rPr>
          <w:rFonts w:ascii="Arial" w:hAnsi="Arial" w:cs="Arial"/>
          <w:sz w:val="24"/>
          <w:szCs w:val="24"/>
        </w:rPr>
        <w:t xml:space="preserve">This has resulted in </w:t>
      </w:r>
      <w:r>
        <w:rPr>
          <w:rFonts w:ascii="Arial" w:hAnsi="Arial" w:cs="Arial"/>
          <w:sz w:val="24"/>
          <w:szCs w:val="24"/>
        </w:rPr>
        <w:t xml:space="preserve">older women being subjected to </w:t>
      </w:r>
      <w:proofErr w:type="gramStart"/>
      <w:r>
        <w:rPr>
          <w:rFonts w:ascii="Arial" w:hAnsi="Arial" w:cs="Arial"/>
          <w:sz w:val="24"/>
          <w:szCs w:val="24"/>
        </w:rPr>
        <w:t>neglect  combined</w:t>
      </w:r>
      <w:proofErr w:type="gramEnd"/>
      <w:r>
        <w:rPr>
          <w:rFonts w:ascii="Arial" w:hAnsi="Arial" w:cs="Arial"/>
          <w:sz w:val="24"/>
          <w:szCs w:val="24"/>
        </w:rPr>
        <w:t xml:space="preserve"> with financial abuse, being  denied  </w:t>
      </w:r>
      <w:r w:rsidRPr="0099107D">
        <w:rPr>
          <w:rFonts w:ascii="Arial" w:hAnsi="Arial" w:cs="Arial"/>
          <w:sz w:val="24"/>
          <w:szCs w:val="24"/>
        </w:rPr>
        <w:t xml:space="preserve">access to their savings </w:t>
      </w:r>
      <w:r>
        <w:rPr>
          <w:rFonts w:ascii="Arial" w:hAnsi="Arial" w:cs="Arial"/>
          <w:sz w:val="24"/>
          <w:szCs w:val="24"/>
        </w:rPr>
        <w:t xml:space="preserve">and thus denied access to services by </w:t>
      </w:r>
      <w:r w:rsidR="000C56B2">
        <w:rPr>
          <w:rFonts w:ascii="Arial" w:hAnsi="Arial" w:cs="Arial"/>
          <w:sz w:val="24"/>
          <w:szCs w:val="24"/>
        </w:rPr>
        <w:t xml:space="preserve">means of their husbands </w:t>
      </w:r>
      <w:r>
        <w:rPr>
          <w:rFonts w:ascii="Arial" w:hAnsi="Arial" w:cs="Arial"/>
          <w:sz w:val="24"/>
          <w:szCs w:val="24"/>
        </w:rPr>
        <w:t>controlling the purse strings.</w:t>
      </w:r>
    </w:p>
    <w:p w:rsidR="00567CEB" w:rsidRDefault="00567CEB" w:rsidP="0099107D">
      <w:pPr>
        <w:rPr>
          <w:rFonts w:ascii="Arial" w:hAnsi="Arial" w:cs="Arial"/>
          <w:sz w:val="24"/>
          <w:szCs w:val="24"/>
        </w:rPr>
      </w:pPr>
    </w:p>
    <w:p w:rsidR="0099107D" w:rsidRPr="0099107D" w:rsidRDefault="0099107D" w:rsidP="0099107D">
      <w:pPr>
        <w:rPr>
          <w:rFonts w:ascii="Arial" w:hAnsi="Arial" w:cs="Arial"/>
          <w:sz w:val="24"/>
          <w:szCs w:val="24"/>
        </w:rPr>
      </w:pPr>
      <w:r w:rsidRPr="0099107D">
        <w:rPr>
          <w:rFonts w:ascii="Arial" w:hAnsi="Arial" w:cs="Arial"/>
          <w:sz w:val="24"/>
          <w:szCs w:val="24"/>
        </w:rPr>
        <w:t>A simple acknowledgement by the banks that contribution from different sources into one back account results in joint ownership would be of assistance.</w:t>
      </w:r>
      <w:r w:rsidR="00567CEB">
        <w:rPr>
          <w:rFonts w:ascii="Arial" w:hAnsi="Arial" w:cs="Arial"/>
          <w:sz w:val="24"/>
          <w:szCs w:val="24"/>
        </w:rPr>
        <w:t xml:space="preserve"> Alternatively</w:t>
      </w:r>
      <w:r w:rsidR="009944DF">
        <w:rPr>
          <w:rFonts w:ascii="Arial" w:hAnsi="Arial" w:cs="Arial"/>
          <w:sz w:val="24"/>
          <w:szCs w:val="24"/>
        </w:rPr>
        <w:t xml:space="preserve">, </w:t>
      </w:r>
      <w:r w:rsidR="00567CEB">
        <w:rPr>
          <w:rFonts w:ascii="Arial" w:hAnsi="Arial" w:cs="Arial"/>
          <w:sz w:val="24"/>
          <w:szCs w:val="24"/>
        </w:rPr>
        <w:t xml:space="preserve">  </w:t>
      </w:r>
      <w:proofErr w:type="spellStart"/>
      <w:r w:rsidR="00567CEB">
        <w:rPr>
          <w:rFonts w:ascii="Arial" w:hAnsi="Arial" w:cs="Arial"/>
          <w:sz w:val="24"/>
          <w:szCs w:val="24"/>
        </w:rPr>
        <w:t>Centrelink</w:t>
      </w:r>
      <w:proofErr w:type="spellEnd"/>
      <w:r w:rsidR="00567CEB">
        <w:rPr>
          <w:rFonts w:ascii="Arial" w:hAnsi="Arial" w:cs="Arial"/>
          <w:sz w:val="24"/>
          <w:szCs w:val="24"/>
        </w:rPr>
        <w:t xml:space="preserve"> could insist that pension payments are made into a single name designated account. </w:t>
      </w:r>
      <w:r w:rsidRPr="0099107D">
        <w:rPr>
          <w:rFonts w:ascii="Arial" w:hAnsi="Arial" w:cs="Arial"/>
          <w:sz w:val="24"/>
          <w:szCs w:val="24"/>
        </w:rPr>
        <w:t xml:space="preserve"> </w:t>
      </w:r>
    </w:p>
    <w:p w:rsidR="0099107D" w:rsidRPr="0099107D" w:rsidRDefault="0099107D" w:rsidP="0099107D">
      <w:pPr>
        <w:rPr>
          <w:rFonts w:ascii="Arial" w:hAnsi="Arial" w:cs="Arial"/>
          <w:sz w:val="24"/>
          <w:szCs w:val="24"/>
        </w:rPr>
      </w:pP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Question 27 – Family Agreements</w:t>
      </w:r>
    </w:p>
    <w:p w:rsidR="0099107D" w:rsidRPr="0099107D" w:rsidRDefault="0099107D" w:rsidP="0099107D">
      <w:pPr>
        <w:rPr>
          <w:rFonts w:ascii="Arial" w:hAnsi="Arial" w:cs="Arial"/>
          <w:sz w:val="24"/>
          <w:szCs w:val="24"/>
        </w:rPr>
      </w:pPr>
    </w:p>
    <w:p w:rsidR="007831D0" w:rsidRDefault="003D6B32" w:rsidP="0099107D">
      <w:pPr>
        <w:rPr>
          <w:rFonts w:ascii="Arial" w:hAnsi="Arial" w:cs="Arial"/>
          <w:sz w:val="24"/>
          <w:szCs w:val="24"/>
        </w:rPr>
      </w:pPr>
      <w:r>
        <w:rPr>
          <w:rFonts w:ascii="Arial" w:hAnsi="Arial" w:cs="Arial"/>
          <w:sz w:val="24"/>
          <w:szCs w:val="24"/>
        </w:rPr>
        <w:t xml:space="preserve">The writer supports a standardised approach to family agreements similar to </w:t>
      </w:r>
      <w:proofErr w:type="gramStart"/>
      <w:r>
        <w:rPr>
          <w:rFonts w:ascii="Arial" w:hAnsi="Arial" w:cs="Arial"/>
          <w:sz w:val="24"/>
          <w:szCs w:val="24"/>
        </w:rPr>
        <w:t>the  standardised</w:t>
      </w:r>
      <w:proofErr w:type="gramEnd"/>
      <w:r>
        <w:rPr>
          <w:rFonts w:ascii="Arial" w:hAnsi="Arial" w:cs="Arial"/>
          <w:sz w:val="24"/>
          <w:szCs w:val="24"/>
        </w:rPr>
        <w:t xml:space="preserve"> disability support trust </w:t>
      </w:r>
      <w:r w:rsidR="000C56B2">
        <w:rPr>
          <w:rFonts w:ascii="Arial" w:hAnsi="Arial" w:cs="Arial"/>
          <w:sz w:val="24"/>
          <w:szCs w:val="24"/>
        </w:rPr>
        <w:t xml:space="preserve">document </w:t>
      </w:r>
      <w:r>
        <w:rPr>
          <w:rFonts w:ascii="Arial" w:hAnsi="Arial" w:cs="Arial"/>
          <w:sz w:val="24"/>
          <w:szCs w:val="24"/>
        </w:rPr>
        <w:t xml:space="preserve">developed and promoted by </w:t>
      </w:r>
      <w:proofErr w:type="spellStart"/>
      <w:r>
        <w:rPr>
          <w:rFonts w:ascii="Arial" w:hAnsi="Arial" w:cs="Arial"/>
          <w:sz w:val="24"/>
          <w:szCs w:val="24"/>
        </w:rPr>
        <w:t>Centrelink</w:t>
      </w:r>
      <w:proofErr w:type="spellEnd"/>
      <w:r>
        <w:rPr>
          <w:rFonts w:ascii="Arial" w:hAnsi="Arial" w:cs="Arial"/>
          <w:sz w:val="24"/>
          <w:szCs w:val="24"/>
        </w:rPr>
        <w:t>.</w:t>
      </w:r>
    </w:p>
    <w:p w:rsidR="002827FD" w:rsidRDefault="002827FD" w:rsidP="0099107D">
      <w:pPr>
        <w:rPr>
          <w:rFonts w:ascii="Arial" w:hAnsi="Arial" w:cs="Arial"/>
          <w:sz w:val="24"/>
          <w:szCs w:val="24"/>
        </w:rPr>
      </w:pPr>
    </w:p>
    <w:p w:rsidR="00EA035A" w:rsidRDefault="00EA035A" w:rsidP="00057227">
      <w:pPr>
        <w:rPr>
          <w:rFonts w:ascii="Arial" w:hAnsi="Arial" w:cs="Arial"/>
          <w:sz w:val="24"/>
          <w:szCs w:val="24"/>
        </w:rPr>
      </w:pPr>
      <w:r>
        <w:rPr>
          <w:rFonts w:ascii="Arial" w:hAnsi="Arial" w:cs="Arial"/>
          <w:sz w:val="24"/>
          <w:szCs w:val="24"/>
        </w:rPr>
        <w:t>Role of lawyers</w:t>
      </w:r>
    </w:p>
    <w:p w:rsidR="00EA035A" w:rsidRDefault="00EA035A" w:rsidP="00057227">
      <w:pPr>
        <w:rPr>
          <w:rFonts w:ascii="Arial" w:hAnsi="Arial" w:cs="Arial"/>
          <w:sz w:val="24"/>
          <w:szCs w:val="24"/>
        </w:rPr>
      </w:pPr>
    </w:p>
    <w:p w:rsidR="00057227" w:rsidRDefault="00057227" w:rsidP="00057227">
      <w:pPr>
        <w:rPr>
          <w:rFonts w:ascii="Arial" w:hAnsi="Arial" w:cs="Arial"/>
          <w:sz w:val="24"/>
          <w:szCs w:val="24"/>
        </w:rPr>
      </w:pPr>
      <w:r w:rsidRPr="0099107D">
        <w:rPr>
          <w:rFonts w:ascii="Arial" w:hAnsi="Arial" w:cs="Arial"/>
          <w:sz w:val="24"/>
          <w:szCs w:val="24"/>
        </w:rPr>
        <w:t xml:space="preserve">Lawyers have a </w:t>
      </w:r>
      <w:r>
        <w:rPr>
          <w:rFonts w:ascii="Arial" w:hAnsi="Arial" w:cs="Arial"/>
          <w:sz w:val="24"/>
          <w:szCs w:val="24"/>
        </w:rPr>
        <w:t xml:space="preserve">role in the </w:t>
      </w:r>
      <w:r w:rsidRPr="0099107D">
        <w:rPr>
          <w:rFonts w:ascii="Arial" w:hAnsi="Arial" w:cs="Arial"/>
          <w:sz w:val="24"/>
          <w:szCs w:val="24"/>
        </w:rPr>
        <w:t>prevention of abuse of older people in relation to family agreements and other agreements for transfer of assets</w:t>
      </w:r>
      <w:r>
        <w:rPr>
          <w:rFonts w:ascii="Arial" w:hAnsi="Arial" w:cs="Arial"/>
          <w:sz w:val="24"/>
          <w:szCs w:val="24"/>
        </w:rPr>
        <w:t xml:space="preserve">, </w:t>
      </w:r>
      <w:r w:rsidRPr="0099107D">
        <w:rPr>
          <w:rFonts w:ascii="Arial" w:hAnsi="Arial" w:cs="Arial"/>
          <w:sz w:val="24"/>
          <w:szCs w:val="24"/>
        </w:rPr>
        <w:t xml:space="preserve">particularly in the face of an agreement </w:t>
      </w:r>
      <w:r>
        <w:rPr>
          <w:rFonts w:ascii="Arial" w:hAnsi="Arial" w:cs="Arial"/>
          <w:sz w:val="24"/>
          <w:szCs w:val="24"/>
        </w:rPr>
        <w:t xml:space="preserve">which does not appear to benefit the older person or is </w:t>
      </w:r>
      <w:r w:rsidRPr="0099107D">
        <w:rPr>
          <w:rFonts w:ascii="Arial" w:hAnsi="Arial" w:cs="Arial"/>
          <w:sz w:val="24"/>
          <w:szCs w:val="24"/>
        </w:rPr>
        <w:t xml:space="preserve">patently </w:t>
      </w:r>
      <w:r>
        <w:rPr>
          <w:rFonts w:ascii="Arial" w:hAnsi="Arial" w:cs="Arial"/>
          <w:sz w:val="24"/>
          <w:szCs w:val="24"/>
        </w:rPr>
        <w:t xml:space="preserve">risky. </w:t>
      </w:r>
    </w:p>
    <w:p w:rsidR="00086D18" w:rsidRDefault="00086D18" w:rsidP="00086D18">
      <w:pPr>
        <w:spacing w:after="200" w:line="276" w:lineRule="auto"/>
        <w:rPr>
          <w:rFonts w:ascii="Arial" w:hAnsi="Arial" w:cs="Arial"/>
          <w:bCs/>
          <w:sz w:val="24"/>
          <w:szCs w:val="24"/>
          <w:lang w:val="en-GB"/>
        </w:rPr>
      </w:pPr>
    </w:p>
    <w:p w:rsidR="00086D18" w:rsidRPr="00A81E7B" w:rsidRDefault="00086D18" w:rsidP="00086D18">
      <w:pPr>
        <w:spacing w:after="200" w:line="276" w:lineRule="auto"/>
        <w:rPr>
          <w:rFonts w:ascii="Arial" w:hAnsi="Arial" w:cs="Arial"/>
          <w:sz w:val="24"/>
          <w:szCs w:val="24"/>
        </w:rPr>
      </w:pPr>
      <w:r>
        <w:rPr>
          <w:rFonts w:ascii="Arial" w:hAnsi="Arial" w:cs="Arial"/>
          <w:bCs/>
          <w:sz w:val="24"/>
          <w:szCs w:val="24"/>
          <w:lang w:val="en-GB"/>
        </w:rPr>
        <w:t>Legal p</w:t>
      </w:r>
      <w:r w:rsidRPr="00A81E7B">
        <w:rPr>
          <w:rFonts w:ascii="Arial" w:hAnsi="Arial" w:cs="Arial"/>
          <w:bCs/>
          <w:sz w:val="24"/>
          <w:szCs w:val="24"/>
          <w:lang w:val="en-GB"/>
        </w:rPr>
        <w:t>ractitioners owe duties in tort as well as in contract</w:t>
      </w:r>
      <w:r>
        <w:rPr>
          <w:rFonts w:ascii="Arial" w:hAnsi="Arial" w:cs="Arial"/>
          <w:bCs/>
          <w:sz w:val="24"/>
          <w:szCs w:val="24"/>
          <w:lang w:val="en-GB"/>
        </w:rPr>
        <w:t xml:space="preserve">. </w:t>
      </w:r>
      <w:r>
        <w:rPr>
          <w:rStyle w:val="FootnoteReference"/>
          <w:rFonts w:ascii="Arial" w:hAnsi="Arial" w:cs="Arial"/>
          <w:bCs/>
          <w:sz w:val="24"/>
          <w:szCs w:val="24"/>
          <w:lang w:val="en-GB"/>
        </w:rPr>
        <w:footnoteReference w:id="20"/>
      </w:r>
      <w:r w:rsidRPr="00A81E7B">
        <w:rPr>
          <w:rFonts w:ascii="Arial" w:hAnsi="Arial" w:cs="Arial"/>
          <w:bCs/>
          <w:sz w:val="24"/>
          <w:szCs w:val="24"/>
          <w:lang w:val="en-GB"/>
        </w:rPr>
        <w:t xml:space="preserve"> Practitioners </w:t>
      </w:r>
      <w:r>
        <w:rPr>
          <w:rFonts w:ascii="Arial" w:hAnsi="Arial" w:cs="Arial"/>
          <w:bCs/>
          <w:sz w:val="24"/>
          <w:szCs w:val="24"/>
          <w:lang w:val="en-GB"/>
        </w:rPr>
        <w:t xml:space="preserve">can </w:t>
      </w:r>
      <w:r w:rsidRPr="00A81E7B">
        <w:rPr>
          <w:rFonts w:ascii="Arial" w:hAnsi="Arial" w:cs="Arial"/>
          <w:bCs/>
          <w:sz w:val="24"/>
          <w:szCs w:val="24"/>
          <w:lang w:val="en-GB"/>
        </w:rPr>
        <w:t xml:space="preserve">owe a duty or care </w:t>
      </w:r>
      <w:proofErr w:type="gramStart"/>
      <w:r w:rsidRPr="00A81E7B">
        <w:rPr>
          <w:rFonts w:ascii="Arial" w:hAnsi="Arial" w:cs="Arial"/>
          <w:bCs/>
          <w:sz w:val="24"/>
          <w:szCs w:val="24"/>
          <w:lang w:val="en-GB"/>
        </w:rPr>
        <w:t>to</w:t>
      </w:r>
      <w:r>
        <w:rPr>
          <w:rFonts w:ascii="Arial" w:hAnsi="Arial" w:cs="Arial"/>
          <w:bCs/>
          <w:sz w:val="24"/>
          <w:szCs w:val="24"/>
          <w:lang w:val="en-GB"/>
        </w:rPr>
        <w:t xml:space="preserve"> </w:t>
      </w:r>
      <w:r w:rsidRPr="00A81E7B">
        <w:rPr>
          <w:rFonts w:ascii="Arial" w:hAnsi="Arial" w:cs="Arial"/>
          <w:bCs/>
          <w:sz w:val="24"/>
          <w:szCs w:val="24"/>
          <w:lang w:val="en-GB"/>
        </w:rPr>
        <w:t xml:space="preserve"> non</w:t>
      </w:r>
      <w:proofErr w:type="gramEnd"/>
      <w:r w:rsidRPr="00A81E7B">
        <w:rPr>
          <w:rFonts w:ascii="Arial" w:hAnsi="Arial" w:cs="Arial"/>
          <w:bCs/>
          <w:sz w:val="24"/>
          <w:szCs w:val="24"/>
          <w:lang w:val="en-GB"/>
        </w:rPr>
        <w:t>-clients.</w:t>
      </w:r>
      <w:r>
        <w:rPr>
          <w:rStyle w:val="FootnoteReference"/>
          <w:rFonts w:ascii="Arial" w:hAnsi="Arial" w:cs="Arial"/>
          <w:bCs/>
          <w:sz w:val="24"/>
          <w:szCs w:val="24"/>
          <w:lang w:val="en-GB"/>
        </w:rPr>
        <w:footnoteReference w:id="21"/>
      </w:r>
      <w:r w:rsidRPr="00A81E7B">
        <w:rPr>
          <w:rFonts w:ascii="Arial" w:hAnsi="Arial" w:cs="Arial"/>
          <w:bCs/>
          <w:sz w:val="24"/>
          <w:szCs w:val="24"/>
          <w:lang w:val="en-GB"/>
        </w:rPr>
        <w:t xml:space="preserve">  </w:t>
      </w:r>
      <w:r>
        <w:rPr>
          <w:rFonts w:ascii="Arial" w:hAnsi="Arial" w:cs="Arial"/>
          <w:bCs/>
          <w:sz w:val="24"/>
          <w:szCs w:val="24"/>
          <w:lang w:val="en-GB"/>
        </w:rPr>
        <w:t xml:space="preserve">Practitioners have </w:t>
      </w:r>
      <w:proofErr w:type="gramStart"/>
      <w:r>
        <w:rPr>
          <w:rFonts w:ascii="Arial" w:hAnsi="Arial" w:cs="Arial"/>
          <w:bCs/>
          <w:sz w:val="24"/>
          <w:szCs w:val="24"/>
          <w:lang w:val="en-GB"/>
        </w:rPr>
        <w:t xml:space="preserve">a </w:t>
      </w:r>
      <w:r w:rsidRPr="00A81E7B">
        <w:rPr>
          <w:rFonts w:ascii="Arial" w:hAnsi="Arial" w:cs="Arial"/>
          <w:bCs/>
          <w:sz w:val="24"/>
          <w:szCs w:val="24"/>
          <w:lang w:val="en-GB"/>
        </w:rPr>
        <w:t xml:space="preserve"> </w:t>
      </w:r>
      <w:r>
        <w:rPr>
          <w:rFonts w:ascii="Arial" w:hAnsi="Arial" w:cs="Arial"/>
          <w:bCs/>
          <w:sz w:val="24"/>
          <w:szCs w:val="24"/>
          <w:lang w:val="en-GB"/>
        </w:rPr>
        <w:t>duty</w:t>
      </w:r>
      <w:proofErr w:type="gramEnd"/>
      <w:r>
        <w:rPr>
          <w:rFonts w:ascii="Arial" w:hAnsi="Arial" w:cs="Arial"/>
          <w:bCs/>
          <w:sz w:val="24"/>
          <w:szCs w:val="24"/>
          <w:lang w:val="en-GB"/>
        </w:rPr>
        <w:t xml:space="preserve"> as a  professional advisor to warn</w:t>
      </w:r>
      <w:r>
        <w:rPr>
          <w:rStyle w:val="FootnoteReference"/>
          <w:rFonts w:ascii="Arial" w:hAnsi="Arial" w:cs="Arial"/>
          <w:bCs/>
          <w:sz w:val="24"/>
          <w:szCs w:val="24"/>
          <w:lang w:val="en-GB"/>
        </w:rPr>
        <w:footnoteReference w:id="22"/>
      </w:r>
      <w:r>
        <w:rPr>
          <w:rFonts w:ascii="Arial" w:hAnsi="Arial" w:cs="Arial"/>
          <w:bCs/>
          <w:sz w:val="24"/>
          <w:szCs w:val="24"/>
          <w:lang w:val="en-GB"/>
        </w:rPr>
        <w:t xml:space="preserve">  </w:t>
      </w:r>
      <w:r w:rsidRPr="00A81E7B">
        <w:rPr>
          <w:rFonts w:ascii="Arial" w:hAnsi="Arial" w:cs="Arial"/>
          <w:bCs/>
          <w:sz w:val="24"/>
          <w:szCs w:val="24"/>
          <w:lang w:val="en-GB"/>
        </w:rPr>
        <w:t>which requires the solicitor to take positive steps</w:t>
      </w:r>
      <w:r>
        <w:rPr>
          <w:rFonts w:ascii="Arial" w:hAnsi="Arial" w:cs="Arial"/>
          <w:bCs/>
          <w:sz w:val="24"/>
          <w:szCs w:val="24"/>
          <w:lang w:val="en-GB"/>
        </w:rPr>
        <w:t>:</w:t>
      </w:r>
      <w:r w:rsidRPr="00A81E7B">
        <w:rPr>
          <w:rFonts w:ascii="Arial" w:hAnsi="Arial" w:cs="Arial"/>
          <w:bCs/>
          <w:sz w:val="24"/>
          <w:szCs w:val="24"/>
          <w:lang w:val="en-GB"/>
        </w:rPr>
        <w:t xml:space="preserve"> </w:t>
      </w:r>
    </w:p>
    <w:p w:rsidR="00086D18" w:rsidRPr="00A81E7B" w:rsidRDefault="00086D18" w:rsidP="00086D18">
      <w:pPr>
        <w:ind w:left="1080"/>
        <w:rPr>
          <w:rFonts w:ascii="Arial" w:hAnsi="Arial" w:cs="Arial"/>
          <w:sz w:val="24"/>
          <w:szCs w:val="24"/>
        </w:rPr>
      </w:pPr>
      <w:r>
        <w:rPr>
          <w:rFonts w:ascii="Arial" w:hAnsi="Arial" w:cs="Arial"/>
          <w:bCs/>
          <w:sz w:val="24"/>
          <w:szCs w:val="24"/>
          <w:lang w:val="en-GB"/>
        </w:rPr>
        <w:t>“</w:t>
      </w:r>
      <w:proofErr w:type="gramStart"/>
      <w:r w:rsidRPr="00A81E7B">
        <w:rPr>
          <w:rFonts w:ascii="Arial" w:hAnsi="Arial" w:cs="Arial"/>
          <w:bCs/>
          <w:sz w:val="24"/>
          <w:szCs w:val="24"/>
          <w:lang w:val="en-GB"/>
        </w:rPr>
        <w:t>beyond</w:t>
      </w:r>
      <w:proofErr w:type="gramEnd"/>
      <w:r w:rsidRPr="00A81E7B">
        <w:rPr>
          <w:rFonts w:ascii="Arial" w:hAnsi="Arial" w:cs="Arial"/>
          <w:bCs/>
          <w:sz w:val="24"/>
          <w:szCs w:val="24"/>
          <w:lang w:val="en-GB"/>
        </w:rPr>
        <w:t xml:space="preserve"> the specific professional task or function agreed in the instructions to avoid a real and foreseeable economic loss to the client</w:t>
      </w:r>
      <w:r>
        <w:rPr>
          <w:rFonts w:ascii="Arial" w:hAnsi="Arial" w:cs="Arial"/>
          <w:bCs/>
          <w:sz w:val="24"/>
          <w:szCs w:val="24"/>
          <w:lang w:val="en-GB"/>
        </w:rPr>
        <w:t>”</w:t>
      </w:r>
      <w:r>
        <w:rPr>
          <w:rStyle w:val="FootnoteReference"/>
          <w:rFonts w:ascii="Arial" w:hAnsi="Arial" w:cs="Arial"/>
          <w:bCs/>
          <w:sz w:val="24"/>
          <w:szCs w:val="24"/>
          <w:lang w:val="en-GB"/>
        </w:rPr>
        <w:footnoteReference w:id="23"/>
      </w:r>
      <w:r w:rsidRPr="00A81E7B">
        <w:rPr>
          <w:rFonts w:ascii="Arial" w:hAnsi="Arial" w:cs="Arial"/>
          <w:bCs/>
          <w:sz w:val="24"/>
          <w:szCs w:val="24"/>
          <w:lang w:val="en-GB"/>
        </w:rPr>
        <w:t xml:space="preserve">.   </w:t>
      </w:r>
      <w:r w:rsidRPr="00A81E7B">
        <w:rPr>
          <w:rFonts w:ascii="Arial" w:hAnsi="Arial" w:cs="Arial"/>
          <w:bCs/>
          <w:sz w:val="24"/>
          <w:szCs w:val="24"/>
          <w:lang w:val="en-GB"/>
        </w:rPr>
        <w:tab/>
      </w:r>
      <w:r w:rsidRPr="00A81E7B">
        <w:rPr>
          <w:rFonts w:ascii="Arial" w:hAnsi="Arial" w:cs="Arial"/>
          <w:bCs/>
          <w:sz w:val="24"/>
          <w:szCs w:val="24"/>
          <w:lang w:val="en-GB"/>
        </w:rPr>
        <w:tab/>
      </w:r>
      <w:r w:rsidRPr="00A81E7B">
        <w:rPr>
          <w:rFonts w:ascii="Arial" w:hAnsi="Arial" w:cs="Arial"/>
          <w:bCs/>
          <w:sz w:val="24"/>
          <w:szCs w:val="24"/>
          <w:lang w:val="en-GB"/>
        </w:rPr>
        <w:tab/>
      </w:r>
      <w:r w:rsidRPr="00A81E7B">
        <w:rPr>
          <w:rFonts w:ascii="Arial" w:hAnsi="Arial" w:cs="Arial"/>
          <w:bCs/>
          <w:sz w:val="24"/>
          <w:szCs w:val="24"/>
          <w:lang w:val="en-GB"/>
        </w:rPr>
        <w:tab/>
      </w:r>
      <w:r w:rsidRPr="00A81E7B">
        <w:rPr>
          <w:rFonts w:ascii="Arial" w:hAnsi="Arial" w:cs="Arial"/>
          <w:bCs/>
          <w:sz w:val="24"/>
          <w:szCs w:val="24"/>
          <w:lang w:val="en-GB"/>
        </w:rPr>
        <w:tab/>
      </w:r>
      <w:r w:rsidRPr="00A81E7B">
        <w:rPr>
          <w:rFonts w:ascii="Arial" w:hAnsi="Arial" w:cs="Arial"/>
          <w:sz w:val="24"/>
          <w:szCs w:val="24"/>
          <w:lang w:val="en-GB"/>
        </w:rPr>
        <w:t xml:space="preserve"> </w:t>
      </w:r>
    </w:p>
    <w:p w:rsidR="00086D18" w:rsidRPr="00A81E7B" w:rsidRDefault="00086D18" w:rsidP="00086D18">
      <w:pPr>
        <w:spacing w:after="200" w:line="276" w:lineRule="auto"/>
        <w:rPr>
          <w:rFonts w:ascii="Arial" w:hAnsi="Arial" w:cs="Arial"/>
          <w:sz w:val="24"/>
          <w:szCs w:val="24"/>
        </w:rPr>
      </w:pPr>
      <w:r>
        <w:rPr>
          <w:rFonts w:ascii="Arial" w:hAnsi="Arial" w:cs="Arial"/>
          <w:bCs/>
          <w:sz w:val="24"/>
          <w:szCs w:val="24"/>
          <w:lang w:val="en-GB"/>
        </w:rPr>
        <w:t>So p</w:t>
      </w:r>
      <w:r w:rsidRPr="00A81E7B">
        <w:rPr>
          <w:rFonts w:ascii="Arial" w:hAnsi="Arial" w:cs="Arial"/>
          <w:bCs/>
          <w:sz w:val="24"/>
          <w:szCs w:val="24"/>
          <w:lang w:val="en-GB"/>
        </w:rPr>
        <w:t xml:space="preserve">ractitioners </w:t>
      </w:r>
      <w:r>
        <w:rPr>
          <w:rFonts w:ascii="Arial" w:hAnsi="Arial" w:cs="Arial"/>
          <w:bCs/>
          <w:sz w:val="24"/>
          <w:szCs w:val="24"/>
          <w:lang w:val="en-GB"/>
        </w:rPr>
        <w:t xml:space="preserve">should warn </w:t>
      </w:r>
      <w:proofErr w:type="gramStart"/>
      <w:r>
        <w:rPr>
          <w:rFonts w:ascii="Arial" w:hAnsi="Arial" w:cs="Arial"/>
          <w:bCs/>
          <w:sz w:val="24"/>
          <w:szCs w:val="24"/>
          <w:lang w:val="en-GB"/>
        </w:rPr>
        <w:t>clients  a</w:t>
      </w:r>
      <w:r w:rsidRPr="00A81E7B">
        <w:rPr>
          <w:rFonts w:ascii="Arial" w:hAnsi="Arial" w:cs="Arial"/>
          <w:bCs/>
          <w:sz w:val="24"/>
          <w:szCs w:val="24"/>
          <w:lang w:val="en-GB"/>
        </w:rPr>
        <w:t>bout</w:t>
      </w:r>
      <w:proofErr w:type="gramEnd"/>
      <w:r w:rsidRPr="00A81E7B">
        <w:rPr>
          <w:rFonts w:ascii="Arial" w:hAnsi="Arial" w:cs="Arial"/>
          <w:bCs/>
          <w:sz w:val="24"/>
          <w:szCs w:val="24"/>
          <w:lang w:val="en-GB"/>
        </w:rPr>
        <w:t xml:space="preserve"> entering arrangements against their interests</w:t>
      </w:r>
      <w:r>
        <w:rPr>
          <w:rFonts w:ascii="Arial" w:hAnsi="Arial" w:cs="Arial"/>
          <w:bCs/>
          <w:sz w:val="24"/>
          <w:szCs w:val="24"/>
          <w:lang w:val="en-GB"/>
        </w:rPr>
        <w:t xml:space="preserve">. </w:t>
      </w:r>
      <w:r w:rsidRPr="00A81E7B">
        <w:rPr>
          <w:rFonts w:ascii="Arial" w:hAnsi="Arial" w:cs="Arial"/>
          <w:sz w:val="24"/>
          <w:szCs w:val="24"/>
          <w:lang w:val="en-GB"/>
        </w:rPr>
        <w:t xml:space="preserve"> </w:t>
      </w:r>
    </w:p>
    <w:p w:rsidR="00086D18" w:rsidRDefault="00086D18" w:rsidP="00086D18">
      <w:pPr>
        <w:ind w:left="360"/>
        <w:rPr>
          <w:rFonts w:ascii="Arial" w:hAnsi="Arial" w:cs="Arial"/>
          <w:bCs/>
          <w:sz w:val="24"/>
          <w:szCs w:val="24"/>
          <w:lang w:val="en-GB"/>
        </w:rPr>
      </w:pPr>
    </w:p>
    <w:p w:rsidR="00086D18" w:rsidRDefault="00086D18" w:rsidP="00792FC0">
      <w:pPr>
        <w:ind w:left="142"/>
        <w:rPr>
          <w:rFonts w:ascii="Arial" w:hAnsi="Arial" w:cs="Arial"/>
          <w:bCs/>
          <w:sz w:val="24"/>
          <w:szCs w:val="24"/>
          <w:lang w:val="en-GB"/>
        </w:rPr>
      </w:pPr>
      <w:r w:rsidRPr="00A81E7B">
        <w:rPr>
          <w:rFonts w:ascii="Arial" w:hAnsi="Arial" w:cs="Arial"/>
          <w:bCs/>
          <w:sz w:val="24"/>
          <w:szCs w:val="24"/>
          <w:lang w:val="en-GB"/>
        </w:rPr>
        <w:t xml:space="preserve">In </w:t>
      </w:r>
      <w:r w:rsidRPr="00A81E7B">
        <w:rPr>
          <w:rFonts w:ascii="Arial" w:hAnsi="Arial" w:cs="Arial"/>
          <w:bCs/>
          <w:sz w:val="24"/>
          <w:szCs w:val="24"/>
          <w:u w:val="single"/>
          <w:lang w:val="en-GB"/>
        </w:rPr>
        <w:t xml:space="preserve">Dominic v </w:t>
      </w:r>
      <w:proofErr w:type="spellStart"/>
      <w:r w:rsidRPr="00A81E7B">
        <w:rPr>
          <w:rFonts w:ascii="Arial" w:hAnsi="Arial" w:cs="Arial"/>
          <w:bCs/>
          <w:sz w:val="24"/>
          <w:szCs w:val="24"/>
          <w:u w:val="single"/>
          <w:lang w:val="en-GB"/>
        </w:rPr>
        <w:t>Riz</w:t>
      </w:r>
      <w:proofErr w:type="spellEnd"/>
      <w:r w:rsidRPr="00A81E7B">
        <w:rPr>
          <w:rFonts w:ascii="Arial" w:hAnsi="Arial" w:cs="Arial"/>
          <w:bCs/>
          <w:sz w:val="24"/>
          <w:szCs w:val="24"/>
          <w:lang w:val="en-GB"/>
        </w:rPr>
        <w:t xml:space="preserve"> </w:t>
      </w:r>
      <w:r>
        <w:rPr>
          <w:rStyle w:val="FootnoteReference"/>
          <w:rFonts w:ascii="Arial" w:hAnsi="Arial" w:cs="Arial"/>
          <w:bCs/>
          <w:sz w:val="24"/>
          <w:szCs w:val="24"/>
          <w:lang w:val="en-GB"/>
        </w:rPr>
        <w:footnoteReference w:id="24"/>
      </w:r>
      <w:r>
        <w:rPr>
          <w:rFonts w:ascii="Arial" w:hAnsi="Arial" w:cs="Arial"/>
          <w:bCs/>
          <w:sz w:val="24"/>
          <w:szCs w:val="24"/>
          <w:lang w:val="en-GB"/>
        </w:rPr>
        <w:t xml:space="preserve">  a practitioner was not found to be negligent in advising about an improvident investment where he</w:t>
      </w:r>
      <w:r w:rsidRPr="00A81E7B">
        <w:rPr>
          <w:rFonts w:ascii="Arial" w:hAnsi="Arial" w:cs="Arial"/>
          <w:bCs/>
          <w:sz w:val="24"/>
          <w:szCs w:val="24"/>
          <w:lang w:val="en-GB"/>
        </w:rPr>
        <w:t xml:space="preserve"> had clearly referred</w:t>
      </w:r>
      <w:r>
        <w:rPr>
          <w:rFonts w:ascii="Arial" w:hAnsi="Arial" w:cs="Arial"/>
          <w:bCs/>
          <w:sz w:val="24"/>
          <w:szCs w:val="24"/>
          <w:lang w:val="en-GB"/>
        </w:rPr>
        <w:t xml:space="preserve"> </w:t>
      </w:r>
      <w:r w:rsidRPr="00A81E7B">
        <w:rPr>
          <w:rFonts w:ascii="Arial" w:hAnsi="Arial" w:cs="Arial"/>
          <w:bCs/>
          <w:sz w:val="24"/>
          <w:szCs w:val="24"/>
          <w:lang w:val="en-GB"/>
        </w:rPr>
        <w:t>the client for financial advice.</w:t>
      </w:r>
      <w:r w:rsidR="00792FC0">
        <w:rPr>
          <w:rFonts w:ascii="Arial" w:hAnsi="Arial" w:cs="Arial"/>
          <w:bCs/>
          <w:sz w:val="24"/>
          <w:szCs w:val="24"/>
          <w:lang w:val="en-GB"/>
        </w:rPr>
        <w:t xml:space="preserve"> However, the Court observed;</w:t>
      </w:r>
    </w:p>
    <w:p w:rsidR="00792FC0" w:rsidRPr="00A81E7B" w:rsidRDefault="00792FC0" w:rsidP="00792FC0">
      <w:pPr>
        <w:ind w:left="142" w:firstLine="218"/>
        <w:rPr>
          <w:rFonts w:ascii="Arial" w:hAnsi="Arial" w:cs="Arial"/>
          <w:sz w:val="24"/>
          <w:szCs w:val="24"/>
        </w:rPr>
      </w:pPr>
    </w:p>
    <w:p w:rsidR="00086D18" w:rsidRPr="00A81E7B" w:rsidRDefault="00086D18" w:rsidP="00792FC0">
      <w:pPr>
        <w:spacing w:after="200" w:line="276" w:lineRule="auto"/>
        <w:ind w:left="360"/>
        <w:rPr>
          <w:rFonts w:ascii="Arial" w:hAnsi="Arial" w:cs="Arial"/>
          <w:sz w:val="24"/>
          <w:szCs w:val="24"/>
        </w:rPr>
      </w:pPr>
      <w:r w:rsidRPr="00A81E7B">
        <w:rPr>
          <w:rFonts w:ascii="Arial" w:hAnsi="Arial" w:cs="Arial"/>
          <w:bCs/>
          <w:sz w:val="24"/>
          <w:szCs w:val="24"/>
          <w:lang w:val="en-GB"/>
        </w:rPr>
        <w:t>“</w:t>
      </w:r>
      <w:proofErr w:type="gramStart"/>
      <w:r w:rsidRPr="00A81E7B">
        <w:rPr>
          <w:rFonts w:ascii="Arial" w:hAnsi="Arial" w:cs="Arial"/>
          <w:bCs/>
          <w:sz w:val="24"/>
          <w:szCs w:val="24"/>
          <w:lang w:val="en-GB"/>
        </w:rPr>
        <w:t>the</w:t>
      </w:r>
      <w:proofErr w:type="gramEnd"/>
      <w:r w:rsidRPr="00A81E7B">
        <w:rPr>
          <w:rFonts w:ascii="Arial" w:hAnsi="Arial" w:cs="Arial"/>
          <w:bCs/>
          <w:sz w:val="24"/>
          <w:szCs w:val="24"/>
          <w:lang w:val="en-GB"/>
        </w:rPr>
        <w:t xml:space="preserve"> circumstances in which solicitors have a responsibility to act outside the retainer are less than clear. It acknowledged that if a solicitor sees something outside the retainer that could adversely affect the client then the solicitor may be obliged to inform the client about it”</w:t>
      </w:r>
    </w:p>
    <w:p w:rsidR="00086D18" w:rsidRPr="00A81E7B" w:rsidRDefault="00086D18" w:rsidP="00792FC0">
      <w:pPr>
        <w:spacing w:after="200" w:line="276" w:lineRule="auto"/>
        <w:rPr>
          <w:rFonts w:ascii="Arial" w:hAnsi="Arial" w:cs="Arial"/>
          <w:sz w:val="24"/>
          <w:szCs w:val="24"/>
        </w:rPr>
      </w:pPr>
      <w:r w:rsidRPr="00A81E7B">
        <w:rPr>
          <w:rFonts w:ascii="Arial" w:hAnsi="Arial" w:cs="Arial"/>
          <w:bCs/>
          <w:sz w:val="24"/>
          <w:szCs w:val="24"/>
          <w:lang w:val="en-GB"/>
        </w:rPr>
        <w:t xml:space="preserve">In </w:t>
      </w:r>
      <w:proofErr w:type="spellStart"/>
      <w:r w:rsidRPr="00A81E7B">
        <w:rPr>
          <w:rFonts w:ascii="Arial" w:hAnsi="Arial" w:cs="Arial"/>
          <w:bCs/>
          <w:sz w:val="24"/>
          <w:szCs w:val="24"/>
          <w:u w:val="single"/>
          <w:lang w:val="en-GB"/>
        </w:rPr>
        <w:t>Spiteri</w:t>
      </w:r>
      <w:proofErr w:type="spellEnd"/>
      <w:r w:rsidRPr="00A81E7B">
        <w:rPr>
          <w:rFonts w:ascii="Arial" w:hAnsi="Arial" w:cs="Arial"/>
          <w:bCs/>
          <w:sz w:val="24"/>
          <w:szCs w:val="24"/>
          <w:u w:val="single"/>
          <w:lang w:val="en-GB"/>
        </w:rPr>
        <w:t xml:space="preserve"> v </w:t>
      </w:r>
      <w:proofErr w:type="spellStart"/>
      <w:r w:rsidRPr="00A81E7B">
        <w:rPr>
          <w:rFonts w:ascii="Arial" w:hAnsi="Arial" w:cs="Arial"/>
          <w:bCs/>
          <w:sz w:val="24"/>
          <w:szCs w:val="24"/>
          <w:u w:val="single"/>
          <w:lang w:val="en-GB"/>
        </w:rPr>
        <w:t>Roccisano</w:t>
      </w:r>
      <w:proofErr w:type="spellEnd"/>
      <w:r w:rsidR="00792FC0">
        <w:rPr>
          <w:rStyle w:val="FootnoteReference"/>
          <w:rFonts w:ascii="Arial" w:hAnsi="Arial" w:cs="Arial"/>
          <w:bCs/>
          <w:sz w:val="24"/>
          <w:szCs w:val="24"/>
          <w:u w:val="single"/>
          <w:lang w:val="en-GB"/>
        </w:rPr>
        <w:footnoteReference w:id="25"/>
      </w:r>
      <w:r w:rsidRPr="00A81E7B">
        <w:rPr>
          <w:rFonts w:ascii="Arial" w:hAnsi="Arial" w:cs="Arial"/>
          <w:bCs/>
          <w:sz w:val="24"/>
          <w:szCs w:val="24"/>
          <w:lang w:val="en-GB"/>
        </w:rPr>
        <w:t xml:space="preserve"> </w:t>
      </w:r>
      <w:r w:rsidR="00792FC0">
        <w:rPr>
          <w:rFonts w:ascii="Arial" w:hAnsi="Arial" w:cs="Arial"/>
          <w:bCs/>
          <w:sz w:val="24"/>
          <w:szCs w:val="24"/>
          <w:lang w:val="en-GB"/>
        </w:rPr>
        <w:t xml:space="preserve"> a legal practitioner was found to be negligent when </w:t>
      </w:r>
      <w:proofErr w:type="gramStart"/>
      <w:r w:rsidR="00792FC0">
        <w:rPr>
          <w:rFonts w:ascii="Arial" w:hAnsi="Arial" w:cs="Arial"/>
          <w:bCs/>
          <w:sz w:val="24"/>
          <w:szCs w:val="24"/>
          <w:lang w:val="en-GB"/>
        </w:rPr>
        <w:t xml:space="preserve">he </w:t>
      </w:r>
      <w:r w:rsidRPr="00A81E7B">
        <w:rPr>
          <w:rFonts w:ascii="Arial" w:hAnsi="Arial" w:cs="Arial"/>
          <w:bCs/>
          <w:sz w:val="24"/>
          <w:szCs w:val="24"/>
          <w:lang w:val="en-GB"/>
        </w:rPr>
        <w:t xml:space="preserve"> failed</w:t>
      </w:r>
      <w:proofErr w:type="gramEnd"/>
      <w:r w:rsidRPr="00A81E7B">
        <w:rPr>
          <w:rFonts w:ascii="Arial" w:hAnsi="Arial" w:cs="Arial"/>
          <w:bCs/>
          <w:sz w:val="24"/>
          <w:szCs w:val="24"/>
          <w:lang w:val="en-GB"/>
        </w:rPr>
        <w:t xml:space="preserve"> to adequately advise</w:t>
      </w:r>
      <w:r w:rsidR="00792FC0">
        <w:rPr>
          <w:rFonts w:ascii="Arial" w:hAnsi="Arial" w:cs="Arial"/>
          <w:bCs/>
          <w:sz w:val="24"/>
          <w:szCs w:val="24"/>
          <w:lang w:val="en-GB"/>
        </w:rPr>
        <w:t xml:space="preserve"> </w:t>
      </w:r>
      <w:r w:rsidRPr="00A81E7B">
        <w:rPr>
          <w:rFonts w:ascii="Arial" w:hAnsi="Arial" w:cs="Arial"/>
          <w:bCs/>
          <w:sz w:val="24"/>
          <w:szCs w:val="24"/>
          <w:lang w:val="en-GB"/>
        </w:rPr>
        <w:t>about the adequacy of a security</w:t>
      </w:r>
      <w:r w:rsidR="00792FC0">
        <w:rPr>
          <w:rFonts w:ascii="Arial" w:hAnsi="Arial" w:cs="Arial"/>
          <w:bCs/>
          <w:sz w:val="24"/>
          <w:szCs w:val="24"/>
          <w:lang w:val="en-GB"/>
        </w:rPr>
        <w:t xml:space="preserve"> </w:t>
      </w:r>
      <w:r w:rsidRPr="00A81E7B">
        <w:rPr>
          <w:rFonts w:ascii="Arial" w:hAnsi="Arial" w:cs="Arial"/>
          <w:bCs/>
          <w:sz w:val="24"/>
          <w:szCs w:val="24"/>
          <w:lang w:val="en-GB"/>
        </w:rPr>
        <w:t>in a commercial property transaction</w:t>
      </w:r>
      <w:r w:rsidR="00792FC0">
        <w:rPr>
          <w:rFonts w:ascii="Arial" w:hAnsi="Arial" w:cs="Arial"/>
          <w:bCs/>
          <w:sz w:val="24"/>
          <w:szCs w:val="24"/>
          <w:lang w:val="en-GB"/>
        </w:rPr>
        <w:t>.</w:t>
      </w:r>
      <w:r w:rsidRPr="00A81E7B">
        <w:rPr>
          <w:rFonts w:ascii="Arial" w:hAnsi="Arial" w:cs="Arial"/>
          <w:sz w:val="24"/>
          <w:szCs w:val="24"/>
          <w:lang w:val="en-GB"/>
        </w:rPr>
        <w:t xml:space="preserve"> </w:t>
      </w:r>
    </w:p>
    <w:p w:rsidR="00086D18" w:rsidRPr="00A81E7B" w:rsidRDefault="00792FC0" w:rsidP="00792FC0">
      <w:pPr>
        <w:rPr>
          <w:rFonts w:ascii="Arial" w:hAnsi="Arial" w:cs="Arial"/>
          <w:sz w:val="24"/>
          <w:szCs w:val="24"/>
        </w:rPr>
      </w:pPr>
      <w:r>
        <w:rPr>
          <w:rFonts w:ascii="Arial" w:hAnsi="Arial" w:cs="Arial"/>
          <w:bCs/>
          <w:sz w:val="24"/>
          <w:szCs w:val="24"/>
          <w:lang w:val="en-GB"/>
        </w:rPr>
        <w:t xml:space="preserve">Legal practitioners should not be tempted to </w:t>
      </w:r>
      <w:r w:rsidR="00086D18" w:rsidRPr="00A81E7B">
        <w:rPr>
          <w:rFonts w:ascii="Arial" w:hAnsi="Arial" w:cs="Arial"/>
          <w:bCs/>
          <w:sz w:val="24"/>
          <w:szCs w:val="24"/>
          <w:lang w:val="en-GB"/>
        </w:rPr>
        <w:t xml:space="preserve">characterise these cases as </w:t>
      </w:r>
    </w:p>
    <w:p w:rsidR="00792FC0" w:rsidRDefault="00086D18" w:rsidP="00792FC0">
      <w:pPr>
        <w:spacing w:after="200" w:line="276" w:lineRule="auto"/>
        <w:rPr>
          <w:rFonts w:ascii="Arial" w:hAnsi="Arial" w:cs="Arial"/>
          <w:sz w:val="24"/>
          <w:szCs w:val="24"/>
        </w:rPr>
      </w:pPr>
      <w:r w:rsidRPr="00A81E7B">
        <w:rPr>
          <w:rFonts w:ascii="Arial" w:hAnsi="Arial" w:cs="Arial"/>
          <w:bCs/>
          <w:sz w:val="24"/>
          <w:szCs w:val="24"/>
          <w:lang w:val="en-GB"/>
        </w:rPr>
        <w:t>commercial investments</w:t>
      </w:r>
      <w:r w:rsidR="00792FC0">
        <w:rPr>
          <w:rFonts w:ascii="Arial" w:hAnsi="Arial" w:cs="Arial"/>
          <w:bCs/>
          <w:sz w:val="24"/>
          <w:szCs w:val="24"/>
          <w:lang w:val="en-GB"/>
        </w:rPr>
        <w:t xml:space="preserve"> or to </w:t>
      </w:r>
      <w:r w:rsidRPr="00A81E7B">
        <w:rPr>
          <w:rFonts w:ascii="Arial" w:hAnsi="Arial" w:cs="Arial"/>
          <w:bCs/>
          <w:sz w:val="24"/>
          <w:szCs w:val="24"/>
          <w:lang w:val="en-GB"/>
        </w:rPr>
        <w:t>rely</w:t>
      </w:r>
      <w:r w:rsidR="00792FC0">
        <w:rPr>
          <w:rFonts w:ascii="Arial" w:hAnsi="Arial" w:cs="Arial"/>
          <w:bCs/>
          <w:sz w:val="24"/>
          <w:szCs w:val="24"/>
          <w:lang w:val="en-GB"/>
        </w:rPr>
        <w:t xml:space="preserve"> </w:t>
      </w:r>
      <w:r w:rsidRPr="00A81E7B">
        <w:rPr>
          <w:rFonts w:ascii="Arial" w:hAnsi="Arial" w:cs="Arial"/>
          <w:bCs/>
          <w:sz w:val="24"/>
          <w:szCs w:val="24"/>
          <w:lang w:val="en-GB"/>
        </w:rPr>
        <w:t>on distinction</w:t>
      </w:r>
      <w:r w:rsidR="00792FC0">
        <w:rPr>
          <w:rFonts w:ascii="Arial" w:hAnsi="Arial" w:cs="Arial"/>
          <w:bCs/>
          <w:sz w:val="24"/>
          <w:szCs w:val="24"/>
          <w:lang w:val="en-GB"/>
        </w:rPr>
        <w:t>s</w:t>
      </w:r>
      <w:r w:rsidRPr="00A81E7B">
        <w:rPr>
          <w:rFonts w:ascii="Arial" w:hAnsi="Arial" w:cs="Arial"/>
          <w:bCs/>
          <w:sz w:val="24"/>
          <w:szCs w:val="24"/>
          <w:lang w:val="en-GB"/>
        </w:rPr>
        <w:t xml:space="preserve"> between legal and financial</w:t>
      </w:r>
      <w:r w:rsidR="00792FC0">
        <w:rPr>
          <w:rFonts w:ascii="Arial" w:hAnsi="Arial" w:cs="Arial"/>
          <w:bCs/>
          <w:sz w:val="24"/>
          <w:szCs w:val="24"/>
          <w:lang w:val="en-GB"/>
        </w:rPr>
        <w:t xml:space="preserve"> advice.</w:t>
      </w:r>
      <w:r w:rsidR="00792FC0">
        <w:rPr>
          <w:rFonts w:ascii="Arial" w:hAnsi="Arial" w:cs="Arial"/>
          <w:sz w:val="24"/>
          <w:szCs w:val="24"/>
        </w:rPr>
        <w:t>I</w:t>
      </w:r>
      <w:r w:rsidR="00792FC0" w:rsidRPr="0099107D">
        <w:rPr>
          <w:rFonts w:ascii="Arial" w:hAnsi="Arial" w:cs="Arial"/>
          <w:sz w:val="24"/>
          <w:szCs w:val="24"/>
        </w:rPr>
        <w:t xml:space="preserve">n the case of </w:t>
      </w:r>
      <w:r w:rsidR="00792FC0">
        <w:rPr>
          <w:rFonts w:ascii="Arial" w:hAnsi="Arial" w:cs="Arial"/>
          <w:sz w:val="24"/>
          <w:szCs w:val="24"/>
        </w:rPr>
        <w:t xml:space="preserve">any </w:t>
      </w:r>
      <w:r w:rsidR="00792FC0" w:rsidRPr="0099107D">
        <w:rPr>
          <w:rFonts w:ascii="Arial" w:hAnsi="Arial" w:cs="Arial"/>
          <w:sz w:val="24"/>
          <w:szCs w:val="24"/>
        </w:rPr>
        <w:t xml:space="preserve">patently unsuitable </w:t>
      </w:r>
      <w:r w:rsidR="00792FC0">
        <w:rPr>
          <w:rFonts w:ascii="Arial" w:hAnsi="Arial" w:cs="Arial"/>
          <w:sz w:val="24"/>
          <w:szCs w:val="24"/>
        </w:rPr>
        <w:t>trans</w:t>
      </w:r>
      <w:r w:rsidR="00792FC0" w:rsidRPr="0099107D">
        <w:rPr>
          <w:rFonts w:ascii="Arial" w:hAnsi="Arial" w:cs="Arial"/>
          <w:sz w:val="24"/>
          <w:szCs w:val="24"/>
        </w:rPr>
        <w:t>action a lawyer really should advise a client about the likely risks</w:t>
      </w:r>
      <w:r w:rsidR="00792FC0">
        <w:rPr>
          <w:rFonts w:ascii="Arial" w:hAnsi="Arial" w:cs="Arial"/>
          <w:sz w:val="24"/>
          <w:szCs w:val="24"/>
        </w:rPr>
        <w:t>.</w:t>
      </w:r>
    </w:p>
    <w:p w:rsidR="00792FC0" w:rsidRDefault="00792FC0" w:rsidP="00792FC0">
      <w:pPr>
        <w:rPr>
          <w:rFonts w:ascii="Arial" w:hAnsi="Arial" w:cs="Arial"/>
          <w:sz w:val="24"/>
          <w:szCs w:val="24"/>
        </w:rPr>
      </w:pPr>
      <w:r w:rsidRPr="0099107D">
        <w:rPr>
          <w:rFonts w:ascii="Arial" w:hAnsi="Arial" w:cs="Arial"/>
          <w:sz w:val="24"/>
          <w:szCs w:val="24"/>
        </w:rPr>
        <w:t xml:space="preserve">Lawyers can </w:t>
      </w:r>
      <w:r>
        <w:rPr>
          <w:rFonts w:ascii="Arial" w:hAnsi="Arial" w:cs="Arial"/>
          <w:sz w:val="24"/>
          <w:szCs w:val="24"/>
        </w:rPr>
        <w:t xml:space="preserve">legitimately seek further instructions </w:t>
      </w:r>
      <w:r w:rsidRPr="0099107D">
        <w:rPr>
          <w:rFonts w:ascii="Arial" w:hAnsi="Arial" w:cs="Arial"/>
          <w:sz w:val="24"/>
          <w:szCs w:val="24"/>
        </w:rPr>
        <w:t xml:space="preserve">by asking </w:t>
      </w:r>
      <w:r>
        <w:rPr>
          <w:rFonts w:ascii="Arial" w:hAnsi="Arial" w:cs="Arial"/>
          <w:sz w:val="24"/>
          <w:szCs w:val="24"/>
        </w:rPr>
        <w:t xml:space="preserve">about </w:t>
      </w:r>
      <w:r w:rsidRPr="0099107D">
        <w:rPr>
          <w:rFonts w:ascii="Arial" w:hAnsi="Arial" w:cs="Arial"/>
          <w:sz w:val="24"/>
          <w:szCs w:val="24"/>
        </w:rPr>
        <w:t xml:space="preserve">the purpose of </w:t>
      </w:r>
      <w:r>
        <w:rPr>
          <w:rFonts w:ascii="Arial" w:hAnsi="Arial" w:cs="Arial"/>
          <w:sz w:val="24"/>
          <w:szCs w:val="24"/>
        </w:rPr>
        <w:t xml:space="preserve">a </w:t>
      </w:r>
      <w:r w:rsidRPr="0099107D">
        <w:rPr>
          <w:rFonts w:ascii="Arial" w:hAnsi="Arial" w:cs="Arial"/>
          <w:sz w:val="24"/>
          <w:szCs w:val="24"/>
        </w:rPr>
        <w:t>mortgage</w:t>
      </w:r>
      <w:r>
        <w:rPr>
          <w:rFonts w:ascii="Arial" w:hAnsi="Arial" w:cs="Arial"/>
          <w:sz w:val="24"/>
          <w:szCs w:val="24"/>
        </w:rPr>
        <w:t xml:space="preserve"> or guarantee. </w:t>
      </w:r>
      <w:r w:rsidRPr="0099107D">
        <w:rPr>
          <w:rFonts w:ascii="Arial" w:hAnsi="Arial" w:cs="Arial"/>
          <w:sz w:val="24"/>
          <w:szCs w:val="24"/>
        </w:rPr>
        <w:t xml:space="preserve">This </w:t>
      </w:r>
      <w:r>
        <w:rPr>
          <w:rFonts w:ascii="Arial" w:hAnsi="Arial" w:cs="Arial"/>
          <w:sz w:val="24"/>
          <w:szCs w:val="24"/>
        </w:rPr>
        <w:t xml:space="preserve">can </w:t>
      </w:r>
      <w:r w:rsidRPr="0099107D">
        <w:rPr>
          <w:rFonts w:ascii="Arial" w:hAnsi="Arial" w:cs="Arial"/>
          <w:sz w:val="24"/>
          <w:szCs w:val="24"/>
        </w:rPr>
        <w:t xml:space="preserve">be done routinely as the lawyer needs sufficient information to satisfy </w:t>
      </w:r>
      <w:proofErr w:type="gramStart"/>
      <w:r w:rsidRPr="0099107D">
        <w:rPr>
          <w:rFonts w:ascii="Arial" w:hAnsi="Arial" w:cs="Arial"/>
          <w:sz w:val="24"/>
          <w:szCs w:val="24"/>
        </w:rPr>
        <w:t>himself</w:t>
      </w:r>
      <w:proofErr w:type="gramEnd"/>
      <w:r w:rsidRPr="0099107D">
        <w:rPr>
          <w:rFonts w:ascii="Arial" w:hAnsi="Arial" w:cs="Arial"/>
          <w:sz w:val="24"/>
          <w:szCs w:val="24"/>
        </w:rPr>
        <w:t xml:space="preserve"> that the client has capacity to make the financial decision in hand</w:t>
      </w:r>
      <w:r>
        <w:rPr>
          <w:rFonts w:ascii="Arial" w:hAnsi="Arial" w:cs="Arial"/>
          <w:sz w:val="24"/>
          <w:szCs w:val="24"/>
        </w:rPr>
        <w:t>. As p</w:t>
      </w:r>
      <w:r w:rsidRPr="0099107D">
        <w:rPr>
          <w:rFonts w:ascii="Arial" w:hAnsi="Arial" w:cs="Arial"/>
          <w:sz w:val="24"/>
          <w:szCs w:val="24"/>
        </w:rPr>
        <w:t xml:space="preserve">art of the capacity assessment process is to ascertain what are the financial risks </w:t>
      </w:r>
      <w:r>
        <w:rPr>
          <w:rFonts w:ascii="Arial" w:hAnsi="Arial" w:cs="Arial"/>
          <w:sz w:val="24"/>
          <w:szCs w:val="24"/>
        </w:rPr>
        <w:t xml:space="preserve">of the transaction </w:t>
      </w:r>
      <w:r w:rsidRPr="0099107D">
        <w:rPr>
          <w:rFonts w:ascii="Arial" w:hAnsi="Arial" w:cs="Arial"/>
          <w:sz w:val="24"/>
          <w:szCs w:val="24"/>
        </w:rPr>
        <w:t xml:space="preserve">in order to ascertain whether the older </w:t>
      </w:r>
      <w:proofErr w:type="gramStart"/>
      <w:r>
        <w:rPr>
          <w:rFonts w:ascii="Arial" w:hAnsi="Arial" w:cs="Arial"/>
          <w:sz w:val="24"/>
          <w:szCs w:val="24"/>
        </w:rPr>
        <w:t xml:space="preserve">client </w:t>
      </w:r>
      <w:r w:rsidRPr="0099107D">
        <w:rPr>
          <w:rFonts w:ascii="Arial" w:hAnsi="Arial" w:cs="Arial"/>
          <w:sz w:val="24"/>
          <w:szCs w:val="24"/>
        </w:rPr>
        <w:t xml:space="preserve"> understands</w:t>
      </w:r>
      <w:proofErr w:type="gramEnd"/>
      <w:r w:rsidRPr="0099107D">
        <w:rPr>
          <w:rFonts w:ascii="Arial" w:hAnsi="Arial" w:cs="Arial"/>
          <w:sz w:val="24"/>
          <w:szCs w:val="24"/>
        </w:rPr>
        <w:t xml:space="preserve"> and can weigh up the risks. </w:t>
      </w:r>
    </w:p>
    <w:p w:rsidR="00792FC0" w:rsidRDefault="00792FC0" w:rsidP="00792FC0">
      <w:pPr>
        <w:rPr>
          <w:rFonts w:ascii="Arial" w:hAnsi="Arial" w:cs="Arial"/>
          <w:sz w:val="24"/>
          <w:szCs w:val="24"/>
        </w:rPr>
      </w:pPr>
    </w:p>
    <w:p w:rsidR="00EA035A" w:rsidRDefault="007831D0" w:rsidP="00EA035A">
      <w:pPr>
        <w:rPr>
          <w:rFonts w:ascii="Arial" w:hAnsi="Arial" w:cs="Arial"/>
          <w:sz w:val="24"/>
          <w:szCs w:val="24"/>
        </w:rPr>
      </w:pPr>
      <w:r>
        <w:rPr>
          <w:rFonts w:ascii="Arial" w:hAnsi="Arial" w:cs="Arial"/>
          <w:sz w:val="24"/>
          <w:szCs w:val="24"/>
        </w:rPr>
        <w:t>Legal Practitioners should be educated to recognise that a</w:t>
      </w:r>
      <w:r w:rsidR="003D6B32">
        <w:rPr>
          <w:rFonts w:ascii="Arial" w:hAnsi="Arial" w:cs="Arial"/>
          <w:sz w:val="24"/>
          <w:szCs w:val="24"/>
        </w:rPr>
        <w:t xml:space="preserve">ny family agreement that </w:t>
      </w:r>
      <w:r w:rsidR="0099107D" w:rsidRPr="0099107D">
        <w:rPr>
          <w:rFonts w:ascii="Arial" w:hAnsi="Arial" w:cs="Arial"/>
          <w:sz w:val="24"/>
          <w:szCs w:val="24"/>
        </w:rPr>
        <w:t>did not include</w:t>
      </w:r>
      <w:r w:rsidR="00EA035A">
        <w:rPr>
          <w:rFonts w:ascii="Arial" w:hAnsi="Arial" w:cs="Arial"/>
          <w:sz w:val="24"/>
          <w:szCs w:val="24"/>
        </w:rPr>
        <w:t xml:space="preserve"> at the minimum the following matters would be too risky to recommend to clients and to do so would be professionally negligent.</w:t>
      </w:r>
    </w:p>
    <w:p w:rsidR="003D6B32" w:rsidRDefault="003D6B32" w:rsidP="0099107D">
      <w:pPr>
        <w:rPr>
          <w:rFonts w:ascii="Arial" w:hAnsi="Arial" w:cs="Arial"/>
          <w:sz w:val="24"/>
          <w:szCs w:val="24"/>
        </w:rPr>
      </w:pPr>
    </w:p>
    <w:p w:rsidR="007831D0" w:rsidRPr="007831D0" w:rsidRDefault="003D6B32" w:rsidP="007831D0">
      <w:pPr>
        <w:pStyle w:val="ListParagraph"/>
        <w:numPr>
          <w:ilvl w:val="0"/>
          <w:numId w:val="5"/>
        </w:numPr>
        <w:rPr>
          <w:rFonts w:ascii="Arial" w:hAnsi="Arial" w:cs="Arial"/>
          <w:sz w:val="24"/>
          <w:szCs w:val="24"/>
        </w:rPr>
      </w:pPr>
      <w:r w:rsidRPr="007831D0">
        <w:rPr>
          <w:rFonts w:ascii="Arial" w:hAnsi="Arial" w:cs="Arial"/>
          <w:sz w:val="24"/>
          <w:szCs w:val="24"/>
        </w:rPr>
        <w:t xml:space="preserve">A term regarding the exchange of care for payment </w:t>
      </w:r>
    </w:p>
    <w:p w:rsidR="003D6B32" w:rsidRPr="007831D0" w:rsidRDefault="007831D0" w:rsidP="007831D0">
      <w:pPr>
        <w:pStyle w:val="ListParagraph"/>
        <w:numPr>
          <w:ilvl w:val="0"/>
          <w:numId w:val="5"/>
        </w:numPr>
        <w:rPr>
          <w:rFonts w:ascii="Arial" w:hAnsi="Arial" w:cs="Arial"/>
          <w:sz w:val="24"/>
          <w:szCs w:val="24"/>
        </w:rPr>
      </w:pPr>
      <w:r w:rsidRPr="007831D0">
        <w:rPr>
          <w:rFonts w:ascii="Arial" w:hAnsi="Arial" w:cs="Arial"/>
          <w:sz w:val="24"/>
          <w:szCs w:val="24"/>
        </w:rPr>
        <w:t xml:space="preserve">A description of the value </w:t>
      </w:r>
      <w:r w:rsidR="003D6B32" w:rsidRPr="007831D0">
        <w:rPr>
          <w:rFonts w:ascii="Arial" w:hAnsi="Arial" w:cs="Arial"/>
          <w:sz w:val="24"/>
          <w:szCs w:val="24"/>
        </w:rPr>
        <w:t>ascribed to the care</w:t>
      </w:r>
    </w:p>
    <w:p w:rsidR="003D6B32" w:rsidRPr="007831D0" w:rsidRDefault="003D6B32" w:rsidP="007831D0">
      <w:pPr>
        <w:pStyle w:val="ListParagraph"/>
        <w:numPr>
          <w:ilvl w:val="0"/>
          <w:numId w:val="5"/>
        </w:numPr>
        <w:rPr>
          <w:rFonts w:ascii="Arial" w:hAnsi="Arial" w:cs="Arial"/>
          <w:sz w:val="24"/>
          <w:szCs w:val="24"/>
        </w:rPr>
      </w:pPr>
      <w:r w:rsidRPr="007831D0">
        <w:rPr>
          <w:rFonts w:ascii="Arial" w:hAnsi="Arial" w:cs="Arial"/>
          <w:sz w:val="24"/>
          <w:szCs w:val="24"/>
        </w:rPr>
        <w:t>A description of the amount and nature of care to be provided</w:t>
      </w:r>
      <w:r w:rsidR="007831D0" w:rsidRPr="007831D0">
        <w:rPr>
          <w:rFonts w:ascii="Arial" w:hAnsi="Arial" w:cs="Arial"/>
          <w:sz w:val="24"/>
          <w:szCs w:val="24"/>
        </w:rPr>
        <w:t xml:space="preserve"> and the manner in which it is provided</w:t>
      </w:r>
      <w:r w:rsidRPr="007831D0">
        <w:rPr>
          <w:rFonts w:ascii="Arial" w:hAnsi="Arial" w:cs="Arial"/>
          <w:sz w:val="24"/>
          <w:szCs w:val="24"/>
        </w:rPr>
        <w:t xml:space="preserve"> </w:t>
      </w:r>
    </w:p>
    <w:p w:rsidR="003D6B32" w:rsidRPr="007831D0" w:rsidRDefault="003D6B32" w:rsidP="007831D0">
      <w:pPr>
        <w:pStyle w:val="ListParagraph"/>
        <w:numPr>
          <w:ilvl w:val="0"/>
          <w:numId w:val="5"/>
        </w:numPr>
        <w:rPr>
          <w:rFonts w:ascii="Arial" w:hAnsi="Arial" w:cs="Arial"/>
          <w:sz w:val="24"/>
          <w:szCs w:val="24"/>
        </w:rPr>
      </w:pPr>
      <w:r w:rsidRPr="007831D0">
        <w:rPr>
          <w:rFonts w:ascii="Arial" w:hAnsi="Arial" w:cs="Arial"/>
          <w:sz w:val="24"/>
          <w:szCs w:val="24"/>
        </w:rPr>
        <w:t>Provision for how funds</w:t>
      </w:r>
      <w:r w:rsidR="007831D0" w:rsidRPr="007831D0">
        <w:rPr>
          <w:rFonts w:ascii="Arial" w:hAnsi="Arial" w:cs="Arial"/>
          <w:sz w:val="24"/>
          <w:szCs w:val="24"/>
        </w:rPr>
        <w:t>/assets</w:t>
      </w:r>
      <w:r w:rsidRPr="007831D0">
        <w:rPr>
          <w:rFonts w:ascii="Arial" w:hAnsi="Arial" w:cs="Arial"/>
          <w:sz w:val="24"/>
          <w:szCs w:val="24"/>
        </w:rPr>
        <w:t xml:space="preserve"> will be dealt with in the event of a failure of the contract </w:t>
      </w:r>
    </w:p>
    <w:p w:rsidR="003D6B32" w:rsidRDefault="003D6B32" w:rsidP="007831D0">
      <w:pPr>
        <w:pStyle w:val="ListParagraph"/>
        <w:numPr>
          <w:ilvl w:val="0"/>
          <w:numId w:val="5"/>
        </w:numPr>
        <w:rPr>
          <w:rFonts w:ascii="Arial" w:hAnsi="Arial" w:cs="Arial"/>
          <w:sz w:val="24"/>
          <w:szCs w:val="24"/>
        </w:rPr>
      </w:pPr>
      <w:r w:rsidRPr="007831D0">
        <w:rPr>
          <w:rFonts w:ascii="Arial" w:hAnsi="Arial" w:cs="Arial"/>
          <w:sz w:val="24"/>
          <w:szCs w:val="24"/>
        </w:rPr>
        <w:t>Provision for how funds</w:t>
      </w:r>
      <w:r w:rsidR="007831D0" w:rsidRPr="007831D0">
        <w:rPr>
          <w:rFonts w:ascii="Arial" w:hAnsi="Arial" w:cs="Arial"/>
          <w:sz w:val="24"/>
          <w:szCs w:val="24"/>
        </w:rPr>
        <w:t xml:space="preserve">/assets </w:t>
      </w:r>
      <w:r w:rsidRPr="007831D0">
        <w:rPr>
          <w:rFonts w:ascii="Arial" w:hAnsi="Arial" w:cs="Arial"/>
          <w:sz w:val="24"/>
          <w:szCs w:val="24"/>
        </w:rPr>
        <w:t xml:space="preserve"> will be dealt with in the event of a breach of the contract </w:t>
      </w:r>
    </w:p>
    <w:p w:rsidR="003D6B32" w:rsidRDefault="00D210AB" w:rsidP="0099107D">
      <w:pPr>
        <w:pStyle w:val="ListParagraph"/>
        <w:numPr>
          <w:ilvl w:val="0"/>
          <w:numId w:val="5"/>
        </w:numPr>
        <w:rPr>
          <w:rFonts w:ascii="Arial" w:hAnsi="Arial" w:cs="Arial"/>
          <w:sz w:val="24"/>
          <w:szCs w:val="24"/>
        </w:rPr>
      </w:pPr>
      <w:r w:rsidRPr="00D210AB">
        <w:rPr>
          <w:rFonts w:ascii="Arial" w:hAnsi="Arial" w:cs="Arial"/>
          <w:sz w:val="24"/>
          <w:szCs w:val="24"/>
        </w:rPr>
        <w:t>Charging clause</w:t>
      </w:r>
      <w:r>
        <w:rPr>
          <w:rFonts w:ascii="Arial" w:hAnsi="Arial" w:cs="Arial"/>
          <w:sz w:val="24"/>
          <w:szCs w:val="24"/>
        </w:rPr>
        <w:t xml:space="preserve"> to impose a charge on the transferred property showing the property interest of the older person</w:t>
      </w:r>
    </w:p>
    <w:p w:rsidR="007831D0" w:rsidRPr="0099107D" w:rsidRDefault="007831D0" w:rsidP="0099107D">
      <w:pPr>
        <w:rPr>
          <w:rFonts w:ascii="Arial" w:hAnsi="Arial" w:cs="Arial"/>
          <w:sz w:val="24"/>
          <w:szCs w:val="24"/>
        </w:rPr>
      </w:pPr>
    </w:p>
    <w:p w:rsidR="00054CFE" w:rsidRDefault="00054CFE" w:rsidP="0099107D">
      <w:pPr>
        <w:rPr>
          <w:rFonts w:ascii="Arial" w:hAnsi="Arial" w:cs="Arial"/>
          <w:sz w:val="24"/>
          <w:szCs w:val="24"/>
        </w:rPr>
      </w:pPr>
      <w:r>
        <w:rPr>
          <w:rFonts w:ascii="Arial" w:hAnsi="Arial" w:cs="Arial"/>
          <w:sz w:val="24"/>
          <w:szCs w:val="24"/>
        </w:rPr>
        <w:t>Legislative recognition of new type of property interest</w:t>
      </w:r>
    </w:p>
    <w:p w:rsidR="00054CFE" w:rsidRDefault="00054CFE" w:rsidP="0099107D">
      <w:pPr>
        <w:rPr>
          <w:rFonts w:ascii="Arial" w:hAnsi="Arial" w:cs="Arial"/>
          <w:sz w:val="24"/>
          <w:szCs w:val="24"/>
        </w:rPr>
      </w:pPr>
    </w:p>
    <w:p w:rsidR="00054CFE" w:rsidRDefault="00D210AB" w:rsidP="0099107D">
      <w:pPr>
        <w:rPr>
          <w:rFonts w:ascii="Arial" w:hAnsi="Arial" w:cs="Arial"/>
          <w:sz w:val="24"/>
          <w:szCs w:val="24"/>
        </w:rPr>
      </w:pPr>
      <w:r>
        <w:rPr>
          <w:rFonts w:ascii="Arial" w:hAnsi="Arial" w:cs="Arial"/>
          <w:sz w:val="24"/>
          <w:szCs w:val="24"/>
        </w:rPr>
        <w:t xml:space="preserve">The writer </w:t>
      </w:r>
      <w:r w:rsidR="00A51D6E">
        <w:rPr>
          <w:rFonts w:ascii="Arial" w:hAnsi="Arial" w:cs="Arial"/>
          <w:sz w:val="24"/>
          <w:szCs w:val="24"/>
        </w:rPr>
        <w:t xml:space="preserve">would </w:t>
      </w:r>
      <w:r w:rsidR="0099107D" w:rsidRPr="0099107D">
        <w:rPr>
          <w:rFonts w:ascii="Arial" w:hAnsi="Arial" w:cs="Arial"/>
          <w:sz w:val="24"/>
          <w:szCs w:val="24"/>
        </w:rPr>
        <w:t xml:space="preserve">also support the registration of a new type of </w:t>
      </w:r>
      <w:r>
        <w:rPr>
          <w:rFonts w:ascii="Arial" w:hAnsi="Arial" w:cs="Arial"/>
          <w:sz w:val="24"/>
          <w:szCs w:val="24"/>
        </w:rPr>
        <w:t xml:space="preserve">real property </w:t>
      </w:r>
      <w:proofErr w:type="gramStart"/>
      <w:r>
        <w:rPr>
          <w:rFonts w:ascii="Arial" w:hAnsi="Arial" w:cs="Arial"/>
          <w:sz w:val="24"/>
          <w:szCs w:val="24"/>
        </w:rPr>
        <w:t xml:space="preserve">interest </w:t>
      </w:r>
      <w:r w:rsidR="0099107D" w:rsidRPr="0099107D">
        <w:rPr>
          <w:rFonts w:ascii="Arial" w:hAnsi="Arial" w:cs="Arial"/>
          <w:sz w:val="24"/>
          <w:szCs w:val="24"/>
        </w:rPr>
        <w:t xml:space="preserve"> to</w:t>
      </w:r>
      <w:proofErr w:type="gramEnd"/>
      <w:r w:rsidR="0099107D" w:rsidRPr="0099107D">
        <w:rPr>
          <w:rFonts w:ascii="Arial" w:hAnsi="Arial" w:cs="Arial"/>
          <w:sz w:val="24"/>
          <w:szCs w:val="24"/>
        </w:rPr>
        <w:t xml:space="preserve"> acknowledge the older persons</w:t>
      </w:r>
      <w:r w:rsidR="00A51D6E">
        <w:rPr>
          <w:rFonts w:ascii="Arial" w:hAnsi="Arial" w:cs="Arial"/>
          <w:sz w:val="24"/>
          <w:szCs w:val="24"/>
        </w:rPr>
        <w:t>’</w:t>
      </w:r>
      <w:r w:rsidR="0099107D" w:rsidRPr="0099107D">
        <w:rPr>
          <w:rFonts w:ascii="Arial" w:hAnsi="Arial" w:cs="Arial"/>
          <w:sz w:val="24"/>
          <w:szCs w:val="24"/>
        </w:rPr>
        <w:t xml:space="preserve"> </w:t>
      </w:r>
      <w:r>
        <w:rPr>
          <w:rFonts w:ascii="Arial" w:hAnsi="Arial" w:cs="Arial"/>
          <w:sz w:val="24"/>
          <w:szCs w:val="24"/>
        </w:rPr>
        <w:t xml:space="preserve">property </w:t>
      </w:r>
      <w:r w:rsidR="0099107D" w:rsidRPr="0099107D">
        <w:rPr>
          <w:rFonts w:ascii="Arial" w:hAnsi="Arial" w:cs="Arial"/>
          <w:sz w:val="24"/>
          <w:szCs w:val="24"/>
        </w:rPr>
        <w:t>rights</w:t>
      </w:r>
      <w:r w:rsidR="00A51D6E">
        <w:rPr>
          <w:rFonts w:ascii="Arial" w:hAnsi="Arial" w:cs="Arial"/>
          <w:sz w:val="24"/>
          <w:szCs w:val="24"/>
        </w:rPr>
        <w:t xml:space="preserve"> under a family agreement</w:t>
      </w:r>
      <w:r w:rsidR="0099107D" w:rsidRPr="0099107D">
        <w:rPr>
          <w:rFonts w:ascii="Arial" w:hAnsi="Arial" w:cs="Arial"/>
          <w:sz w:val="24"/>
          <w:szCs w:val="24"/>
        </w:rPr>
        <w:t xml:space="preserve">. </w:t>
      </w:r>
    </w:p>
    <w:p w:rsidR="00054CFE" w:rsidRDefault="00054CFE" w:rsidP="0099107D">
      <w:pPr>
        <w:rPr>
          <w:rFonts w:ascii="Arial" w:hAnsi="Arial" w:cs="Arial"/>
          <w:sz w:val="24"/>
          <w:szCs w:val="24"/>
        </w:rPr>
      </w:pPr>
    </w:p>
    <w:p w:rsidR="00D210AB" w:rsidRDefault="0099107D" w:rsidP="0099107D">
      <w:pPr>
        <w:rPr>
          <w:rFonts w:ascii="Arial" w:hAnsi="Arial" w:cs="Arial"/>
          <w:sz w:val="24"/>
          <w:szCs w:val="24"/>
        </w:rPr>
      </w:pPr>
      <w:r w:rsidRPr="0099107D">
        <w:rPr>
          <w:rFonts w:ascii="Arial" w:hAnsi="Arial" w:cs="Arial"/>
          <w:sz w:val="24"/>
          <w:szCs w:val="24"/>
        </w:rPr>
        <w:t xml:space="preserve">Currently </w:t>
      </w:r>
      <w:r w:rsidR="002827FD">
        <w:rPr>
          <w:rFonts w:ascii="Arial" w:hAnsi="Arial" w:cs="Arial"/>
          <w:sz w:val="24"/>
          <w:szCs w:val="24"/>
        </w:rPr>
        <w:t xml:space="preserve">in Victoria it is </w:t>
      </w:r>
      <w:r w:rsidR="00054CFE">
        <w:rPr>
          <w:rFonts w:ascii="Arial" w:hAnsi="Arial" w:cs="Arial"/>
          <w:sz w:val="24"/>
          <w:szCs w:val="24"/>
        </w:rPr>
        <w:t xml:space="preserve">possible to register a charge on </w:t>
      </w:r>
      <w:r w:rsidR="002827FD">
        <w:rPr>
          <w:rFonts w:ascii="Arial" w:hAnsi="Arial" w:cs="Arial"/>
          <w:sz w:val="24"/>
          <w:szCs w:val="24"/>
        </w:rPr>
        <w:t>title</w:t>
      </w:r>
      <w:r w:rsidR="00054CFE">
        <w:rPr>
          <w:rFonts w:ascii="Arial" w:hAnsi="Arial" w:cs="Arial"/>
          <w:sz w:val="24"/>
          <w:szCs w:val="24"/>
        </w:rPr>
        <w:t xml:space="preserve"> but </w:t>
      </w:r>
      <w:r w:rsidRPr="0099107D">
        <w:rPr>
          <w:rFonts w:ascii="Arial" w:hAnsi="Arial" w:cs="Arial"/>
          <w:sz w:val="24"/>
          <w:szCs w:val="24"/>
        </w:rPr>
        <w:t>not possible to</w:t>
      </w:r>
      <w:r w:rsidR="00A51D6E">
        <w:rPr>
          <w:rFonts w:ascii="Arial" w:hAnsi="Arial" w:cs="Arial"/>
          <w:sz w:val="24"/>
          <w:szCs w:val="24"/>
        </w:rPr>
        <w:t xml:space="preserve"> register an equitable interest.</w:t>
      </w:r>
      <w:r w:rsidR="002827FD">
        <w:rPr>
          <w:rStyle w:val="FootnoteReference"/>
          <w:rFonts w:ascii="Arial" w:hAnsi="Arial" w:cs="Arial"/>
          <w:sz w:val="24"/>
          <w:szCs w:val="24"/>
        </w:rPr>
        <w:footnoteReference w:id="26"/>
      </w:r>
      <w:r w:rsidR="00A51D6E">
        <w:rPr>
          <w:rFonts w:ascii="Arial" w:hAnsi="Arial" w:cs="Arial"/>
          <w:sz w:val="24"/>
          <w:szCs w:val="24"/>
        </w:rPr>
        <w:t xml:space="preserve"> </w:t>
      </w:r>
      <w:r w:rsidR="002827FD">
        <w:rPr>
          <w:rFonts w:ascii="Arial" w:hAnsi="Arial" w:cs="Arial"/>
          <w:sz w:val="24"/>
          <w:szCs w:val="24"/>
        </w:rPr>
        <w:t xml:space="preserve"> </w:t>
      </w:r>
      <w:r w:rsidR="00A51D6E">
        <w:rPr>
          <w:rFonts w:ascii="Arial" w:hAnsi="Arial" w:cs="Arial"/>
          <w:sz w:val="24"/>
          <w:szCs w:val="24"/>
        </w:rPr>
        <w:t xml:space="preserve">A </w:t>
      </w:r>
      <w:r w:rsidRPr="0099107D">
        <w:rPr>
          <w:rFonts w:ascii="Arial" w:hAnsi="Arial" w:cs="Arial"/>
          <w:sz w:val="24"/>
          <w:szCs w:val="24"/>
        </w:rPr>
        <w:t xml:space="preserve">caveat is </w:t>
      </w:r>
      <w:r w:rsidR="00A51D6E">
        <w:rPr>
          <w:rFonts w:ascii="Arial" w:hAnsi="Arial" w:cs="Arial"/>
          <w:sz w:val="24"/>
          <w:szCs w:val="24"/>
        </w:rPr>
        <w:t xml:space="preserve">generally </w:t>
      </w:r>
      <w:r w:rsidRPr="0099107D">
        <w:rPr>
          <w:rFonts w:ascii="Arial" w:hAnsi="Arial" w:cs="Arial"/>
          <w:sz w:val="24"/>
          <w:szCs w:val="24"/>
        </w:rPr>
        <w:t>not considered sufficient as it is a form of notice rather than a form of property interest.</w:t>
      </w:r>
    </w:p>
    <w:p w:rsidR="00D210AB" w:rsidRDefault="00D210AB" w:rsidP="0099107D">
      <w:pPr>
        <w:rPr>
          <w:rFonts w:ascii="Arial" w:hAnsi="Arial" w:cs="Arial"/>
          <w:sz w:val="24"/>
          <w:szCs w:val="24"/>
        </w:rPr>
      </w:pPr>
    </w:p>
    <w:p w:rsidR="0099107D" w:rsidRPr="0099107D" w:rsidRDefault="00D210AB" w:rsidP="0099107D">
      <w:pPr>
        <w:rPr>
          <w:rFonts w:ascii="Arial" w:hAnsi="Arial" w:cs="Arial"/>
          <w:sz w:val="24"/>
          <w:szCs w:val="24"/>
        </w:rPr>
      </w:pPr>
      <w:r>
        <w:rPr>
          <w:rFonts w:ascii="Arial" w:hAnsi="Arial" w:cs="Arial"/>
          <w:sz w:val="24"/>
          <w:szCs w:val="24"/>
        </w:rPr>
        <w:lastRenderedPageBreak/>
        <w:t>However i</w:t>
      </w:r>
      <w:r w:rsidR="0099107D" w:rsidRPr="0099107D">
        <w:rPr>
          <w:rFonts w:ascii="Arial" w:hAnsi="Arial" w:cs="Arial"/>
          <w:sz w:val="24"/>
          <w:szCs w:val="24"/>
        </w:rPr>
        <w:t xml:space="preserve">t is possible however under the </w:t>
      </w:r>
      <w:r w:rsidR="0099107D" w:rsidRPr="0099107D">
        <w:rPr>
          <w:rFonts w:ascii="Arial" w:hAnsi="Arial" w:cs="Arial"/>
          <w:i/>
          <w:iCs/>
          <w:sz w:val="24"/>
          <w:szCs w:val="24"/>
        </w:rPr>
        <w:t xml:space="preserve">Transfer of </w:t>
      </w:r>
      <w:proofErr w:type="gramStart"/>
      <w:r w:rsidR="0099107D" w:rsidRPr="0099107D">
        <w:rPr>
          <w:rFonts w:ascii="Arial" w:hAnsi="Arial" w:cs="Arial"/>
          <w:i/>
          <w:iCs/>
          <w:sz w:val="24"/>
          <w:szCs w:val="24"/>
        </w:rPr>
        <w:t xml:space="preserve">Land </w:t>
      </w:r>
      <w:r w:rsidR="0099107D" w:rsidRPr="0099107D">
        <w:rPr>
          <w:rFonts w:ascii="Arial" w:hAnsi="Arial" w:cs="Arial"/>
          <w:sz w:val="24"/>
          <w:szCs w:val="24"/>
        </w:rPr>
        <w:t> Act</w:t>
      </w:r>
      <w:proofErr w:type="gramEnd"/>
      <w:r w:rsidR="0099107D" w:rsidRPr="0099107D">
        <w:rPr>
          <w:rFonts w:ascii="Arial" w:hAnsi="Arial" w:cs="Arial"/>
          <w:sz w:val="24"/>
          <w:szCs w:val="24"/>
        </w:rPr>
        <w:t xml:space="preserve"> for the </w:t>
      </w:r>
      <w:r w:rsidR="00A51D6E">
        <w:rPr>
          <w:rFonts w:ascii="Arial" w:hAnsi="Arial" w:cs="Arial"/>
          <w:sz w:val="24"/>
          <w:szCs w:val="24"/>
        </w:rPr>
        <w:t>R</w:t>
      </w:r>
      <w:r w:rsidR="0099107D" w:rsidRPr="0099107D">
        <w:rPr>
          <w:rFonts w:ascii="Arial" w:hAnsi="Arial" w:cs="Arial"/>
          <w:sz w:val="24"/>
          <w:szCs w:val="24"/>
        </w:rPr>
        <w:t xml:space="preserve">egistrar of titles to </w:t>
      </w:r>
      <w:r w:rsidR="00A51D6E">
        <w:rPr>
          <w:rFonts w:ascii="Arial" w:hAnsi="Arial" w:cs="Arial"/>
          <w:sz w:val="24"/>
          <w:szCs w:val="24"/>
        </w:rPr>
        <w:t xml:space="preserve">register </w:t>
      </w:r>
      <w:r w:rsidR="0099107D" w:rsidRPr="0099107D">
        <w:rPr>
          <w:rFonts w:ascii="Arial" w:hAnsi="Arial" w:cs="Arial"/>
          <w:sz w:val="24"/>
          <w:szCs w:val="24"/>
        </w:rPr>
        <w:t xml:space="preserve">a ‘Queen’s Caveat’ on real estate owned by people who are protected persons and subject to </w:t>
      </w:r>
      <w:r w:rsidR="00A51D6E">
        <w:rPr>
          <w:rFonts w:ascii="Arial" w:hAnsi="Arial" w:cs="Arial"/>
          <w:sz w:val="24"/>
          <w:szCs w:val="24"/>
        </w:rPr>
        <w:t>A</w:t>
      </w:r>
      <w:r w:rsidR="0099107D" w:rsidRPr="0099107D">
        <w:rPr>
          <w:rFonts w:ascii="Arial" w:hAnsi="Arial" w:cs="Arial"/>
          <w:sz w:val="24"/>
          <w:szCs w:val="24"/>
        </w:rPr>
        <w:t xml:space="preserve">dministration orders. This costs nothing and alerts third parties who may be dealing with the person. </w:t>
      </w:r>
    </w:p>
    <w:p w:rsidR="0099107D" w:rsidRPr="0099107D" w:rsidRDefault="0099107D" w:rsidP="0099107D">
      <w:pPr>
        <w:rPr>
          <w:rFonts w:ascii="Arial" w:hAnsi="Arial" w:cs="Arial"/>
          <w:sz w:val="24"/>
          <w:szCs w:val="24"/>
        </w:rPr>
      </w:pPr>
    </w:p>
    <w:p w:rsidR="0099107D" w:rsidRPr="0099107D" w:rsidRDefault="00A51D6E" w:rsidP="0099107D">
      <w:pPr>
        <w:rPr>
          <w:rFonts w:ascii="Arial" w:hAnsi="Arial" w:cs="Arial"/>
          <w:sz w:val="24"/>
          <w:szCs w:val="24"/>
        </w:rPr>
      </w:pPr>
      <w:r>
        <w:rPr>
          <w:rFonts w:ascii="Arial" w:hAnsi="Arial" w:cs="Arial"/>
          <w:sz w:val="24"/>
          <w:szCs w:val="24"/>
        </w:rPr>
        <w:t>A similar form of protective c</w:t>
      </w:r>
      <w:r w:rsidR="0099107D" w:rsidRPr="0099107D">
        <w:rPr>
          <w:rFonts w:ascii="Arial" w:hAnsi="Arial" w:cs="Arial"/>
          <w:sz w:val="24"/>
          <w:szCs w:val="24"/>
        </w:rPr>
        <w:t xml:space="preserve">aveat which protects a person who has </w:t>
      </w:r>
      <w:r>
        <w:rPr>
          <w:rFonts w:ascii="Arial" w:hAnsi="Arial" w:cs="Arial"/>
          <w:sz w:val="24"/>
          <w:szCs w:val="24"/>
        </w:rPr>
        <w:t xml:space="preserve">transferred </w:t>
      </w:r>
      <w:r w:rsidR="0099107D" w:rsidRPr="0099107D">
        <w:rPr>
          <w:rFonts w:ascii="Arial" w:hAnsi="Arial" w:cs="Arial"/>
          <w:sz w:val="24"/>
          <w:szCs w:val="24"/>
        </w:rPr>
        <w:t xml:space="preserve">an interest </w:t>
      </w:r>
      <w:r>
        <w:rPr>
          <w:rFonts w:ascii="Arial" w:hAnsi="Arial" w:cs="Arial"/>
          <w:sz w:val="24"/>
          <w:szCs w:val="24"/>
        </w:rPr>
        <w:t xml:space="preserve">in </w:t>
      </w:r>
      <w:r w:rsidR="0099107D" w:rsidRPr="0099107D">
        <w:rPr>
          <w:rFonts w:ascii="Arial" w:hAnsi="Arial" w:cs="Arial"/>
          <w:sz w:val="24"/>
          <w:szCs w:val="24"/>
        </w:rPr>
        <w:t xml:space="preserve">land </w:t>
      </w:r>
      <w:r>
        <w:rPr>
          <w:rFonts w:ascii="Arial" w:hAnsi="Arial" w:cs="Arial"/>
          <w:sz w:val="24"/>
          <w:szCs w:val="24"/>
        </w:rPr>
        <w:t xml:space="preserve">in exchange for care pursuant to a </w:t>
      </w:r>
      <w:r w:rsidR="0099107D" w:rsidRPr="0099107D">
        <w:rPr>
          <w:rFonts w:ascii="Arial" w:hAnsi="Arial" w:cs="Arial"/>
          <w:sz w:val="24"/>
          <w:szCs w:val="24"/>
        </w:rPr>
        <w:t>family care arrangement might be achiev</w:t>
      </w:r>
      <w:r>
        <w:rPr>
          <w:rFonts w:ascii="Arial" w:hAnsi="Arial" w:cs="Arial"/>
          <w:sz w:val="24"/>
          <w:szCs w:val="24"/>
        </w:rPr>
        <w:t>able</w:t>
      </w:r>
      <w:r w:rsidR="0099107D" w:rsidRPr="0099107D">
        <w:rPr>
          <w:rFonts w:ascii="Arial" w:hAnsi="Arial" w:cs="Arial"/>
          <w:sz w:val="24"/>
          <w:szCs w:val="24"/>
        </w:rPr>
        <w:t xml:space="preserve">. </w:t>
      </w:r>
    </w:p>
    <w:p w:rsidR="0099107D" w:rsidRPr="0099107D" w:rsidRDefault="0099107D" w:rsidP="0099107D">
      <w:pPr>
        <w:rPr>
          <w:rFonts w:ascii="Arial" w:hAnsi="Arial" w:cs="Arial"/>
          <w:sz w:val="24"/>
          <w:szCs w:val="24"/>
        </w:rPr>
      </w:pPr>
    </w:p>
    <w:p w:rsidR="0099107D" w:rsidRPr="0099107D" w:rsidRDefault="0099107D" w:rsidP="0099107D">
      <w:pPr>
        <w:rPr>
          <w:rFonts w:ascii="Arial" w:hAnsi="Arial" w:cs="Arial"/>
          <w:sz w:val="24"/>
          <w:szCs w:val="24"/>
        </w:rPr>
      </w:pPr>
    </w:p>
    <w:p w:rsidR="00A51D6E" w:rsidRDefault="0099107D" w:rsidP="0099107D">
      <w:pPr>
        <w:rPr>
          <w:rFonts w:ascii="Arial" w:hAnsi="Arial" w:cs="Arial"/>
          <w:i/>
          <w:iCs/>
          <w:sz w:val="24"/>
          <w:szCs w:val="24"/>
          <w:u w:val="single"/>
        </w:rPr>
      </w:pPr>
      <w:r w:rsidRPr="0099107D">
        <w:rPr>
          <w:rFonts w:ascii="Arial" w:hAnsi="Arial" w:cs="Arial"/>
          <w:i/>
          <w:iCs/>
          <w:sz w:val="24"/>
          <w:szCs w:val="24"/>
          <w:u w:val="single"/>
        </w:rPr>
        <w:t>Question 30</w:t>
      </w:r>
      <w:r w:rsidR="00057227">
        <w:rPr>
          <w:rFonts w:ascii="Arial" w:hAnsi="Arial" w:cs="Arial"/>
          <w:i/>
          <w:iCs/>
          <w:sz w:val="24"/>
          <w:szCs w:val="24"/>
          <w:u w:val="single"/>
        </w:rPr>
        <w:tab/>
      </w:r>
      <w:r w:rsidR="007664A5">
        <w:rPr>
          <w:rFonts w:ascii="Arial" w:hAnsi="Arial" w:cs="Arial"/>
          <w:i/>
          <w:iCs/>
          <w:sz w:val="24"/>
          <w:szCs w:val="24"/>
          <w:u w:val="single"/>
        </w:rPr>
        <w:tab/>
      </w:r>
      <w:r w:rsidR="00057227">
        <w:rPr>
          <w:rFonts w:ascii="Arial" w:hAnsi="Arial" w:cs="Arial"/>
          <w:i/>
          <w:iCs/>
          <w:sz w:val="24"/>
          <w:szCs w:val="24"/>
          <w:u w:val="single"/>
        </w:rPr>
        <w:t>Appointed decision makers</w:t>
      </w:r>
      <w:r w:rsidRPr="0099107D">
        <w:rPr>
          <w:rFonts w:ascii="Arial" w:hAnsi="Arial" w:cs="Arial"/>
          <w:i/>
          <w:iCs/>
          <w:sz w:val="24"/>
          <w:szCs w:val="24"/>
          <w:u w:val="single"/>
        </w:rPr>
        <w:t xml:space="preserve">  </w:t>
      </w:r>
    </w:p>
    <w:p w:rsidR="00A51D6E" w:rsidRDefault="00A51D6E" w:rsidP="0099107D">
      <w:pPr>
        <w:rPr>
          <w:rFonts w:ascii="Arial" w:hAnsi="Arial" w:cs="Arial"/>
          <w:i/>
          <w:iCs/>
          <w:sz w:val="24"/>
          <w:szCs w:val="24"/>
          <w:u w:val="single"/>
        </w:rPr>
      </w:pPr>
    </w:p>
    <w:p w:rsidR="002827FD" w:rsidRDefault="002827FD" w:rsidP="002827FD">
      <w:pPr>
        <w:rPr>
          <w:rFonts w:ascii="Arial" w:hAnsi="Arial" w:cs="Arial"/>
          <w:iCs/>
          <w:sz w:val="24"/>
          <w:szCs w:val="24"/>
        </w:rPr>
      </w:pPr>
      <w:r>
        <w:rPr>
          <w:rFonts w:ascii="Arial" w:hAnsi="Arial" w:cs="Arial"/>
          <w:iCs/>
          <w:sz w:val="24"/>
          <w:szCs w:val="24"/>
        </w:rPr>
        <w:t>Attorneys under a power of an Attorney</w:t>
      </w:r>
    </w:p>
    <w:p w:rsidR="002827FD" w:rsidRDefault="002827FD" w:rsidP="002827FD">
      <w:pPr>
        <w:rPr>
          <w:rFonts w:ascii="Arial" w:hAnsi="Arial" w:cs="Arial"/>
          <w:iCs/>
          <w:sz w:val="24"/>
          <w:szCs w:val="24"/>
        </w:rPr>
      </w:pPr>
    </w:p>
    <w:p w:rsidR="0099107D" w:rsidRPr="002827FD" w:rsidRDefault="00A51D6E" w:rsidP="002827FD">
      <w:pPr>
        <w:rPr>
          <w:rFonts w:ascii="Arial" w:hAnsi="Arial" w:cs="Arial"/>
          <w:iCs/>
          <w:sz w:val="24"/>
          <w:szCs w:val="24"/>
        </w:rPr>
      </w:pPr>
      <w:r w:rsidRPr="002827FD">
        <w:rPr>
          <w:rFonts w:ascii="Arial" w:hAnsi="Arial" w:cs="Arial"/>
          <w:iCs/>
          <w:sz w:val="24"/>
          <w:szCs w:val="24"/>
        </w:rPr>
        <w:t xml:space="preserve">Power of Attorney instruments could </w:t>
      </w:r>
      <w:r w:rsidR="0099107D" w:rsidRPr="002827FD">
        <w:rPr>
          <w:rFonts w:ascii="Arial" w:hAnsi="Arial" w:cs="Arial"/>
          <w:iCs/>
          <w:sz w:val="24"/>
          <w:szCs w:val="24"/>
        </w:rPr>
        <w:t>be registered as they once were in Victoria</w:t>
      </w:r>
      <w:r w:rsidRPr="002827FD">
        <w:rPr>
          <w:rFonts w:ascii="Arial" w:hAnsi="Arial" w:cs="Arial"/>
          <w:iCs/>
          <w:sz w:val="24"/>
          <w:szCs w:val="24"/>
        </w:rPr>
        <w:t>.</w:t>
      </w:r>
    </w:p>
    <w:p w:rsidR="00A51D6E" w:rsidRDefault="0099107D" w:rsidP="0099107D">
      <w:pPr>
        <w:rPr>
          <w:rFonts w:ascii="Arial" w:hAnsi="Arial" w:cs="Arial"/>
          <w:sz w:val="24"/>
          <w:szCs w:val="24"/>
        </w:rPr>
      </w:pPr>
      <w:r w:rsidRPr="0099107D">
        <w:rPr>
          <w:rFonts w:ascii="Arial" w:hAnsi="Arial" w:cs="Arial"/>
          <w:sz w:val="24"/>
          <w:szCs w:val="24"/>
        </w:rPr>
        <w:t xml:space="preserve">The Supreme </w:t>
      </w:r>
      <w:r w:rsidR="00A51D6E">
        <w:rPr>
          <w:rFonts w:ascii="Arial" w:hAnsi="Arial" w:cs="Arial"/>
          <w:sz w:val="24"/>
          <w:szCs w:val="24"/>
        </w:rPr>
        <w:t>C</w:t>
      </w:r>
      <w:r w:rsidRPr="0099107D">
        <w:rPr>
          <w:rFonts w:ascii="Arial" w:hAnsi="Arial" w:cs="Arial"/>
          <w:sz w:val="24"/>
          <w:szCs w:val="24"/>
        </w:rPr>
        <w:t xml:space="preserve">ourt </w:t>
      </w:r>
      <w:r w:rsidR="00A51D6E">
        <w:rPr>
          <w:rFonts w:ascii="Arial" w:hAnsi="Arial" w:cs="Arial"/>
          <w:sz w:val="24"/>
          <w:szCs w:val="24"/>
        </w:rPr>
        <w:t>c</w:t>
      </w:r>
      <w:r w:rsidRPr="0099107D">
        <w:rPr>
          <w:rFonts w:ascii="Arial" w:hAnsi="Arial" w:cs="Arial"/>
          <w:sz w:val="24"/>
          <w:szCs w:val="24"/>
        </w:rPr>
        <w:t xml:space="preserve">ould be the repository of these documents and </w:t>
      </w:r>
      <w:r w:rsidR="00A51D6E">
        <w:rPr>
          <w:rFonts w:ascii="Arial" w:hAnsi="Arial" w:cs="Arial"/>
          <w:sz w:val="24"/>
          <w:szCs w:val="24"/>
        </w:rPr>
        <w:t xml:space="preserve">if it was, </w:t>
      </w:r>
      <w:r w:rsidRPr="0099107D">
        <w:rPr>
          <w:rFonts w:ascii="Arial" w:hAnsi="Arial" w:cs="Arial"/>
          <w:sz w:val="24"/>
          <w:szCs w:val="24"/>
        </w:rPr>
        <w:t xml:space="preserve">the initial assessment of their validity should be conducted by the </w:t>
      </w:r>
      <w:r w:rsidR="00A51D6E">
        <w:rPr>
          <w:rFonts w:ascii="Arial" w:hAnsi="Arial" w:cs="Arial"/>
          <w:sz w:val="24"/>
          <w:szCs w:val="24"/>
        </w:rPr>
        <w:t>C</w:t>
      </w:r>
      <w:r w:rsidRPr="0099107D">
        <w:rPr>
          <w:rFonts w:ascii="Arial" w:hAnsi="Arial" w:cs="Arial"/>
          <w:sz w:val="24"/>
          <w:szCs w:val="24"/>
        </w:rPr>
        <w:t xml:space="preserve">ourt prior to registration. </w:t>
      </w:r>
      <w:r w:rsidR="00A51D6E">
        <w:rPr>
          <w:rFonts w:ascii="Arial" w:hAnsi="Arial" w:cs="Arial"/>
          <w:sz w:val="24"/>
          <w:szCs w:val="24"/>
        </w:rPr>
        <w:t xml:space="preserve">The Court would need to be resourced </w:t>
      </w:r>
      <w:r w:rsidR="00754AAD">
        <w:rPr>
          <w:rFonts w:ascii="Arial" w:hAnsi="Arial" w:cs="Arial"/>
          <w:sz w:val="24"/>
          <w:szCs w:val="24"/>
        </w:rPr>
        <w:t xml:space="preserve">for </w:t>
      </w:r>
      <w:r w:rsidR="00A51D6E">
        <w:rPr>
          <w:rFonts w:ascii="Arial" w:hAnsi="Arial" w:cs="Arial"/>
          <w:sz w:val="24"/>
          <w:szCs w:val="24"/>
        </w:rPr>
        <w:t xml:space="preserve">the purpose of maintaining the register. </w:t>
      </w:r>
    </w:p>
    <w:p w:rsidR="00A51D6E" w:rsidRDefault="00A51D6E" w:rsidP="0099107D">
      <w:pPr>
        <w:rPr>
          <w:rFonts w:ascii="Arial" w:hAnsi="Arial" w:cs="Arial"/>
          <w:sz w:val="24"/>
          <w:szCs w:val="24"/>
        </w:rPr>
      </w:pPr>
    </w:p>
    <w:p w:rsidR="00754AAD" w:rsidRDefault="0099107D" w:rsidP="0099107D">
      <w:pPr>
        <w:rPr>
          <w:rFonts w:ascii="Arial" w:hAnsi="Arial" w:cs="Arial"/>
          <w:sz w:val="24"/>
          <w:szCs w:val="24"/>
        </w:rPr>
      </w:pPr>
      <w:r w:rsidRPr="0099107D">
        <w:rPr>
          <w:rFonts w:ascii="Arial" w:hAnsi="Arial" w:cs="Arial"/>
          <w:sz w:val="24"/>
          <w:szCs w:val="24"/>
        </w:rPr>
        <w:t xml:space="preserve">The duties </w:t>
      </w:r>
      <w:r w:rsidR="00754AAD">
        <w:rPr>
          <w:rFonts w:ascii="Arial" w:hAnsi="Arial" w:cs="Arial"/>
          <w:sz w:val="24"/>
          <w:szCs w:val="24"/>
        </w:rPr>
        <w:t xml:space="preserve">and responsibilities </w:t>
      </w:r>
      <w:r w:rsidRPr="0099107D">
        <w:rPr>
          <w:rFonts w:ascii="Arial" w:hAnsi="Arial" w:cs="Arial"/>
          <w:sz w:val="24"/>
          <w:szCs w:val="24"/>
        </w:rPr>
        <w:t xml:space="preserve">of Attorneys have been upgraded in Victoria since the enactment of the </w:t>
      </w:r>
      <w:r w:rsidR="00CF3E41" w:rsidRPr="00CF3E41">
        <w:rPr>
          <w:rFonts w:ascii="Arial" w:hAnsi="Arial" w:cs="Arial"/>
          <w:i/>
          <w:sz w:val="24"/>
          <w:szCs w:val="24"/>
        </w:rPr>
        <w:t>P</w:t>
      </w:r>
      <w:r w:rsidRPr="00CF3E41">
        <w:rPr>
          <w:rFonts w:ascii="Arial" w:hAnsi="Arial" w:cs="Arial"/>
          <w:i/>
          <w:iCs/>
          <w:sz w:val="24"/>
          <w:szCs w:val="24"/>
        </w:rPr>
        <w:t>o</w:t>
      </w:r>
      <w:r w:rsidRPr="0099107D">
        <w:rPr>
          <w:rFonts w:ascii="Arial" w:hAnsi="Arial" w:cs="Arial"/>
          <w:i/>
          <w:iCs/>
          <w:sz w:val="24"/>
          <w:szCs w:val="24"/>
        </w:rPr>
        <w:t>wers of Attorney</w:t>
      </w:r>
      <w:r w:rsidRPr="0099107D">
        <w:rPr>
          <w:rFonts w:ascii="Arial" w:hAnsi="Arial" w:cs="Arial"/>
          <w:sz w:val="24"/>
          <w:szCs w:val="24"/>
        </w:rPr>
        <w:t xml:space="preserve"> </w:t>
      </w:r>
      <w:r w:rsidRPr="00CF3E41">
        <w:rPr>
          <w:rFonts w:ascii="Arial" w:hAnsi="Arial" w:cs="Arial"/>
          <w:i/>
          <w:sz w:val="24"/>
          <w:szCs w:val="24"/>
        </w:rPr>
        <w:t>Ac</w:t>
      </w:r>
      <w:r w:rsidRPr="0099107D">
        <w:rPr>
          <w:rFonts w:ascii="Arial" w:hAnsi="Arial" w:cs="Arial"/>
          <w:sz w:val="24"/>
          <w:szCs w:val="24"/>
        </w:rPr>
        <w:t>t</w:t>
      </w:r>
      <w:r w:rsidR="00CF3E41">
        <w:rPr>
          <w:rFonts w:ascii="Arial" w:hAnsi="Arial" w:cs="Arial"/>
          <w:sz w:val="24"/>
          <w:szCs w:val="24"/>
        </w:rPr>
        <w:t xml:space="preserve"> (2014) (Vic</w:t>
      </w:r>
      <w:proofErr w:type="gramStart"/>
      <w:r w:rsidR="00CF3E41">
        <w:rPr>
          <w:rFonts w:ascii="Arial" w:hAnsi="Arial" w:cs="Arial"/>
          <w:sz w:val="24"/>
          <w:szCs w:val="24"/>
        </w:rPr>
        <w:t>)</w:t>
      </w:r>
      <w:r w:rsidRPr="0099107D">
        <w:rPr>
          <w:rFonts w:ascii="Arial" w:hAnsi="Arial" w:cs="Arial"/>
          <w:sz w:val="24"/>
          <w:szCs w:val="24"/>
        </w:rPr>
        <w:t> </w:t>
      </w:r>
      <w:proofErr w:type="gramEnd"/>
      <w:r w:rsidR="00CF3E41">
        <w:rPr>
          <w:rStyle w:val="FootnoteReference"/>
          <w:rFonts w:ascii="Arial" w:hAnsi="Arial" w:cs="Arial"/>
          <w:sz w:val="24"/>
          <w:szCs w:val="24"/>
        </w:rPr>
        <w:footnoteReference w:id="27"/>
      </w:r>
      <w:r w:rsidR="00754AAD">
        <w:rPr>
          <w:rFonts w:ascii="Arial" w:hAnsi="Arial" w:cs="Arial"/>
          <w:sz w:val="24"/>
          <w:szCs w:val="24"/>
        </w:rPr>
        <w:t xml:space="preserve">. Legal practitioners could take responsibility to explain to the appointed Attorneys the scope of </w:t>
      </w:r>
      <w:r w:rsidR="00CF3E41">
        <w:rPr>
          <w:rFonts w:ascii="Arial" w:hAnsi="Arial" w:cs="Arial"/>
          <w:sz w:val="24"/>
          <w:szCs w:val="24"/>
        </w:rPr>
        <w:t xml:space="preserve">their duties but these steps </w:t>
      </w:r>
      <w:r w:rsidR="00754AAD">
        <w:rPr>
          <w:rFonts w:ascii="Arial" w:hAnsi="Arial" w:cs="Arial"/>
          <w:sz w:val="24"/>
          <w:szCs w:val="24"/>
        </w:rPr>
        <w:t xml:space="preserve">would not extend to the large number of instruments created by non-lawyers. </w:t>
      </w:r>
    </w:p>
    <w:p w:rsidR="00754AAD" w:rsidRDefault="00754AAD" w:rsidP="0099107D">
      <w:pPr>
        <w:rPr>
          <w:rFonts w:ascii="Arial" w:hAnsi="Arial" w:cs="Arial"/>
          <w:sz w:val="24"/>
          <w:szCs w:val="24"/>
        </w:rPr>
      </w:pPr>
    </w:p>
    <w:p w:rsidR="0099107D" w:rsidRDefault="00CF3E41" w:rsidP="0099107D">
      <w:pPr>
        <w:rPr>
          <w:rFonts w:ascii="Arial" w:hAnsi="Arial" w:cs="Arial"/>
          <w:sz w:val="24"/>
          <w:szCs w:val="24"/>
        </w:rPr>
      </w:pPr>
      <w:r>
        <w:rPr>
          <w:rFonts w:ascii="Arial" w:hAnsi="Arial" w:cs="Arial"/>
          <w:sz w:val="24"/>
          <w:szCs w:val="24"/>
        </w:rPr>
        <w:t>Alternatively i</w:t>
      </w:r>
      <w:r w:rsidR="00754AAD">
        <w:rPr>
          <w:rFonts w:ascii="Arial" w:hAnsi="Arial" w:cs="Arial"/>
          <w:sz w:val="24"/>
          <w:szCs w:val="24"/>
        </w:rPr>
        <w:t xml:space="preserve">t would be possible to create an internet based on-line education module and test about Attorney’s responsibilities and duties, similar </w:t>
      </w:r>
      <w:r w:rsidR="0099107D" w:rsidRPr="0099107D">
        <w:rPr>
          <w:rFonts w:ascii="Arial" w:hAnsi="Arial" w:cs="Arial"/>
          <w:sz w:val="24"/>
          <w:szCs w:val="24"/>
        </w:rPr>
        <w:t xml:space="preserve">to online </w:t>
      </w:r>
      <w:r w:rsidR="00754AAD">
        <w:rPr>
          <w:rFonts w:ascii="Arial" w:hAnsi="Arial" w:cs="Arial"/>
          <w:sz w:val="24"/>
          <w:szCs w:val="24"/>
        </w:rPr>
        <w:t xml:space="preserve">modules employed by </w:t>
      </w:r>
      <w:r w:rsidR="0099107D" w:rsidRPr="0099107D">
        <w:rPr>
          <w:rFonts w:ascii="Arial" w:hAnsi="Arial" w:cs="Arial"/>
          <w:sz w:val="24"/>
          <w:szCs w:val="24"/>
        </w:rPr>
        <w:t xml:space="preserve">organizations </w:t>
      </w:r>
      <w:r w:rsidR="00754AAD">
        <w:rPr>
          <w:rFonts w:ascii="Arial" w:hAnsi="Arial" w:cs="Arial"/>
          <w:sz w:val="24"/>
          <w:szCs w:val="24"/>
        </w:rPr>
        <w:t xml:space="preserve">for use by employees </w:t>
      </w:r>
      <w:r w:rsidR="0099107D" w:rsidRPr="0099107D">
        <w:rPr>
          <w:rFonts w:ascii="Arial" w:hAnsi="Arial" w:cs="Arial"/>
          <w:sz w:val="24"/>
          <w:szCs w:val="24"/>
        </w:rPr>
        <w:t xml:space="preserve">to test their knowledge and understanding of access and equity and safety in the workplace. </w:t>
      </w:r>
    </w:p>
    <w:p w:rsidR="00754AAD" w:rsidRDefault="00754AAD" w:rsidP="0099107D">
      <w:pPr>
        <w:rPr>
          <w:rFonts w:ascii="Arial" w:hAnsi="Arial" w:cs="Arial"/>
          <w:sz w:val="24"/>
          <w:szCs w:val="24"/>
        </w:rPr>
      </w:pPr>
    </w:p>
    <w:p w:rsidR="00754AAD" w:rsidRDefault="00754AAD" w:rsidP="0099107D">
      <w:pPr>
        <w:rPr>
          <w:rFonts w:ascii="Arial" w:hAnsi="Arial" w:cs="Arial"/>
          <w:sz w:val="24"/>
          <w:szCs w:val="24"/>
        </w:rPr>
      </w:pPr>
      <w:r>
        <w:rPr>
          <w:rFonts w:ascii="Arial" w:hAnsi="Arial" w:cs="Arial"/>
          <w:sz w:val="24"/>
          <w:szCs w:val="24"/>
        </w:rPr>
        <w:t xml:space="preserve">If there was a central repository of instruments at the Supreme Court, the Court could ascertain if the putative Attorney had completed the module as a condition of registration. </w:t>
      </w:r>
    </w:p>
    <w:p w:rsidR="00057227" w:rsidRDefault="00057227" w:rsidP="0099107D">
      <w:pPr>
        <w:rPr>
          <w:rFonts w:ascii="Arial" w:hAnsi="Arial" w:cs="Arial"/>
          <w:sz w:val="24"/>
          <w:szCs w:val="24"/>
        </w:rPr>
      </w:pPr>
    </w:p>
    <w:p w:rsidR="00057227" w:rsidRDefault="00057227" w:rsidP="00CF3E41">
      <w:pPr>
        <w:rPr>
          <w:rFonts w:ascii="Arial" w:hAnsi="Arial" w:cs="Arial"/>
          <w:bCs/>
          <w:sz w:val="24"/>
          <w:szCs w:val="24"/>
        </w:rPr>
      </w:pPr>
      <w:r w:rsidRPr="00CF3E41">
        <w:rPr>
          <w:rFonts w:ascii="Arial" w:hAnsi="Arial" w:cs="Arial"/>
          <w:bCs/>
          <w:sz w:val="24"/>
          <w:szCs w:val="24"/>
        </w:rPr>
        <w:t>Advance Care Directives</w:t>
      </w:r>
    </w:p>
    <w:p w:rsidR="00CF3E41" w:rsidRPr="00CF3E41" w:rsidRDefault="00CF3E41" w:rsidP="00CF3E41">
      <w:pPr>
        <w:rPr>
          <w:rFonts w:ascii="Arial" w:hAnsi="Arial" w:cs="Arial"/>
          <w:bCs/>
          <w:sz w:val="24"/>
          <w:szCs w:val="24"/>
        </w:rPr>
      </w:pPr>
    </w:p>
    <w:p w:rsidR="00057227" w:rsidRDefault="00596123" w:rsidP="00057227">
      <w:pPr>
        <w:rPr>
          <w:rFonts w:ascii="Arial" w:hAnsi="Arial" w:cs="Arial"/>
          <w:sz w:val="24"/>
          <w:szCs w:val="24"/>
        </w:rPr>
      </w:pPr>
      <w:r>
        <w:rPr>
          <w:rFonts w:ascii="Arial" w:hAnsi="Arial" w:cs="Arial"/>
          <w:sz w:val="24"/>
          <w:szCs w:val="24"/>
        </w:rPr>
        <w:t>I</w:t>
      </w:r>
      <w:r w:rsidR="007664A5">
        <w:rPr>
          <w:rFonts w:ascii="Arial" w:hAnsi="Arial" w:cs="Arial"/>
          <w:sz w:val="24"/>
          <w:szCs w:val="24"/>
        </w:rPr>
        <w:t xml:space="preserve">n </w:t>
      </w:r>
      <w:r>
        <w:rPr>
          <w:rFonts w:ascii="Arial" w:hAnsi="Arial" w:cs="Arial"/>
          <w:sz w:val="24"/>
          <w:szCs w:val="24"/>
        </w:rPr>
        <w:t xml:space="preserve">January </w:t>
      </w:r>
      <w:proofErr w:type="gramStart"/>
      <w:r w:rsidR="007664A5">
        <w:rPr>
          <w:rFonts w:ascii="Arial" w:hAnsi="Arial" w:cs="Arial"/>
          <w:sz w:val="24"/>
          <w:szCs w:val="24"/>
        </w:rPr>
        <w:t xml:space="preserve">2016 </w:t>
      </w:r>
      <w:r w:rsidR="00057227" w:rsidRPr="0099107D">
        <w:rPr>
          <w:rFonts w:ascii="Arial" w:hAnsi="Arial" w:cs="Arial"/>
          <w:sz w:val="24"/>
          <w:szCs w:val="24"/>
        </w:rPr>
        <w:t xml:space="preserve"> the</w:t>
      </w:r>
      <w:proofErr w:type="gramEnd"/>
      <w:r w:rsidR="00057227" w:rsidRPr="0099107D">
        <w:rPr>
          <w:rFonts w:ascii="Arial" w:hAnsi="Arial" w:cs="Arial"/>
          <w:sz w:val="24"/>
          <w:szCs w:val="24"/>
        </w:rPr>
        <w:t xml:space="preserve"> Victorian Health </w:t>
      </w:r>
      <w:r w:rsidR="007664A5">
        <w:rPr>
          <w:rFonts w:ascii="Arial" w:hAnsi="Arial" w:cs="Arial"/>
          <w:sz w:val="24"/>
          <w:szCs w:val="24"/>
        </w:rPr>
        <w:t xml:space="preserve">and Human Services </w:t>
      </w:r>
      <w:r w:rsidR="00057227" w:rsidRPr="0099107D">
        <w:rPr>
          <w:rFonts w:ascii="Arial" w:hAnsi="Arial" w:cs="Arial"/>
          <w:sz w:val="24"/>
          <w:szCs w:val="24"/>
        </w:rPr>
        <w:t xml:space="preserve">Department </w:t>
      </w:r>
      <w:r w:rsidR="00057227">
        <w:rPr>
          <w:rFonts w:ascii="Arial" w:hAnsi="Arial" w:cs="Arial"/>
          <w:sz w:val="24"/>
          <w:szCs w:val="24"/>
        </w:rPr>
        <w:t xml:space="preserve">released </w:t>
      </w:r>
      <w:r w:rsidR="00057227" w:rsidRPr="0099107D">
        <w:rPr>
          <w:rFonts w:ascii="Arial" w:hAnsi="Arial" w:cs="Arial"/>
          <w:sz w:val="24"/>
          <w:szCs w:val="24"/>
        </w:rPr>
        <w:t xml:space="preserve">a position paper in relation to </w:t>
      </w:r>
      <w:r w:rsidR="00057227">
        <w:rPr>
          <w:rFonts w:ascii="Arial" w:hAnsi="Arial" w:cs="Arial"/>
          <w:sz w:val="24"/>
          <w:szCs w:val="24"/>
        </w:rPr>
        <w:t>A</w:t>
      </w:r>
      <w:r w:rsidR="00057227" w:rsidRPr="0099107D">
        <w:rPr>
          <w:rFonts w:ascii="Arial" w:hAnsi="Arial" w:cs="Arial"/>
          <w:sz w:val="24"/>
          <w:szCs w:val="24"/>
        </w:rPr>
        <w:t xml:space="preserve">dvanced care directives </w:t>
      </w:r>
      <w:r w:rsidR="00057227">
        <w:rPr>
          <w:rFonts w:ascii="Arial" w:hAnsi="Arial" w:cs="Arial"/>
          <w:sz w:val="24"/>
          <w:szCs w:val="24"/>
        </w:rPr>
        <w:t xml:space="preserve">in order </w:t>
      </w:r>
      <w:r w:rsidR="00057227" w:rsidRPr="0099107D">
        <w:rPr>
          <w:rFonts w:ascii="Arial" w:hAnsi="Arial" w:cs="Arial"/>
          <w:sz w:val="24"/>
          <w:szCs w:val="24"/>
        </w:rPr>
        <w:t>to support advanced care planning</w:t>
      </w:r>
      <w:r w:rsidR="00057227">
        <w:rPr>
          <w:rFonts w:ascii="Arial" w:hAnsi="Arial" w:cs="Arial"/>
          <w:sz w:val="24"/>
          <w:szCs w:val="24"/>
        </w:rPr>
        <w:t xml:space="preserve"> program</w:t>
      </w:r>
      <w:r>
        <w:rPr>
          <w:rStyle w:val="FootnoteReference"/>
          <w:rFonts w:ascii="Arial" w:hAnsi="Arial" w:cs="Arial"/>
          <w:sz w:val="24"/>
          <w:szCs w:val="24"/>
        </w:rPr>
        <w:footnoteReference w:id="28"/>
      </w:r>
      <w:r w:rsidR="00057227" w:rsidRPr="0099107D">
        <w:rPr>
          <w:rFonts w:ascii="Arial" w:hAnsi="Arial" w:cs="Arial"/>
          <w:sz w:val="24"/>
          <w:szCs w:val="24"/>
        </w:rPr>
        <w:t xml:space="preserve">. </w:t>
      </w:r>
      <w:r w:rsidR="00057227">
        <w:rPr>
          <w:rFonts w:ascii="Arial" w:hAnsi="Arial" w:cs="Arial"/>
          <w:sz w:val="24"/>
          <w:szCs w:val="24"/>
        </w:rPr>
        <w:t xml:space="preserve">Curiously though, the </w:t>
      </w:r>
      <w:r w:rsidR="00057227" w:rsidRPr="0099107D">
        <w:rPr>
          <w:rFonts w:ascii="Arial" w:hAnsi="Arial" w:cs="Arial"/>
          <w:sz w:val="24"/>
          <w:szCs w:val="24"/>
        </w:rPr>
        <w:t xml:space="preserve">focus </w:t>
      </w:r>
      <w:proofErr w:type="gramStart"/>
      <w:r w:rsidR="00057227" w:rsidRPr="0099107D">
        <w:rPr>
          <w:rFonts w:ascii="Arial" w:hAnsi="Arial" w:cs="Arial"/>
          <w:sz w:val="24"/>
          <w:szCs w:val="24"/>
        </w:rPr>
        <w:t xml:space="preserve">on  </w:t>
      </w:r>
      <w:r>
        <w:rPr>
          <w:rFonts w:ascii="Arial" w:hAnsi="Arial" w:cs="Arial"/>
          <w:sz w:val="24"/>
          <w:szCs w:val="24"/>
        </w:rPr>
        <w:t>“</w:t>
      </w:r>
      <w:proofErr w:type="gramEnd"/>
      <w:r w:rsidR="00057227" w:rsidRPr="0099107D">
        <w:rPr>
          <w:rFonts w:ascii="Arial" w:hAnsi="Arial" w:cs="Arial"/>
          <w:sz w:val="24"/>
          <w:szCs w:val="24"/>
        </w:rPr>
        <w:t>wills, preferences and rights</w:t>
      </w:r>
      <w:r>
        <w:rPr>
          <w:rFonts w:ascii="Arial" w:hAnsi="Arial" w:cs="Arial"/>
          <w:sz w:val="24"/>
          <w:szCs w:val="24"/>
        </w:rPr>
        <w:t>”</w:t>
      </w:r>
      <w:r w:rsidR="00057227" w:rsidRPr="0099107D">
        <w:rPr>
          <w:rFonts w:ascii="Arial" w:hAnsi="Arial" w:cs="Arial"/>
          <w:sz w:val="24"/>
          <w:szCs w:val="24"/>
        </w:rPr>
        <w:t xml:space="preserve"> recommended in the United Nation</w:t>
      </w:r>
      <w:r w:rsidR="00057227">
        <w:rPr>
          <w:rFonts w:ascii="Arial" w:hAnsi="Arial" w:cs="Arial"/>
          <w:sz w:val="24"/>
          <w:szCs w:val="24"/>
        </w:rPr>
        <w:t>s</w:t>
      </w:r>
      <w:r w:rsidR="00057227" w:rsidRPr="0099107D">
        <w:rPr>
          <w:rFonts w:ascii="Arial" w:hAnsi="Arial" w:cs="Arial"/>
          <w:sz w:val="24"/>
          <w:szCs w:val="24"/>
        </w:rPr>
        <w:t xml:space="preserve"> convention on the rights of persons with disabilities</w:t>
      </w:r>
      <w:r w:rsidR="00057227">
        <w:rPr>
          <w:rFonts w:ascii="Arial" w:hAnsi="Arial" w:cs="Arial"/>
          <w:sz w:val="24"/>
          <w:szCs w:val="24"/>
        </w:rPr>
        <w:t xml:space="preserve"> has not been entirely adopted and instead a hierarchy of </w:t>
      </w:r>
      <w:r>
        <w:rPr>
          <w:rFonts w:ascii="Arial" w:hAnsi="Arial" w:cs="Arial"/>
          <w:sz w:val="24"/>
          <w:szCs w:val="24"/>
        </w:rPr>
        <w:t>“p</w:t>
      </w:r>
      <w:r w:rsidR="00057227">
        <w:rPr>
          <w:rFonts w:ascii="Arial" w:hAnsi="Arial" w:cs="Arial"/>
          <w:sz w:val="24"/>
          <w:szCs w:val="24"/>
        </w:rPr>
        <w:t>references, wishes and rights</w:t>
      </w:r>
      <w:r>
        <w:rPr>
          <w:rFonts w:ascii="Arial" w:hAnsi="Arial" w:cs="Arial"/>
          <w:sz w:val="24"/>
          <w:szCs w:val="24"/>
        </w:rPr>
        <w:t>”</w:t>
      </w:r>
      <w:r w:rsidR="00057227">
        <w:rPr>
          <w:rFonts w:ascii="Arial" w:hAnsi="Arial" w:cs="Arial"/>
          <w:sz w:val="24"/>
          <w:szCs w:val="24"/>
        </w:rPr>
        <w:t xml:space="preserve"> has been adopted</w:t>
      </w:r>
      <w:r>
        <w:rPr>
          <w:rStyle w:val="FootnoteReference"/>
          <w:rFonts w:ascii="Arial" w:hAnsi="Arial" w:cs="Arial"/>
          <w:sz w:val="24"/>
          <w:szCs w:val="24"/>
        </w:rPr>
        <w:footnoteReference w:id="29"/>
      </w:r>
      <w:r w:rsidR="00057227">
        <w:rPr>
          <w:rFonts w:ascii="Arial" w:hAnsi="Arial" w:cs="Arial"/>
          <w:sz w:val="24"/>
          <w:szCs w:val="24"/>
        </w:rPr>
        <w:t xml:space="preserve">. </w:t>
      </w:r>
    </w:p>
    <w:p w:rsidR="00596123" w:rsidRPr="0099107D" w:rsidRDefault="00596123" w:rsidP="00057227">
      <w:pPr>
        <w:rPr>
          <w:rFonts w:ascii="Arial" w:hAnsi="Arial" w:cs="Arial"/>
          <w:sz w:val="24"/>
          <w:szCs w:val="24"/>
        </w:rPr>
      </w:pPr>
    </w:p>
    <w:p w:rsidR="001D66D7" w:rsidRDefault="001D66D7" w:rsidP="00596123">
      <w:pPr>
        <w:rPr>
          <w:rFonts w:ascii="Arial" w:hAnsi="Arial" w:cs="Arial"/>
          <w:sz w:val="24"/>
          <w:szCs w:val="24"/>
        </w:rPr>
      </w:pPr>
      <w:r>
        <w:rPr>
          <w:rFonts w:ascii="Arial" w:hAnsi="Arial" w:cs="Arial"/>
          <w:sz w:val="24"/>
          <w:szCs w:val="24"/>
        </w:rPr>
        <w:t xml:space="preserve">In the DHHS </w:t>
      </w:r>
      <w:r w:rsidR="007664A5">
        <w:rPr>
          <w:rFonts w:ascii="Arial" w:hAnsi="Arial" w:cs="Arial"/>
          <w:sz w:val="24"/>
          <w:szCs w:val="24"/>
        </w:rPr>
        <w:t>2016 position statement,</w:t>
      </w:r>
      <w:r>
        <w:rPr>
          <w:rFonts w:ascii="Arial" w:hAnsi="Arial" w:cs="Arial"/>
          <w:sz w:val="24"/>
          <w:szCs w:val="24"/>
        </w:rPr>
        <w:t xml:space="preserve"> it is proposed that </w:t>
      </w:r>
      <w:r w:rsidR="00057227">
        <w:rPr>
          <w:rFonts w:ascii="Arial" w:hAnsi="Arial" w:cs="Arial"/>
          <w:sz w:val="24"/>
          <w:szCs w:val="24"/>
        </w:rPr>
        <w:t>i</w:t>
      </w:r>
      <w:r w:rsidR="00057227" w:rsidRPr="0099107D">
        <w:rPr>
          <w:rFonts w:ascii="Arial" w:hAnsi="Arial" w:cs="Arial"/>
          <w:sz w:val="24"/>
          <w:szCs w:val="24"/>
        </w:rPr>
        <w:t xml:space="preserve">n the event that an older person has no pre-expressed wishes in writing which can be understood and be </w:t>
      </w:r>
      <w:r w:rsidR="00057227" w:rsidRPr="0099107D">
        <w:rPr>
          <w:rFonts w:ascii="Arial" w:hAnsi="Arial" w:cs="Arial"/>
          <w:sz w:val="24"/>
          <w:szCs w:val="24"/>
        </w:rPr>
        <w:lastRenderedPageBreak/>
        <w:t>located and are accessible</w:t>
      </w:r>
      <w:r w:rsidR="00057227">
        <w:rPr>
          <w:rFonts w:ascii="Arial" w:hAnsi="Arial" w:cs="Arial"/>
          <w:sz w:val="24"/>
          <w:szCs w:val="24"/>
        </w:rPr>
        <w:t xml:space="preserve">, </w:t>
      </w:r>
      <w:r>
        <w:rPr>
          <w:rFonts w:ascii="Arial" w:hAnsi="Arial" w:cs="Arial"/>
          <w:sz w:val="24"/>
          <w:szCs w:val="24"/>
        </w:rPr>
        <w:t xml:space="preserve">reliance is placed on the person’s wishes, and if their wishes cannot be determined a decision is to be made consistent with rights. </w:t>
      </w:r>
    </w:p>
    <w:p w:rsidR="001D66D7" w:rsidRDefault="001D66D7" w:rsidP="00596123">
      <w:pPr>
        <w:rPr>
          <w:rFonts w:ascii="Arial" w:hAnsi="Arial" w:cs="Arial"/>
          <w:sz w:val="24"/>
          <w:szCs w:val="24"/>
        </w:rPr>
      </w:pPr>
    </w:p>
    <w:p w:rsidR="001D66D7" w:rsidRDefault="001D66D7" w:rsidP="00596123">
      <w:pPr>
        <w:rPr>
          <w:rFonts w:ascii="Arial" w:hAnsi="Arial" w:cs="Arial"/>
          <w:sz w:val="24"/>
          <w:szCs w:val="24"/>
        </w:rPr>
      </w:pPr>
      <w:r>
        <w:rPr>
          <w:rFonts w:ascii="Arial" w:hAnsi="Arial" w:cs="Arial"/>
          <w:sz w:val="24"/>
          <w:szCs w:val="24"/>
        </w:rPr>
        <w:t>With respect to the learned authors, this places us in the same position we have been for decades, that is, grappling with the difficult issue of</w:t>
      </w:r>
      <w:r w:rsidR="00057227" w:rsidRPr="0099107D">
        <w:rPr>
          <w:rFonts w:ascii="Arial" w:hAnsi="Arial" w:cs="Arial"/>
          <w:sz w:val="24"/>
          <w:szCs w:val="24"/>
        </w:rPr>
        <w:t xml:space="preserve"> assessing the competing claims </w:t>
      </w:r>
      <w:proofErr w:type="gramStart"/>
      <w:r w:rsidR="00057227">
        <w:rPr>
          <w:rFonts w:ascii="Arial" w:hAnsi="Arial" w:cs="Arial"/>
          <w:sz w:val="24"/>
          <w:szCs w:val="24"/>
        </w:rPr>
        <w:t xml:space="preserve">of </w:t>
      </w:r>
      <w:r w:rsidR="00057227" w:rsidRPr="0099107D">
        <w:rPr>
          <w:rFonts w:ascii="Arial" w:hAnsi="Arial" w:cs="Arial"/>
          <w:sz w:val="24"/>
          <w:szCs w:val="24"/>
        </w:rPr>
        <w:t xml:space="preserve"> pre</w:t>
      </w:r>
      <w:proofErr w:type="gramEnd"/>
      <w:r w:rsidR="00057227" w:rsidRPr="0099107D">
        <w:rPr>
          <w:rFonts w:ascii="Arial" w:hAnsi="Arial" w:cs="Arial"/>
          <w:sz w:val="24"/>
          <w:szCs w:val="24"/>
        </w:rPr>
        <w:t xml:space="preserve">-expressed oral preferences. </w:t>
      </w:r>
      <w:r w:rsidR="00057227">
        <w:rPr>
          <w:rFonts w:ascii="Arial" w:hAnsi="Arial" w:cs="Arial"/>
          <w:sz w:val="24"/>
          <w:szCs w:val="24"/>
        </w:rPr>
        <w:t xml:space="preserve"> </w:t>
      </w:r>
      <w:r w:rsidR="00057227" w:rsidRPr="0099107D">
        <w:rPr>
          <w:rFonts w:ascii="Arial" w:hAnsi="Arial" w:cs="Arial"/>
          <w:sz w:val="24"/>
          <w:szCs w:val="24"/>
        </w:rPr>
        <w:t>The position paper is silent as to who has the responsibility for assessing these competing claims</w:t>
      </w:r>
      <w:r w:rsidR="00057227">
        <w:rPr>
          <w:rFonts w:ascii="Arial" w:hAnsi="Arial" w:cs="Arial"/>
          <w:sz w:val="24"/>
          <w:szCs w:val="24"/>
        </w:rPr>
        <w:t xml:space="preserve">. </w:t>
      </w:r>
    </w:p>
    <w:p w:rsidR="001D66D7" w:rsidRDefault="001D66D7" w:rsidP="00596123">
      <w:pPr>
        <w:rPr>
          <w:rFonts w:ascii="Arial" w:hAnsi="Arial" w:cs="Arial"/>
          <w:sz w:val="24"/>
          <w:szCs w:val="24"/>
        </w:rPr>
      </w:pPr>
    </w:p>
    <w:p w:rsidR="00596123" w:rsidRDefault="00057227" w:rsidP="00596123">
      <w:pPr>
        <w:rPr>
          <w:rFonts w:ascii="Arial" w:hAnsi="Arial" w:cs="Arial"/>
          <w:sz w:val="24"/>
          <w:szCs w:val="24"/>
        </w:rPr>
      </w:pPr>
      <w:r>
        <w:rPr>
          <w:rFonts w:ascii="Arial" w:hAnsi="Arial" w:cs="Arial"/>
          <w:sz w:val="24"/>
          <w:szCs w:val="24"/>
        </w:rPr>
        <w:t xml:space="preserve">The </w:t>
      </w:r>
      <w:r w:rsidRPr="0099107D">
        <w:rPr>
          <w:rFonts w:ascii="Arial" w:hAnsi="Arial" w:cs="Arial"/>
          <w:sz w:val="24"/>
          <w:szCs w:val="24"/>
        </w:rPr>
        <w:t xml:space="preserve">third component of that </w:t>
      </w:r>
      <w:r w:rsidR="001D66D7">
        <w:rPr>
          <w:rFonts w:ascii="Arial" w:hAnsi="Arial" w:cs="Arial"/>
          <w:sz w:val="24"/>
          <w:szCs w:val="24"/>
        </w:rPr>
        <w:t xml:space="preserve">preferred </w:t>
      </w:r>
      <w:r w:rsidRPr="0099107D">
        <w:rPr>
          <w:rFonts w:ascii="Arial" w:hAnsi="Arial" w:cs="Arial"/>
          <w:sz w:val="24"/>
          <w:szCs w:val="24"/>
        </w:rPr>
        <w:t>hierarchy</w:t>
      </w:r>
      <w:r>
        <w:rPr>
          <w:rFonts w:ascii="Arial" w:hAnsi="Arial" w:cs="Arial"/>
          <w:sz w:val="24"/>
          <w:szCs w:val="24"/>
        </w:rPr>
        <w:t xml:space="preserve"> described as “</w:t>
      </w:r>
      <w:r w:rsidRPr="0099107D">
        <w:rPr>
          <w:rFonts w:ascii="Arial" w:hAnsi="Arial" w:cs="Arial"/>
          <w:sz w:val="24"/>
          <w:szCs w:val="24"/>
        </w:rPr>
        <w:t>a decision consistent with rights</w:t>
      </w:r>
      <w:r>
        <w:rPr>
          <w:rFonts w:ascii="Arial" w:hAnsi="Arial" w:cs="Arial"/>
          <w:sz w:val="24"/>
          <w:szCs w:val="24"/>
        </w:rPr>
        <w:t>”</w:t>
      </w:r>
      <w:r w:rsidRPr="0099107D">
        <w:rPr>
          <w:rFonts w:ascii="Arial" w:hAnsi="Arial" w:cs="Arial"/>
          <w:sz w:val="24"/>
          <w:szCs w:val="24"/>
        </w:rPr>
        <w:t xml:space="preserve"> is a best interest </w:t>
      </w:r>
      <w:r>
        <w:rPr>
          <w:rFonts w:ascii="Arial" w:hAnsi="Arial" w:cs="Arial"/>
          <w:sz w:val="24"/>
          <w:szCs w:val="24"/>
        </w:rPr>
        <w:t xml:space="preserve">test </w:t>
      </w:r>
      <w:r w:rsidRPr="0099107D">
        <w:rPr>
          <w:rFonts w:ascii="Arial" w:hAnsi="Arial" w:cs="Arial"/>
          <w:sz w:val="24"/>
          <w:szCs w:val="24"/>
        </w:rPr>
        <w:t xml:space="preserve">in another </w:t>
      </w:r>
      <w:r>
        <w:rPr>
          <w:rFonts w:ascii="Arial" w:hAnsi="Arial" w:cs="Arial"/>
          <w:sz w:val="24"/>
          <w:szCs w:val="24"/>
        </w:rPr>
        <w:t xml:space="preserve">guise. </w:t>
      </w:r>
      <w:r w:rsidR="00596123" w:rsidRPr="0099107D">
        <w:rPr>
          <w:rFonts w:ascii="Arial" w:hAnsi="Arial" w:cs="Arial"/>
          <w:sz w:val="24"/>
          <w:szCs w:val="24"/>
        </w:rPr>
        <w:t xml:space="preserve">While </w:t>
      </w:r>
      <w:r w:rsidR="00596123">
        <w:rPr>
          <w:rFonts w:ascii="Arial" w:hAnsi="Arial" w:cs="Arial"/>
          <w:sz w:val="24"/>
          <w:szCs w:val="24"/>
        </w:rPr>
        <w:t xml:space="preserve">claiming to move </w:t>
      </w:r>
      <w:r w:rsidR="00596123" w:rsidRPr="0099107D">
        <w:rPr>
          <w:rFonts w:ascii="Arial" w:hAnsi="Arial" w:cs="Arial"/>
          <w:sz w:val="24"/>
          <w:szCs w:val="24"/>
        </w:rPr>
        <w:t xml:space="preserve">from a best interest model </w:t>
      </w:r>
      <w:r w:rsidR="00596123">
        <w:rPr>
          <w:rFonts w:ascii="Arial" w:hAnsi="Arial" w:cs="Arial"/>
          <w:sz w:val="24"/>
          <w:szCs w:val="24"/>
        </w:rPr>
        <w:t xml:space="preserve">to a rights model </w:t>
      </w:r>
      <w:r w:rsidR="00596123" w:rsidRPr="0099107D">
        <w:rPr>
          <w:rFonts w:ascii="Arial" w:hAnsi="Arial" w:cs="Arial"/>
          <w:sz w:val="24"/>
          <w:szCs w:val="24"/>
        </w:rPr>
        <w:t>the</w:t>
      </w:r>
      <w:r w:rsidR="001D66D7">
        <w:rPr>
          <w:rFonts w:ascii="Arial" w:hAnsi="Arial" w:cs="Arial"/>
          <w:sz w:val="24"/>
          <w:szCs w:val="24"/>
        </w:rPr>
        <w:t xml:space="preserve"> authors of the position statement </w:t>
      </w:r>
      <w:r w:rsidR="00596123" w:rsidRPr="0099107D">
        <w:rPr>
          <w:rFonts w:ascii="Arial" w:hAnsi="Arial" w:cs="Arial"/>
          <w:sz w:val="24"/>
          <w:szCs w:val="24"/>
        </w:rPr>
        <w:t xml:space="preserve">appear to be taking a backwards step. </w:t>
      </w:r>
    </w:p>
    <w:p w:rsidR="0099107D" w:rsidRPr="0099107D" w:rsidRDefault="00057227" w:rsidP="0099107D">
      <w:pPr>
        <w:rPr>
          <w:rFonts w:ascii="Arial" w:hAnsi="Arial" w:cs="Arial"/>
          <w:sz w:val="24"/>
          <w:szCs w:val="24"/>
        </w:rPr>
      </w:pPr>
      <w:r w:rsidRPr="0099107D">
        <w:rPr>
          <w:rFonts w:ascii="Arial" w:hAnsi="Arial" w:cs="Arial"/>
          <w:sz w:val="24"/>
          <w:szCs w:val="24"/>
        </w:rPr>
        <w:t xml:space="preserve"> </w:t>
      </w: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 xml:space="preserve">Question 32 </w:t>
      </w:r>
      <w:r w:rsidR="00F725DA">
        <w:rPr>
          <w:rFonts w:ascii="Arial" w:hAnsi="Arial" w:cs="Arial"/>
          <w:i/>
          <w:iCs/>
          <w:sz w:val="24"/>
          <w:szCs w:val="24"/>
          <w:u w:val="single"/>
        </w:rPr>
        <w:tab/>
      </w:r>
      <w:r w:rsidR="00F725DA">
        <w:rPr>
          <w:rFonts w:ascii="Arial" w:hAnsi="Arial" w:cs="Arial"/>
          <w:i/>
          <w:iCs/>
          <w:sz w:val="24"/>
          <w:szCs w:val="24"/>
          <w:u w:val="single"/>
        </w:rPr>
        <w:tab/>
      </w:r>
      <w:r w:rsidRPr="0099107D">
        <w:rPr>
          <w:rFonts w:ascii="Arial" w:hAnsi="Arial" w:cs="Arial"/>
          <w:i/>
          <w:iCs/>
          <w:sz w:val="24"/>
          <w:szCs w:val="24"/>
          <w:u w:val="single"/>
        </w:rPr>
        <w:t xml:space="preserve"> Guardians</w:t>
      </w:r>
      <w:r w:rsidR="00F725DA">
        <w:rPr>
          <w:rFonts w:ascii="Arial" w:hAnsi="Arial" w:cs="Arial"/>
          <w:i/>
          <w:iCs/>
          <w:sz w:val="24"/>
          <w:szCs w:val="24"/>
          <w:u w:val="single"/>
        </w:rPr>
        <w:t xml:space="preserve"> and Administrators</w:t>
      </w:r>
    </w:p>
    <w:p w:rsidR="00754AAD" w:rsidRDefault="00754AAD" w:rsidP="0099107D">
      <w:pPr>
        <w:rPr>
          <w:rFonts w:ascii="Arial" w:hAnsi="Arial" w:cs="Arial"/>
          <w:sz w:val="24"/>
          <w:szCs w:val="24"/>
        </w:rPr>
      </w:pPr>
    </w:p>
    <w:p w:rsidR="00CD2B11" w:rsidRDefault="00CD2B11" w:rsidP="00CD2B11">
      <w:pPr>
        <w:pStyle w:val="ListParagraph"/>
        <w:numPr>
          <w:ilvl w:val="0"/>
          <w:numId w:val="8"/>
        </w:numPr>
        <w:rPr>
          <w:rFonts w:ascii="Arial" w:hAnsi="Arial" w:cs="Arial"/>
          <w:sz w:val="24"/>
          <w:szCs w:val="24"/>
        </w:rPr>
      </w:pPr>
      <w:r>
        <w:rPr>
          <w:rFonts w:ascii="Arial" w:hAnsi="Arial" w:cs="Arial"/>
          <w:sz w:val="24"/>
          <w:szCs w:val="24"/>
        </w:rPr>
        <w:t>Guardians</w:t>
      </w:r>
    </w:p>
    <w:p w:rsidR="00CD2B11" w:rsidRPr="00CD2B11" w:rsidRDefault="00CD2B11" w:rsidP="00CD2B11">
      <w:pPr>
        <w:ind w:left="360"/>
        <w:rPr>
          <w:rFonts w:ascii="Arial" w:hAnsi="Arial" w:cs="Arial"/>
          <w:sz w:val="24"/>
          <w:szCs w:val="24"/>
        </w:rPr>
      </w:pPr>
    </w:p>
    <w:p w:rsidR="00F725DA" w:rsidRPr="00AB31FD" w:rsidRDefault="0099107D" w:rsidP="00F725DA">
      <w:pPr>
        <w:spacing w:line="276" w:lineRule="auto"/>
        <w:rPr>
          <w:rFonts w:ascii="Arial" w:hAnsi="Arial" w:cs="Arial"/>
          <w:sz w:val="24"/>
          <w:szCs w:val="24"/>
        </w:rPr>
      </w:pPr>
      <w:r w:rsidRPr="00CD2B11">
        <w:rPr>
          <w:rFonts w:ascii="Arial" w:hAnsi="Arial" w:cs="Arial"/>
          <w:sz w:val="24"/>
          <w:szCs w:val="24"/>
        </w:rPr>
        <w:t xml:space="preserve">Empirical evidence suggests that </w:t>
      </w:r>
      <w:r w:rsidR="00754AAD" w:rsidRPr="00CD2B11">
        <w:rPr>
          <w:rFonts w:ascii="Arial" w:hAnsi="Arial" w:cs="Arial"/>
          <w:sz w:val="24"/>
          <w:szCs w:val="24"/>
        </w:rPr>
        <w:t>some G</w:t>
      </w:r>
      <w:r w:rsidRPr="00CD2B11">
        <w:rPr>
          <w:rFonts w:ascii="Arial" w:hAnsi="Arial" w:cs="Arial"/>
          <w:sz w:val="24"/>
          <w:szCs w:val="24"/>
        </w:rPr>
        <w:t xml:space="preserve">uardians tend to take </w:t>
      </w:r>
      <w:r w:rsidR="00754AAD" w:rsidRPr="00CD2B11">
        <w:rPr>
          <w:rFonts w:ascii="Arial" w:hAnsi="Arial" w:cs="Arial"/>
          <w:sz w:val="24"/>
          <w:szCs w:val="24"/>
        </w:rPr>
        <w:t>a</w:t>
      </w:r>
      <w:r w:rsidRPr="00CD2B11">
        <w:rPr>
          <w:rFonts w:ascii="Arial" w:hAnsi="Arial" w:cs="Arial"/>
          <w:sz w:val="24"/>
          <w:szCs w:val="24"/>
        </w:rPr>
        <w:t xml:space="preserve"> protective</w:t>
      </w:r>
      <w:r w:rsidR="00373AA7" w:rsidRPr="00CD2B11">
        <w:rPr>
          <w:rFonts w:ascii="Arial" w:hAnsi="Arial" w:cs="Arial"/>
          <w:sz w:val="24"/>
          <w:szCs w:val="24"/>
        </w:rPr>
        <w:t xml:space="preserve"> </w:t>
      </w:r>
      <w:proofErr w:type="gramStart"/>
      <w:r w:rsidR="00373AA7" w:rsidRPr="00CD2B11">
        <w:rPr>
          <w:rFonts w:ascii="Arial" w:hAnsi="Arial" w:cs="Arial"/>
          <w:sz w:val="24"/>
          <w:szCs w:val="24"/>
        </w:rPr>
        <w:t xml:space="preserve">and </w:t>
      </w:r>
      <w:r w:rsidRPr="00CD2B11">
        <w:rPr>
          <w:rFonts w:ascii="Arial" w:hAnsi="Arial" w:cs="Arial"/>
          <w:sz w:val="24"/>
          <w:szCs w:val="24"/>
        </w:rPr>
        <w:t xml:space="preserve"> interventionist</w:t>
      </w:r>
      <w:proofErr w:type="gramEnd"/>
      <w:r w:rsidRPr="00CD2B11">
        <w:rPr>
          <w:rFonts w:ascii="Arial" w:hAnsi="Arial" w:cs="Arial"/>
          <w:sz w:val="24"/>
          <w:szCs w:val="24"/>
        </w:rPr>
        <w:t xml:space="preserve"> line however as </w:t>
      </w:r>
      <w:r w:rsidR="00373AA7" w:rsidRPr="00CD2B11">
        <w:rPr>
          <w:rFonts w:ascii="Arial" w:hAnsi="Arial" w:cs="Arial"/>
          <w:sz w:val="24"/>
          <w:szCs w:val="24"/>
        </w:rPr>
        <w:t>G</w:t>
      </w:r>
      <w:r w:rsidRPr="00CD2B11">
        <w:rPr>
          <w:rFonts w:ascii="Arial" w:hAnsi="Arial" w:cs="Arial"/>
          <w:sz w:val="24"/>
          <w:szCs w:val="24"/>
        </w:rPr>
        <w:t>uardians come from a wide range of backgrounds some are more or less inclined to respect to an older person</w:t>
      </w:r>
      <w:r w:rsidR="00373AA7" w:rsidRPr="00CD2B11">
        <w:rPr>
          <w:rFonts w:ascii="Arial" w:hAnsi="Arial" w:cs="Arial"/>
          <w:sz w:val="24"/>
          <w:szCs w:val="24"/>
        </w:rPr>
        <w:t>’</w:t>
      </w:r>
      <w:r w:rsidRPr="00CD2B11">
        <w:rPr>
          <w:rFonts w:ascii="Arial" w:hAnsi="Arial" w:cs="Arial"/>
          <w:sz w:val="24"/>
          <w:szCs w:val="24"/>
        </w:rPr>
        <w:t xml:space="preserve">s </w:t>
      </w:r>
      <w:r w:rsidR="00373AA7" w:rsidRPr="00CD2B11">
        <w:rPr>
          <w:rFonts w:ascii="Arial" w:hAnsi="Arial" w:cs="Arial"/>
          <w:sz w:val="24"/>
          <w:szCs w:val="24"/>
        </w:rPr>
        <w:t>dignity of risk, b</w:t>
      </w:r>
      <w:r w:rsidRPr="00CD2B11">
        <w:rPr>
          <w:rFonts w:ascii="Arial" w:hAnsi="Arial" w:cs="Arial"/>
          <w:sz w:val="24"/>
          <w:szCs w:val="24"/>
        </w:rPr>
        <w:t>ut some are particularly risk averse and will make decisions completely inconsistent with the older person</w:t>
      </w:r>
      <w:r w:rsidR="00373AA7" w:rsidRPr="00CD2B11">
        <w:rPr>
          <w:rFonts w:ascii="Arial" w:hAnsi="Arial" w:cs="Arial"/>
          <w:sz w:val="24"/>
          <w:szCs w:val="24"/>
        </w:rPr>
        <w:t>’s</w:t>
      </w:r>
      <w:r w:rsidRPr="00CD2B11">
        <w:rPr>
          <w:rFonts w:ascii="Arial" w:hAnsi="Arial" w:cs="Arial"/>
          <w:sz w:val="24"/>
          <w:szCs w:val="24"/>
        </w:rPr>
        <w:t xml:space="preserve"> right of freedom of movement</w:t>
      </w:r>
      <w:r w:rsidR="00373AA7" w:rsidRPr="00CD2B11">
        <w:rPr>
          <w:rFonts w:ascii="Arial" w:hAnsi="Arial" w:cs="Arial"/>
          <w:sz w:val="24"/>
          <w:szCs w:val="24"/>
        </w:rPr>
        <w:t>, s</w:t>
      </w:r>
      <w:r w:rsidRPr="00CD2B11">
        <w:rPr>
          <w:rFonts w:ascii="Arial" w:hAnsi="Arial" w:cs="Arial"/>
          <w:sz w:val="24"/>
          <w:szCs w:val="24"/>
        </w:rPr>
        <w:t>uch as restricting their access to people who might give them information that they need to make essential decisions.</w:t>
      </w:r>
      <w:r w:rsidR="00F725DA">
        <w:rPr>
          <w:rFonts w:ascii="Arial" w:hAnsi="Arial" w:cs="Arial"/>
          <w:sz w:val="24"/>
          <w:szCs w:val="24"/>
        </w:rPr>
        <w:t xml:space="preserve"> See the case of Irma (above) </w:t>
      </w:r>
      <w:r w:rsidR="00F725DA" w:rsidRPr="00AB31FD">
        <w:rPr>
          <w:rFonts w:ascii="Arial" w:hAnsi="Arial" w:cs="Arial"/>
          <w:sz w:val="24"/>
          <w:szCs w:val="24"/>
        </w:rPr>
        <w:t xml:space="preserve">   </w:t>
      </w:r>
    </w:p>
    <w:p w:rsidR="00373AA7" w:rsidRDefault="00373AA7" w:rsidP="007A5C9E">
      <w:pPr>
        <w:rPr>
          <w:rFonts w:ascii="Arial" w:hAnsi="Arial" w:cs="Arial"/>
          <w:sz w:val="24"/>
          <w:szCs w:val="24"/>
        </w:rPr>
      </w:pPr>
    </w:p>
    <w:p w:rsidR="00373AA7" w:rsidRDefault="00CD2B11" w:rsidP="007A5C9E">
      <w:pPr>
        <w:pStyle w:val="ListParagraph"/>
        <w:numPr>
          <w:ilvl w:val="0"/>
          <w:numId w:val="8"/>
        </w:numPr>
        <w:ind w:left="0" w:firstLine="0"/>
        <w:rPr>
          <w:rFonts w:ascii="Arial" w:hAnsi="Arial" w:cs="Arial"/>
          <w:sz w:val="24"/>
          <w:szCs w:val="24"/>
        </w:rPr>
      </w:pPr>
      <w:r>
        <w:rPr>
          <w:rFonts w:ascii="Arial" w:hAnsi="Arial" w:cs="Arial"/>
          <w:sz w:val="24"/>
          <w:szCs w:val="24"/>
        </w:rPr>
        <w:t xml:space="preserve">Administrators </w:t>
      </w:r>
    </w:p>
    <w:p w:rsidR="00CD2B11" w:rsidRPr="00CD2B11" w:rsidRDefault="00CD2B11" w:rsidP="007A5C9E">
      <w:pPr>
        <w:rPr>
          <w:rFonts w:ascii="Arial" w:hAnsi="Arial" w:cs="Arial"/>
          <w:sz w:val="24"/>
          <w:szCs w:val="24"/>
        </w:rPr>
      </w:pPr>
    </w:p>
    <w:p w:rsidR="007F1887" w:rsidRPr="00CD2B11" w:rsidRDefault="00373AA7" w:rsidP="007A5C9E">
      <w:pPr>
        <w:rPr>
          <w:rFonts w:ascii="Arial" w:hAnsi="Arial" w:cs="Arial"/>
          <w:sz w:val="24"/>
          <w:szCs w:val="24"/>
        </w:rPr>
      </w:pPr>
      <w:r w:rsidRPr="00CD2B11">
        <w:rPr>
          <w:rFonts w:ascii="Arial" w:hAnsi="Arial" w:cs="Arial"/>
          <w:sz w:val="24"/>
          <w:szCs w:val="24"/>
        </w:rPr>
        <w:t>Professional A</w:t>
      </w:r>
      <w:r w:rsidR="0099107D" w:rsidRPr="00CD2B11">
        <w:rPr>
          <w:rFonts w:ascii="Arial" w:hAnsi="Arial" w:cs="Arial"/>
          <w:sz w:val="24"/>
          <w:szCs w:val="24"/>
        </w:rPr>
        <w:t xml:space="preserve">dministrators are entitled to charge </w:t>
      </w:r>
      <w:r w:rsidRPr="00CD2B11">
        <w:rPr>
          <w:rFonts w:ascii="Arial" w:hAnsi="Arial" w:cs="Arial"/>
          <w:sz w:val="24"/>
          <w:szCs w:val="24"/>
        </w:rPr>
        <w:t xml:space="preserve">fees </w:t>
      </w:r>
      <w:r w:rsidR="0099107D" w:rsidRPr="00CD2B11">
        <w:rPr>
          <w:rFonts w:ascii="Arial" w:hAnsi="Arial" w:cs="Arial"/>
          <w:sz w:val="24"/>
          <w:szCs w:val="24"/>
        </w:rPr>
        <w:t xml:space="preserve">and can charge </w:t>
      </w:r>
      <w:r w:rsidRPr="00CD2B11">
        <w:rPr>
          <w:rFonts w:ascii="Arial" w:hAnsi="Arial" w:cs="Arial"/>
          <w:sz w:val="24"/>
          <w:szCs w:val="24"/>
        </w:rPr>
        <w:t xml:space="preserve">as much as </w:t>
      </w:r>
      <w:r w:rsidR="0099107D" w:rsidRPr="00CD2B11">
        <w:rPr>
          <w:rFonts w:ascii="Arial" w:hAnsi="Arial" w:cs="Arial"/>
          <w:sz w:val="24"/>
          <w:szCs w:val="24"/>
        </w:rPr>
        <w:t>4% of capital value</w:t>
      </w:r>
      <w:r w:rsidRPr="00CD2B11">
        <w:rPr>
          <w:rFonts w:ascii="Arial" w:hAnsi="Arial" w:cs="Arial"/>
          <w:sz w:val="24"/>
          <w:szCs w:val="24"/>
        </w:rPr>
        <w:t xml:space="preserve"> </w:t>
      </w:r>
      <w:r w:rsidR="007F1887" w:rsidRPr="00CD2B11">
        <w:rPr>
          <w:rFonts w:ascii="Arial" w:hAnsi="Arial" w:cs="Arial"/>
          <w:sz w:val="24"/>
          <w:szCs w:val="24"/>
        </w:rPr>
        <w:t>(</w:t>
      </w:r>
      <w:r w:rsidRPr="00CD2B11">
        <w:rPr>
          <w:rFonts w:ascii="Arial" w:hAnsi="Arial" w:cs="Arial"/>
          <w:sz w:val="24"/>
          <w:szCs w:val="24"/>
        </w:rPr>
        <w:t>excluding real property</w:t>
      </w:r>
      <w:proofErr w:type="gramStart"/>
      <w:r w:rsidR="007F1887" w:rsidRPr="00CD2B11">
        <w:rPr>
          <w:rFonts w:ascii="Arial" w:hAnsi="Arial" w:cs="Arial"/>
          <w:sz w:val="24"/>
          <w:szCs w:val="24"/>
        </w:rPr>
        <w:t>)</w:t>
      </w:r>
      <w:r w:rsidRPr="00CD2B11">
        <w:rPr>
          <w:rFonts w:ascii="Arial" w:hAnsi="Arial" w:cs="Arial"/>
          <w:sz w:val="24"/>
          <w:szCs w:val="24"/>
        </w:rPr>
        <w:t xml:space="preserve"> </w:t>
      </w:r>
      <w:r w:rsidR="0099107D" w:rsidRPr="00CD2B11">
        <w:rPr>
          <w:rFonts w:ascii="Arial" w:hAnsi="Arial" w:cs="Arial"/>
          <w:sz w:val="24"/>
          <w:szCs w:val="24"/>
        </w:rPr>
        <w:t xml:space="preserve"> per</w:t>
      </w:r>
      <w:proofErr w:type="gramEnd"/>
      <w:r w:rsidR="0099107D" w:rsidRPr="00CD2B11">
        <w:rPr>
          <w:rFonts w:ascii="Arial" w:hAnsi="Arial" w:cs="Arial"/>
          <w:sz w:val="24"/>
          <w:szCs w:val="24"/>
        </w:rPr>
        <w:t xml:space="preserve"> year. </w:t>
      </w:r>
      <w:r w:rsidRPr="00CD2B11">
        <w:rPr>
          <w:rFonts w:ascii="Arial" w:hAnsi="Arial" w:cs="Arial"/>
          <w:sz w:val="24"/>
          <w:szCs w:val="24"/>
        </w:rPr>
        <w:t xml:space="preserve"> In very few cases the represented person</w:t>
      </w:r>
      <w:r w:rsidR="007F1887" w:rsidRPr="00CD2B11">
        <w:rPr>
          <w:rFonts w:ascii="Arial" w:hAnsi="Arial" w:cs="Arial"/>
          <w:sz w:val="24"/>
          <w:szCs w:val="24"/>
        </w:rPr>
        <w:t xml:space="preserve"> under administration </w:t>
      </w:r>
      <w:r w:rsidRPr="00CD2B11">
        <w:rPr>
          <w:rFonts w:ascii="Arial" w:hAnsi="Arial" w:cs="Arial"/>
          <w:sz w:val="24"/>
          <w:szCs w:val="24"/>
        </w:rPr>
        <w:t xml:space="preserve">holds </w:t>
      </w:r>
      <w:r w:rsidR="007F1887" w:rsidRPr="00CD2B11">
        <w:rPr>
          <w:rFonts w:ascii="Arial" w:hAnsi="Arial" w:cs="Arial"/>
          <w:sz w:val="24"/>
          <w:szCs w:val="24"/>
        </w:rPr>
        <w:t xml:space="preserve">a </w:t>
      </w:r>
      <w:r w:rsidRPr="00CD2B11">
        <w:rPr>
          <w:rFonts w:ascii="Arial" w:hAnsi="Arial" w:cs="Arial"/>
          <w:sz w:val="24"/>
          <w:szCs w:val="24"/>
        </w:rPr>
        <w:t xml:space="preserve">large </w:t>
      </w:r>
      <w:proofErr w:type="gramStart"/>
      <w:r w:rsidRPr="00CD2B11">
        <w:rPr>
          <w:rFonts w:ascii="Arial" w:hAnsi="Arial" w:cs="Arial"/>
          <w:sz w:val="24"/>
          <w:szCs w:val="24"/>
        </w:rPr>
        <w:t>fortune  but</w:t>
      </w:r>
      <w:proofErr w:type="gramEnd"/>
      <w:r w:rsidRPr="00CD2B11">
        <w:rPr>
          <w:rFonts w:ascii="Arial" w:hAnsi="Arial" w:cs="Arial"/>
          <w:sz w:val="24"/>
          <w:szCs w:val="24"/>
        </w:rPr>
        <w:t xml:space="preserve"> evidence exists that when they do</w:t>
      </w:r>
      <w:r w:rsidR="007F1887" w:rsidRPr="00CD2B11">
        <w:rPr>
          <w:rFonts w:ascii="Arial" w:hAnsi="Arial" w:cs="Arial"/>
          <w:sz w:val="24"/>
          <w:szCs w:val="24"/>
        </w:rPr>
        <w:t xml:space="preserve"> have substantial assets</w:t>
      </w:r>
      <w:r w:rsidRPr="00CD2B11">
        <w:rPr>
          <w:rFonts w:ascii="Arial" w:hAnsi="Arial" w:cs="Arial"/>
          <w:sz w:val="24"/>
          <w:szCs w:val="24"/>
        </w:rPr>
        <w:t xml:space="preserve">, there is a tendency for real property to be sold rather than maintained as per the older person’s wishes </w:t>
      </w:r>
      <w:r w:rsidR="007F1887" w:rsidRPr="00CD2B11">
        <w:rPr>
          <w:rFonts w:ascii="Arial" w:hAnsi="Arial" w:cs="Arial"/>
          <w:sz w:val="24"/>
          <w:szCs w:val="24"/>
        </w:rPr>
        <w:t xml:space="preserve">and property </w:t>
      </w:r>
      <w:r w:rsidR="0099107D" w:rsidRPr="00CD2B11">
        <w:rPr>
          <w:rFonts w:ascii="Arial" w:hAnsi="Arial" w:cs="Arial"/>
          <w:sz w:val="24"/>
          <w:szCs w:val="24"/>
        </w:rPr>
        <w:t>investments being re</w:t>
      </w:r>
      <w:r w:rsidRPr="00CD2B11">
        <w:rPr>
          <w:rFonts w:ascii="Arial" w:hAnsi="Arial" w:cs="Arial"/>
          <w:sz w:val="24"/>
          <w:szCs w:val="24"/>
        </w:rPr>
        <w:t>duced to cash</w:t>
      </w:r>
      <w:r w:rsidR="007F1887" w:rsidRPr="00CD2B11">
        <w:rPr>
          <w:rFonts w:ascii="Arial" w:hAnsi="Arial" w:cs="Arial"/>
          <w:sz w:val="24"/>
          <w:szCs w:val="24"/>
        </w:rPr>
        <w:t xml:space="preserve">, thus being available to be calculated in the fee. </w:t>
      </w:r>
      <w:r w:rsidRPr="00CD2B11">
        <w:rPr>
          <w:rFonts w:ascii="Arial" w:hAnsi="Arial" w:cs="Arial"/>
          <w:sz w:val="24"/>
          <w:szCs w:val="24"/>
        </w:rPr>
        <w:t>Insufficient attention is</w:t>
      </w:r>
      <w:r w:rsidR="007F1887" w:rsidRPr="00CD2B11">
        <w:rPr>
          <w:rFonts w:ascii="Arial" w:hAnsi="Arial" w:cs="Arial"/>
          <w:sz w:val="24"/>
          <w:szCs w:val="24"/>
        </w:rPr>
        <w:t xml:space="preserve"> paid to investing such cash </w:t>
      </w:r>
      <w:proofErr w:type="gramStart"/>
      <w:r w:rsidR="007F1887" w:rsidRPr="00CD2B11">
        <w:rPr>
          <w:rFonts w:ascii="Arial" w:hAnsi="Arial" w:cs="Arial"/>
          <w:sz w:val="24"/>
          <w:szCs w:val="24"/>
        </w:rPr>
        <w:t>in  superannuation</w:t>
      </w:r>
      <w:proofErr w:type="gramEnd"/>
      <w:r w:rsidR="007F1887" w:rsidRPr="00CD2B11">
        <w:rPr>
          <w:rFonts w:ascii="Arial" w:hAnsi="Arial" w:cs="Arial"/>
          <w:sz w:val="24"/>
          <w:szCs w:val="24"/>
        </w:rPr>
        <w:t xml:space="preserve">, which would be more tax effective.  </w:t>
      </w:r>
    </w:p>
    <w:p w:rsidR="007F1887" w:rsidRDefault="007F1887" w:rsidP="0099107D">
      <w:pPr>
        <w:rPr>
          <w:rFonts w:ascii="Arial" w:hAnsi="Arial" w:cs="Arial"/>
          <w:sz w:val="24"/>
          <w:szCs w:val="24"/>
        </w:rPr>
      </w:pPr>
    </w:p>
    <w:p w:rsidR="001D66D7" w:rsidRDefault="007F1887" w:rsidP="0099107D">
      <w:pPr>
        <w:rPr>
          <w:rFonts w:ascii="Arial" w:hAnsi="Arial" w:cs="Arial"/>
          <w:sz w:val="24"/>
          <w:szCs w:val="24"/>
        </w:rPr>
      </w:pPr>
      <w:r w:rsidRPr="001D66D7">
        <w:rPr>
          <w:rFonts w:ascii="Arial" w:hAnsi="Arial" w:cs="Arial"/>
          <w:sz w:val="24"/>
          <w:szCs w:val="24"/>
        </w:rPr>
        <w:t xml:space="preserve">Represented persons also </w:t>
      </w:r>
      <w:r w:rsidR="001D66D7" w:rsidRPr="001D66D7">
        <w:rPr>
          <w:rFonts w:ascii="Arial" w:hAnsi="Arial" w:cs="Arial"/>
          <w:sz w:val="24"/>
          <w:szCs w:val="24"/>
        </w:rPr>
        <w:t xml:space="preserve">report </w:t>
      </w:r>
      <w:r w:rsidRPr="001D66D7">
        <w:rPr>
          <w:rFonts w:ascii="Arial" w:hAnsi="Arial" w:cs="Arial"/>
          <w:sz w:val="24"/>
          <w:szCs w:val="24"/>
        </w:rPr>
        <w:t>difficulty with the mechanics of releas</w:t>
      </w:r>
      <w:r w:rsidR="001D66D7" w:rsidRPr="001D66D7">
        <w:rPr>
          <w:rFonts w:ascii="Arial" w:hAnsi="Arial" w:cs="Arial"/>
          <w:sz w:val="24"/>
          <w:szCs w:val="24"/>
        </w:rPr>
        <w:t xml:space="preserve">e of </w:t>
      </w:r>
      <w:r w:rsidRPr="001D66D7">
        <w:rPr>
          <w:rFonts w:ascii="Arial" w:hAnsi="Arial" w:cs="Arial"/>
          <w:sz w:val="24"/>
          <w:szCs w:val="24"/>
        </w:rPr>
        <w:t xml:space="preserve">funds </w:t>
      </w:r>
      <w:r w:rsidR="001D66D7" w:rsidRPr="001D66D7">
        <w:rPr>
          <w:rFonts w:ascii="Arial" w:hAnsi="Arial" w:cs="Arial"/>
          <w:sz w:val="24"/>
          <w:szCs w:val="24"/>
        </w:rPr>
        <w:t>by t</w:t>
      </w:r>
      <w:r w:rsidRPr="001D66D7">
        <w:rPr>
          <w:rFonts w:ascii="Arial" w:hAnsi="Arial" w:cs="Arial"/>
          <w:sz w:val="24"/>
          <w:szCs w:val="24"/>
        </w:rPr>
        <w:t>he professional Administrator as there is sometimes a reluctance to make cash available. In these circumstances and in order to make a purchase</w:t>
      </w:r>
      <w:r w:rsidR="001D66D7">
        <w:rPr>
          <w:rFonts w:ascii="Arial" w:hAnsi="Arial" w:cs="Arial"/>
          <w:sz w:val="24"/>
          <w:szCs w:val="24"/>
        </w:rPr>
        <w:t xml:space="preserve"> of</w:t>
      </w:r>
      <w:r w:rsidR="001D66D7" w:rsidRPr="001D66D7">
        <w:rPr>
          <w:rFonts w:ascii="Arial" w:hAnsi="Arial" w:cs="Arial"/>
          <w:sz w:val="24"/>
          <w:szCs w:val="24"/>
        </w:rPr>
        <w:t xml:space="preserve"> for example a new bed, </w:t>
      </w:r>
      <w:r>
        <w:rPr>
          <w:rFonts w:ascii="Arial" w:hAnsi="Arial" w:cs="Arial"/>
          <w:sz w:val="24"/>
          <w:szCs w:val="24"/>
        </w:rPr>
        <w:t>the represented person must</w:t>
      </w:r>
      <w:r w:rsidR="001D66D7">
        <w:rPr>
          <w:rFonts w:ascii="Arial" w:hAnsi="Arial" w:cs="Arial"/>
          <w:sz w:val="24"/>
          <w:szCs w:val="24"/>
        </w:rPr>
        <w:t>:</w:t>
      </w:r>
    </w:p>
    <w:p w:rsidR="00B03F2D" w:rsidRDefault="00B03F2D" w:rsidP="0099107D">
      <w:pPr>
        <w:rPr>
          <w:rFonts w:ascii="Arial" w:hAnsi="Arial" w:cs="Arial"/>
          <w:sz w:val="24"/>
          <w:szCs w:val="24"/>
        </w:rPr>
      </w:pPr>
    </w:p>
    <w:p w:rsidR="001D66D7" w:rsidRPr="001D66D7" w:rsidRDefault="007F1887" w:rsidP="001D66D7">
      <w:pPr>
        <w:pStyle w:val="ListParagraph"/>
        <w:numPr>
          <w:ilvl w:val="0"/>
          <w:numId w:val="12"/>
        </w:numPr>
        <w:rPr>
          <w:rFonts w:ascii="Arial" w:hAnsi="Arial" w:cs="Arial"/>
          <w:sz w:val="24"/>
          <w:szCs w:val="24"/>
        </w:rPr>
      </w:pPr>
      <w:r w:rsidRPr="001D66D7">
        <w:rPr>
          <w:rFonts w:ascii="Arial" w:hAnsi="Arial" w:cs="Arial"/>
          <w:sz w:val="24"/>
          <w:szCs w:val="24"/>
        </w:rPr>
        <w:t>visit a trader</w:t>
      </w:r>
    </w:p>
    <w:p w:rsidR="001D66D7" w:rsidRDefault="007F1887" w:rsidP="001D66D7">
      <w:pPr>
        <w:pStyle w:val="ListParagraph"/>
        <w:numPr>
          <w:ilvl w:val="0"/>
          <w:numId w:val="12"/>
        </w:numPr>
        <w:rPr>
          <w:rFonts w:ascii="Arial" w:hAnsi="Arial" w:cs="Arial"/>
          <w:sz w:val="24"/>
          <w:szCs w:val="24"/>
        </w:rPr>
      </w:pPr>
      <w:r w:rsidRPr="001D66D7">
        <w:rPr>
          <w:rFonts w:ascii="Arial" w:hAnsi="Arial" w:cs="Arial"/>
          <w:sz w:val="24"/>
          <w:szCs w:val="24"/>
        </w:rPr>
        <w:t xml:space="preserve">negotiate a contract to purchase, </w:t>
      </w:r>
    </w:p>
    <w:p w:rsidR="001D66D7" w:rsidRPr="001D66D7" w:rsidRDefault="007F1887" w:rsidP="001D66D7">
      <w:pPr>
        <w:pStyle w:val="ListParagraph"/>
        <w:numPr>
          <w:ilvl w:val="0"/>
          <w:numId w:val="12"/>
        </w:numPr>
        <w:rPr>
          <w:rFonts w:ascii="Arial" w:hAnsi="Arial" w:cs="Arial"/>
          <w:sz w:val="24"/>
          <w:szCs w:val="24"/>
        </w:rPr>
      </w:pPr>
      <w:r w:rsidRPr="001D66D7">
        <w:rPr>
          <w:rFonts w:ascii="Arial" w:hAnsi="Arial" w:cs="Arial"/>
          <w:sz w:val="24"/>
          <w:szCs w:val="24"/>
        </w:rPr>
        <w:t>request and obtain a tax invoice from the trader</w:t>
      </w:r>
      <w:r w:rsidR="001D66D7" w:rsidRPr="001D66D7">
        <w:rPr>
          <w:rFonts w:ascii="Arial" w:hAnsi="Arial" w:cs="Arial"/>
          <w:sz w:val="24"/>
          <w:szCs w:val="24"/>
        </w:rPr>
        <w:t>,</w:t>
      </w:r>
      <w:r w:rsidRPr="001D66D7">
        <w:rPr>
          <w:rFonts w:ascii="Arial" w:hAnsi="Arial" w:cs="Arial"/>
          <w:sz w:val="24"/>
          <w:szCs w:val="24"/>
        </w:rPr>
        <w:t xml:space="preserve"> and then </w:t>
      </w:r>
    </w:p>
    <w:p w:rsidR="001D66D7" w:rsidRDefault="007F1887" w:rsidP="001D66D7">
      <w:pPr>
        <w:pStyle w:val="ListParagraph"/>
        <w:numPr>
          <w:ilvl w:val="0"/>
          <w:numId w:val="12"/>
        </w:numPr>
        <w:rPr>
          <w:rFonts w:ascii="Arial" w:hAnsi="Arial" w:cs="Arial"/>
          <w:sz w:val="24"/>
          <w:szCs w:val="24"/>
        </w:rPr>
      </w:pPr>
      <w:r w:rsidRPr="001D66D7">
        <w:rPr>
          <w:rFonts w:ascii="Arial" w:hAnsi="Arial" w:cs="Arial"/>
          <w:sz w:val="24"/>
          <w:szCs w:val="24"/>
        </w:rPr>
        <w:t xml:space="preserve">ask the Administrator to pay the </w:t>
      </w:r>
      <w:r w:rsidR="001D66D7">
        <w:rPr>
          <w:rFonts w:ascii="Arial" w:hAnsi="Arial" w:cs="Arial"/>
          <w:sz w:val="24"/>
          <w:szCs w:val="24"/>
        </w:rPr>
        <w:t xml:space="preserve">tax </w:t>
      </w:r>
      <w:r w:rsidRPr="001D66D7">
        <w:rPr>
          <w:rFonts w:ascii="Arial" w:hAnsi="Arial" w:cs="Arial"/>
          <w:sz w:val="24"/>
          <w:szCs w:val="24"/>
        </w:rPr>
        <w:t>invoice and then</w:t>
      </w:r>
    </w:p>
    <w:p w:rsidR="007F1887" w:rsidRPr="001D66D7" w:rsidRDefault="007F1887" w:rsidP="001D66D7">
      <w:pPr>
        <w:pStyle w:val="ListParagraph"/>
        <w:numPr>
          <w:ilvl w:val="0"/>
          <w:numId w:val="12"/>
        </w:numPr>
        <w:rPr>
          <w:rFonts w:ascii="Arial" w:hAnsi="Arial" w:cs="Arial"/>
          <w:sz w:val="24"/>
          <w:szCs w:val="24"/>
        </w:rPr>
      </w:pPr>
      <w:proofErr w:type="gramStart"/>
      <w:r w:rsidRPr="001D66D7">
        <w:rPr>
          <w:rFonts w:ascii="Arial" w:hAnsi="Arial" w:cs="Arial"/>
          <w:sz w:val="24"/>
          <w:szCs w:val="24"/>
        </w:rPr>
        <w:t>arrange</w:t>
      </w:r>
      <w:proofErr w:type="gramEnd"/>
      <w:r w:rsidRPr="001D66D7">
        <w:rPr>
          <w:rFonts w:ascii="Arial" w:hAnsi="Arial" w:cs="Arial"/>
          <w:sz w:val="24"/>
          <w:szCs w:val="24"/>
        </w:rPr>
        <w:t xml:space="preserve"> to collect the item.  </w:t>
      </w:r>
      <w:r w:rsidR="00373AA7" w:rsidRPr="001D66D7">
        <w:rPr>
          <w:rFonts w:ascii="Arial" w:hAnsi="Arial" w:cs="Arial"/>
          <w:sz w:val="24"/>
          <w:szCs w:val="24"/>
        </w:rPr>
        <w:t xml:space="preserve"> </w:t>
      </w:r>
      <w:r w:rsidR="0099107D" w:rsidRPr="001D66D7">
        <w:rPr>
          <w:rFonts w:ascii="Arial" w:hAnsi="Arial" w:cs="Arial"/>
          <w:sz w:val="24"/>
          <w:szCs w:val="24"/>
        </w:rPr>
        <w:t xml:space="preserve"> </w:t>
      </w:r>
    </w:p>
    <w:p w:rsidR="007F1887" w:rsidRDefault="007F1887" w:rsidP="0099107D">
      <w:pPr>
        <w:rPr>
          <w:rFonts w:ascii="Arial" w:hAnsi="Arial" w:cs="Arial"/>
          <w:sz w:val="24"/>
          <w:szCs w:val="24"/>
        </w:rPr>
      </w:pPr>
    </w:p>
    <w:p w:rsidR="001D66D7" w:rsidRDefault="001D66D7" w:rsidP="0099107D">
      <w:pPr>
        <w:rPr>
          <w:rFonts w:ascii="Arial" w:hAnsi="Arial" w:cs="Arial"/>
          <w:sz w:val="24"/>
          <w:szCs w:val="24"/>
        </w:rPr>
      </w:pPr>
      <w:r>
        <w:rPr>
          <w:rFonts w:ascii="Arial" w:hAnsi="Arial" w:cs="Arial"/>
          <w:sz w:val="24"/>
          <w:szCs w:val="24"/>
        </w:rPr>
        <w:t>Not all represented person are able to manage this.</w:t>
      </w:r>
    </w:p>
    <w:p w:rsidR="001D66D7" w:rsidRDefault="001D66D7" w:rsidP="0099107D">
      <w:pPr>
        <w:rPr>
          <w:rFonts w:ascii="Arial" w:hAnsi="Arial" w:cs="Arial"/>
          <w:sz w:val="24"/>
          <w:szCs w:val="24"/>
        </w:rPr>
      </w:pPr>
    </w:p>
    <w:p w:rsidR="0099107D" w:rsidRPr="0099107D" w:rsidRDefault="007F1887" w:rsidP="0099107D">
      <w:pPr>
        <w:rPr>
          <w:rFonts w:ascii="Arial" w:hAnsi="Arial" w:cs="Arial"/>
          <w:sz w:val="24"/>
          <w:szCs w:val="24"/>
        </w:rPr>
      </w:pPr>
      <w:r>
        <w:rPr>
          <w:rFonts w:ascii="Arial" w:hAnsi="Arial" w:cs="Arial"/>
          <w:sz w:val="24"/>
          <w:szCs w:val="24"/>
        </w:rPr>
        <w:lastRenderedPageBreak/>
        <w:t xml:space="preserve">There </w:t>
      </w:r>
      <w:r w:rsidR="00196E11">
        <w:rPr>
          <w:rFonts w:ascii="Arial" w:hAnsi="Arial" w:cs="Arial"/>
          <w:sz w:val="24"/>
          <w:szCs w:val="24"/>
        </w:rPr>
        <w:t xml:space="preserve">is also </w:t>
      </w:r>
      <w:r w:rsidR="001D66D7">
        <w:rPr>
          <w:rFonts w:ascii="Arial" w:hAnsi="Arial" w:cs="Arial"/>
          <w:sz w:val="24"/>
          <w:szCs w:val="24"/>
        </w:rPr>
        <w:t>the notorious case</w:t>
      </w:r>
      <w:r w:rsidR="00AB173D">
        <w:rPr>
          <w:rStyle w:val="FootnoteReference"/>
          <w:rFonts w:ascii="Arial" w:hAnsi="Arial" w:cs="Arial"/>
          <w:sz w:val="24"/>
          <w:szCs w:val="24"/>
        </w:rPr>
        <w:footnoteReference w:id="30"/>
      </w:r>
      <w:r w:rsidR="00196E11">
        <w:rPr>
          <w:rFonts w:ascii="Arial" w:hAnsi="Arial" w:cs="Arial"/>
          <w:sz w:val="24"/>
          <w:szCs w:val="24"/>
        </w:rPr>
        <w:t xml:space="preserve"> of a social worker resorting to </w:t>
      </w:r>
      <w:r>
        <w:rPr>
          <w:rFonts w:ascii="Arial" w:hAnsi="Arial" w:cs="Arial"/>
          <w:sz w:val="24"/>
          <w:szCs w:val="24"/>
        </w:rPr>
        <w:t xml:space="preserve">the </w:t>
      </w:r>
      <w:r w:rsidR="00196E11">
        <w:rPr>
          <w:rFonts w:ascii="Arial" w:hAnsi="Arial" w:cs="Arial"/>
          <w:sz w:val="24"/>
          <w:szCs w:val="24"/>
        </w:rPr>
        <w:t xml:space="preserve">attempted </w:t>
      </w:r>
      <w:r>
        <w:rPr>
          <w:rFonts w:ascii="Arial" w:hAnsi="Arial" w:cs="Arial"/>
          <w:sz w:val="24"/>
          <w:szCs w:val="24"/>
        </w:rPr>
        <w:t xml:space="preserve">use of </w:t>
      </w:r>
      <w:r w:rsidR="00196E11">
        <w:rPr>
          <w:rFonts w:ascii="Arial" w:hAnsi="Arial" w:cs="Arial"/>
          <w:sz w:val="24"/>
          <w:szCs w:val="24"/>
        </w:rPr>
        <w:t xml:space="preserve">an Administration Order </w:t>
      </w:r>
      <w:r w:rsidR="00AB173D">
        <w:rPr>
          <w:rFonts w:ascii="Arial" w:hAnsi="Arial" w:cs="Arial"/>
          <w:sz w:val="24"/>
          <w:szCs w:val="24"/>
        </w:rPr>
        <w:t>(</w:t>
      </w:r>
      <w:r w:rsidR="00084429">
        <w:rPr>
          <w:rFonts w:ascii="Arial" w:hAnsi="Arial" w:cs="Arial"/>
          <w:sz w:val="24"/>
          <w:szCs w:val="24"/>
        </w:rPr>
        <w:t>with support of a professional Administrator</w:t>
      </w:r>
      <w:r w:rsidR="00AB173D">
        <w:rPr>
          <w:rFonts w:ascii="Arial" w:hAnsi="Arial" w:cs="Arial"/>
          <w:sz w:val="24"/>
          <w:szCs w:val="24"/>
        </w:rPr>
        <w:t xml:space="preserve">) </w:t>
      </w:r>
      <w:r w:rsidR="0099107D" w:rsidRPr="0099107D">
        <w:rPr>
          <w:rFonts w:ascii="Arial" w:hAnsi="Arial" w:cs="Arial"/>
          <w:sz w:val="24"/>
          <w:szCs w:val="24"/>
        </w:rPr>
        <w:t>to</w:t>
      </w:r>
      <w:r w:rsidR="00084429">
        <w:rPr>
          <w:rFonts w:ascii="Arial" w:hAnsi="Arial" w:cs="Arial"/>
          <w:sz w:val="24"/>
          <w:szCs w:val="24"/>
        </w:rPr>
        <w:t xml:space="preserve"> </w:t>
      </w:r>
      <w:proofErr w:type="gramStart"/>
      <w:r w:rsidR="00196E11">
        <w:rPr>
          <w:rFonts w:ascii="Arial" w:hAnsi="Arial" w:cs="Arial"/>
          <w:sz w:val="24"/>
          <w:szCs w:val="24"/>
        </w:rPr>
        <w:t>forc</w:t>
      </w:r>
      <w:r w:rsidR="00084429">
        <w:rPr>
          <w:rFonts w:ascii="Arial" w:hAnsi="Arial" w:cs="Arial"/>
          <w:sz w:val="24"/>
          <w:szCs w:val="24"/>
        </w:rPr>
        <w:t xml:space="preserve">e </w:t>
      </w:r>
      <w:r w:rsidR="00196E11">
        <w:rPr>
          <w:rFonts w:ascii="Arial" w:hAnsi="Arial" w:cs="Arial"/>
          <w:sz w:val="24"/>
          <w:szCs w:val="24"/>
        </w:rPr>
        <w:t xml:space="preserve"> the</w:t>
      </w:r>
      <w:proofErr w:type="gramEnd"/>
      <w:r w:rsidR="00196E11">
        <w:rPr>
          <w:rFonts w:ascii="Arial" w:hAnsi="Arial" w:cs="Arial"/>
          <w:sz w:val="24"/>
          <w:szCs w:val="24"/>
        </w:rPr>
        <w:t xml:space="preserve"> sale of </w:t>
      </w:r>
      <w:r w:rsidR="00AB173D">
        <w:rPr>
          <w:rFonts w:ascii="Arial" w:hAnsi="Arial" w:cs="Arial"/>
          <w:sz w:val="24"/>
          <w:szCs w:val="24"/>
        </w:rPr>
        <w:t xml:space="preserve">a represented person’s </w:t>
      </w:r>
      <w:r w:rsidR="00196E11">
        <w:rPr>
          <w:rFonts w:ascii="Arial" w:hAnsi="Arial" w:cs="Arial"/>
          <w:sz w:val="24"/>
          <w:szCs w:val="24"/>
        </w:rPr>
        <w:t xml:space="preserve"> home i</w:t>
      </w:r>
      <w:r w:rsidR="0099107D" w:rsidRPr="0099107D">
        <w:rPr>
          <w:rFonts w:ascii="Arial" w:hAnsi="Arial" w:cs="Arial"/>
          <w:sz w:val="24"/>
          <w:szCs w:val="24"/>
        </w:rPr>
        <w:t xml:space="preserve">n order to ensure that </w:t>
      </w:r>
      <w:r w:rsidR="00084429">
        <w:rPr>
          <w:rFonts w:ascii="Arial" w:hAnsi="Arial" w:cs="Arial"/>
          <w:sz w:val="24"/>
          <w:szCs w:val="24"/>
        </w:rPr>
        <w:t xml:space="preserve">the </w:t>
      </w:r>
      <w:r w:rsidR="00196E11">
        <w:rPr>
          <w:rFonts w:ascii="Arial" w:hAnsi="Arial" w:cs="Arial"/>
          <w:sz w:val="24"/>
          <w:szCs w:val="24"/>
        </w:rPr>
        <w:t xml:space="preserve">represented </w:t>
      </w:r>
      <w:r w:rsidR="0099107D" w:rsidRPr="0099107D">
        <w:rPr>
          <w:rFonts w:ascii="Arial" w:hAnsi="Arial" w:cs="Arial"/>
          <w:sz w:val="24"/>
          <w:szCs w:val="24"/>
        </w:rPr>
        <w:t xml:space="preserve">person could not </w:t>
      </w:r>
      <w:r w:rsidR="00196E11">
        <w:rPr>
          <w:rFonts w:ascii="Arial" w:hAnsi="Arial" w:cs="Arial"/>
          <w:sz w:val="24"/>
          <w:szCs w:val="24"/>
        </w:rPr>
        <w:t xml:space="preserve">ever return  </w:t>
      </w:r>
      <w:r w:rsidR="00AB173D">
        <w:rPr>
          <w:rFonts w:ascii="Arial" w:hAnsi="Arial" w:cs="Arial"/>
          <w:sz w:val="24"/>
          <w:szCs w:val="24"/>
        </w:rPr>
        <w:t>there,</w:t>
      </w:r>
      <w:r w:rsidR="00084429">
        <w:rPr>
          <w:rFonts w:ascii="Arial" w:hAnsi="Arial" w:cs="Arial"/>
          <w:sz w:val="24"/>
          <w:szCs w:val="24"/>
        </w:rPr>
        <w:t xml:space="preserve"> in order to </w:t>
      </w:r>
      <w:r w:rsidR="00196E11">
        <w:rPr>
          <w:rFonts w:ascii="Arial" w:hAnsi="Arial" w:cs="Arial"/>
          <w:sz w:val="24"/>
          <w:szCs w:val="24"/>
        </w:rPr>
        <w:t xml:space="preserve">ensure his compliance with </w:t>
      </w:r>
      <w:r w:rsidR="00084429">
        <w:rPr>
          <w:rFonts w:ascii="Arial" w:hAnsi="Arial" w:cs="Arial"/>
          <w:sz w:val="24"/>
          <w:szCs w:val="24"/>
        </w:rPr>
        <w:t xml:space="preserve">a mental health </w:t>
      </w:r>
      <w:r w:rsidR="00196E11">
        <w:rPr>
          <w:rFonts w:ascii="Arial" w:hAnsi="Arial" w:cs="Arial"/>
          <w:sz w:val="24"/>
          <w:szCs w:val="24"/>
        </w:rPr>
        <w:t xml:space="preserve">medication regime in a supervised  </w:t>
      </w:r>
      <w:r w:rsidR="00084429">
        <w:rPr>
          <w:rFonts w:ascii="Arial" w:hAnsi="Arial" w:cs="Arial"/>
          <w:sz w:val="24"/>
          <w:szCs w:val="24"/>
        </w:rPr>
        <w:t>a</w:t>
      </w:r>
      <w:r w:rsidR="00196E11">
        <w:rPr>
          <w:rFonts w:ascii="Arial" w:hAnsi="Arial" w:cs="Arial"/>
          <w:sz w:val="24"/>
          <w:szCs w:val="24"/>
        </w:rPr>
        <w:t>ccommodation environment</w:t>
      </w:r>
      <w:r w:rsidR="00084429">
        <w:rPr>
          <w:rFonts w:ascii="Arial" w:hAnsi="Arial" w:cs="Arial"/>
          <w:sz w:val="24"/>
          <w:szCs w:val="24"/>
        </w:rPr>
        <w:t xml:space="preserve"> which was thought to be in his best interest. </w:t>
      </w:r>
      <w:r w:rsidR="0099107D" w:rsidRPr="0099107D">
        <w:rPr>
          <w:rFonts w:ascii="Arial" w:hAnsi="Arial" w:cs="Arial"/>
          <w:sz w:val="24"/>
          <w:szCs w:val="24"/>
        </w:rPr>
        <w:t xml:space="preserve"> </w:t>
      </w:r>
    </w:p>
    <w:p w:rsidR="0099107D" w:rsidRPr="0099107D" w:rsidRDefault="0099107D" w:rsidP="0099107D">
      <w:pPr>
        <w:rPr>
          <w:rFonts w:ascii="Arial" w:hAnsi="Arial" w:cs="Arial"/>
          <w:sz w:val="24"/>
          <w:szCs w:val="24"/>
        </w:rPr>
      </w:pPr>
    </w:p>
    <w:p w:rsidR="0099107D" w:rsidRDefault="0099107D" w:rsidP="0099107D">
      <w:pPr>
        <w:rPr>
          <w:rFonts w:ascii="Arial" w:hAnsi="Arial" w:cs="Arial"/>
          <w:i/>
          <w:iCs/>
          <w:sz w:val="24"/>
          <w:szCs w:val="24"/>
          <w:u w:val="single"/>
        </w:rPr>
      </w:pPr>
      <w:r w:rsidRPr="0099107D">
        <w:rPr>
          <w:rFonts w:ascii="Arial" w:hAnsi="Arial" w:cs="Arial"/>
          <w:i/>
          <w:iCs/>
          <w:sz w:val="24"/>
          <w:szCs w:val="24"/>
          <w:u w:val="single"/>
        </w:rPr>
        <w:t>Question 33</w:t>
      </w:r>
      <w:r w:rsidR="00F725DA">
        <w:rPr>
          <w:rFonts w:ascii="Arial" w:hAnsi="Arial" w:cs="Arial"/>
          <w:i/>
          <w:iCs/>
          <w:sz w:val="24"/>
          <w:szCs w:val="24"/>
          <w:u w:val="single"/>
        </w:rPr>
        <w:tab/>
      </w:r>
      <w:r w:rsidR="00F725DA">
        <w:rPr>
          <w:rFonts w:ascii="Arial" w:hAnsi="Arial" w:cs="Arial"/>
          <w:i/>
          <w:iCs/>
          <w:sz w:val="24"/>
          <w:szCs w:val="24"/>
          <w:u w:val="single"/>
        </w:rPr>
        <w:tab/>
        <w:t>Role of the public advocate in investigation</w:t>
      </w:r>
    </w:p>
    <w:p w:rsidR="00F725DA" w:rsidRPr="0099107D" w:rsidRDefault="00F725DA" w:rsidP="0099107D">
      <w:pPr>
        <w:rPr>
          <w:rFonts w:ascii="Arial" w:hAnsi="Arial" w:cs="Arial"/>
          <w:i/>
          <w:iCs/>
          <w:sz w:val="24"/>
          <w:szCs w:val="24"/>
          <w:u w:val="single"/>
        </w:rPr>
      </w:pPr>
    </w:p>
    <w:p w:rsidR="00084429" w:rsidRDefault="0099107D" w:rsidP="0099107D">
      <w:pPr>
        <w:rPr>
          <w:rFonts w:ascii="Arial" w:hAnsi="Arial" w:cs="Arial"/>
          <w:sz w:val="24"/>
          <w:szCs w:val="24"/>
        </w:rPr>
      </w:pPr>
      <w:r w:rsidRPr="0099107D">
        <w:rPr>
          <w:rFonts w:ascii="Arial" w:hAnsi="Arial" w:cs="Arial"/>
          <w:sz w:val="24"/>
          <w:szCs w:val="24"/>
        </w:rPr>
        <w:t xml:space="preserve">In Victoria the </w:t>
      </w:r>
      <w:r w:rsidR="00084429">
        <w:rPr>
          <w:rFonts w:ascii="Arial" w:hAnsi="Arial" w:cs="Arial"/>
          <w:sz w:val="24"/>
          <w:szCs w:val="24"/>
        </w:rPr>
        <w:t>O</w:t>
      </w:r>
      <w:r w:rsidRPr="0099107D">
        <w:rPr>
          <w:rFonts w:ascii="Arial" w:hAnsi="Arial" w:cs="Arial"/>
          <w:sz w:val="24"/>
          <w:szCs w:val="24"/>
        </w:rPr>
        <w:t xml:space="preserve">ffice of the </w:t>
      </w:r>
      <w:r w:rsidR="00084429">
        <w:rPr>
          <w:rFonts w:ascii="Arial" w:hAnsi="Arial" w:cs="Arial"/>
          <w:sz w:val="24"/>
          <w:szCs w:val="24"/>
        </w:rPr>
        <w:t>P</w:t>
      </w:r>
      <w:r w:rsidRPr="0099107D">
        <w:rPr>
          <w:rFonts w:ascii="Arial" w:hAnsi="Arial" w:cs="Arial"/>
          <w:sz w:val="24"/>
          <w:szCs w:val="24"/>
        </w:rPr>
        <w:t xml:space="preserve">ublic advocate </w:t>
      </w:r>
      <w:r w:rsidR="00084429">
        <w:rPr>
          <w:rFonts w:ascii="Arial" w:hAnsi="Arial" w:cs="Arial"/>
          <w:sz w:val="24"/>
          <w:szCs w:val="24"/>
        </w:rPr>
        <w:t xml:space="preserve">already </w:t>
      </w:r>
      <w:r w:rsidRPr="0099107D">
        <w:rPr>
          <w:rFonts w:ascii="Arial" w:hAnsi="Arial" w:cs="Arial"/>
          <w:sz w:val="24"/>
          <w:szCs w:val="24"/>
        </w:rPr>
        <w:t>has an own motion power to investigate an</w:t>
      </w:r>
      <w:r w:rsidR="00AB173D">
        <w:rPr>
          <w:rFonts w:ascii="Arial" w:hAnsi="Arial" w:cs="Arial"/>
          <w:sz w:val="24"/>
          <w:szCs w:val="24"/>
        </w:rPr>
        <w:t>y complaint that a person has been exploited or abused.</w:t>
      </w:r>
      <w:r w:rsidR="00AB173D">
        <w:rPr>
          <w:rStyle w:val="FootnoteReference"/>
          <w:rFonts w:ascii="Arial" w:hAnsi="Arial" w:cs="Arial"/>
          <w:sz w:val="24"/>
          <w:szCs w:val="24"/>
        </w:rPr>
        <w:footnoteReference w:id="31"/>
      </w:r>
      <w:r w:rsidRPr="0099107D">
        <w:rPr>
          <w:rFonts w:ascii="Arial" w:hAnsi="Arial" w:cs="Arial"/>
          <w:sz w:val="24"/>
          <w:szCs w:val="24"/>
        </w:rPr>
        <w:t xml:space="preserve"> </w:t>
      </w:r>
      <w:proofErr w:type="gramStart"/>
      <w:r w:rsidR="00AB173D">
        <w:rPr>
          <w:rFonts w:ascii="Arial" w:hAnsi="Arial" w:cs="Arial"/>
          <w:sz w:val="24"/>
          <w:szCs w:val="24"/>
        </w:rPr>
        <w:t>b</w:t>
      </w:r>
      <w:r w:rsidR="00084429">
        <w:rPr>
          <w:rFonts w:ascii="Arial" w:hAnsi="Arial" w:cs="Arial"/>
          <w:sz w:val="24"/>
          <w:szCs w:val="24"/>
        </w:rPr>
        <w:t xml:space="preserve">ut </w:t>
      </w:r>
      <w:r w:rsidRPr="0099107D">
        <w:rPr>
          <w:rFonts w:ascii="Arial" w:hAnsi="Arial" w:cs="Arial"/>
          <w:sz w:val="24"/>
          <w:szCs w:val="24"/>
        </w:rPr>
        <w:t xml:space="preserve"> does</w:t>
      </w:r>
      <w:proofErr w:type="gramEnd"/>
      <w:r w:rsidRPr="0099107D">
        <w:rPr>
          <w:rFonts w:ascii="Arial" w:hAnsi="Arial" w:cs="Arial"/>
          <w:sz w:val="24"/>
          <w:szCs w:val="24"/>
        </w:rPr>
        <w:t xml:space="preserve"> not exercise</w:t>
      </w:r>
      <w:r w:rsidR="00084429">
        <w:rPr>
          <w:rFonts w:ascii="Arial" w:hAnsi="Arial" w:cs="Arial"/>
          <w:sz w:val="24"/>
          <w:szCs w:val="24"/>
        </w:rPr>
        <w:t xml:space="preserve"> the power</w:t>
      </w:r>
      <w:r w:rsidRPr="0099107D">
        <w:rPr>
          <w:rFonts w:ascii="Arial" w:hAnsi="Arial" w:cs="Arial"/>
          <w:sz w:val="24"/>
          <w:szCs w:val="24"/>
        </w:rPr>
        <w:t xml:space="preserve"> due to a lack of resources.</w:t>
      </w:r>
    </w:p>
    <w:p w:rsidR="00084429" w:rsidRDefault="00084429" w:rsidP="0099107D">
      <w:pPr>
        <w:rPr>
          <w:rFonts w:ascii="Arial" w:hAnsi="Arial" w:cs="Arial"/>
          <w:sz w:val="24"/>
          <w:szCs w:val="24"/>
        </w:rPr>
      </w:pPr>
    </w:p>
    <w:p w:rsidR="00084429" w:rsidRDefault="0099107D" w:rsidP="0099107D">
      <w:pPr>
        <w:rPr>
          <w:rFonts w:ascii="Arial" w:hAnsi="Arial" w:cs="Arial"/>
          <w:sz w:val="24"/>
          <w:szCs w:val="24"/>
        </w:rPr>
      </w:pPr>
      <w:r w:rsidRPr="0099107D">
        <w:rPr>
          <w:rFonts w:ascii="Arial" w:hAnsi="Arial" w:cs="Arial"/>
          <w:sz w:val="24"/>
          <w:szCs w:val="24"/>
        </w:rPr>
        <w:t xml:space="preserve">It must also be </w:t>
      </w:r>
      <w:r w:rsidR="00084429">
        <w:rPr>
          <w:rFonts w:ascii="Arial" w:hAnsi="Arial" w:cs="Arial"/>
          <w:sz w:val="24"/>
          <w:szCs w:val="24"/>
        </w:rPr>
        <w:t xml:space="preserve">observed </w:t>
      </w:r>
      <w:r w:rsidRPr="0099107D">
        <w:rPr>
          <w:rFonts w:ascii="Arial" w:hAnsi="Arial" w:cs="Arial"/>
          <w:sz w:val="24"/>
          <w:szCs w:val="24"/>
        </w:rPr>
        <w:t xml:space="preserve">that for the most part </w:t>
      </w:r>
      <w:r w:rsidR="00084429">
        <w:rPr>
          <w:rFonts w:ascii="Arial" w:hAnsi="Arial" w:cs="Arial"/>
          <w:sz w:val="24"/>
          <w:szCs w:val="24"/>
        </w:rPr>
        <w:t xml:space="preserve">public advocates </w:t>
      </w:r>
      <w:r w:rsidRPr="0099107D">
        <w:rPr>
          <w:rFonts w:ascii="Arial" w:hAnsi="Arial" w:cs="Arial"/>
          <w:sz w:val="24"/>
          <w:szCs w:val="24"/>
        </w:rPr>
        <w:t>do not have training in relation to investigation</w:t>
      </w:r>
      <w:r w:rsidR="00084429">
        <w:rPr>
          <w:rFonts w:ascii="Arial" w:hAnsi="Arial" w:cs="Arial"/>
          <w:sz w:val="24"/>
          <w:szCs w:val="24"/>
        </w:rPr>
        <w:t xml:space="preserve"> and tend to rely on the Police, who can only be enlisted for support when the circumstances of abuse are so compelling as to amount to a crime</w:t>
      </w:r>
      <w:r w:rsidR="00AB173D">
        <w:rPr>
          <w:rFonts w:ascii="Arial" w:hAnsi="Arial" w:cs="Arial"/>
          <w:sz w:val="24"/>
          <w:szCs w:val="24"/>
        </w:rPr>
        <w:t>.</w:t>
      </w:r>
    </w:p>
    <w:p w:rsidR="00084429" w:rsidRDefault="00084429" w:rsidP="0099107D">
      <w:pPr>
        <w:rPr>
          <w:rFonts w:ascii="Arial" w:hAnsi="Arial" w:cs="Arial"/>
          <w:sz w:val="24"/>
          <w:szCs w:val="24"/>
        </w:rPr>
      </w:pPr>
      <w:r>
        <w:rPr>
          <w:rFonts w:ascii="Arial" w:hAnsi="Arial" w:cs="Arial"/>
          <w:sz w:val="24"/>
          <w:szCs w:val="24"/>
        </w:rPr>
        <w:t xml:space="preserve">If the Office of the public advocate were to be given additional own motion powers the office would have to be resourced with trained investigative officers.  </w:t>
      </w:r>
    </w:p>
    <w:p w:rsidR="00B37D6E" w:rsidRDefault="00B37D6E" w:rsidP="0099107D">
      <w:pPr>
        <w:rPr>
          <w:rFonts w:ascii="Arial" w:hAnsi="Arial" w:cs="Arial"/>
          <w:sz w:val="24"/>
          <w:szCs w:val="24"/>
        </w:rPr>
      </w:pPr>
    </w:p>
    <w:p w:rsidR="00B37D6E" w:rsidRPr="0099107D" w:rsidRDefault="00B37D6E" w:rsidP="00B37D6E">
      <w:pPr>
        <w:rPr>
          <w:rFonts w:ascii="Arial" w:hAnsi="Arial" w:cs="Arial"/>
          <w:i/>
          <w:iCs/>
          <w:sz w:val="24"/>
          <w:szCs w:val="24"/>
          <w:u w:val="single"/>
        </w:rPr>
      </w:pPr>
      <w:r w:rsidRPr="0099107D">
        <w:rPr>
          <w:rFonts w:ascii="Arial" w:hAnsi="Arial" w:cs="Arial"/>
          <w:i/>
          <w:iCs/>
          <w:sz w:val="24"/>
          <w:szCs w:val="24"/>
          <w:u w:val="single"/>
        </w:rPr>
        <w:t>Question 34 – Adult Protection Legislation</w:t>
      </w:r>
    </w:p>
    <w:p w:rsidR="00F725DA" w:rsidRDefault="00F725DA" w:rsidP="00B37D6E">
      <w:pPr>
        <w:rPr>
          <w:rFonts w:ascii="Arial" w:hAnsi="Arial" w:cs="Arial"/>
          <w:sz w:val="24"/>
          <w:szCs w:val="24"/>
        </w:rPr>
      </w:pPr>
    </w:p>
    <w:p w:rsidR="00B37D6E" w:rsidRDefault="00B37D6E" w:rsidP="00B37D6E">
      <w:pPr>
        <w:rPr>
          <w:rFonts w:ascii="Arial" w:hAnsi="Arial" w:cs="Arial"/>
          <w:sz w:val="24"/>
          <w:szCs w:val="24"/>
        </w:rPr>
      </w:pPr>
      <w:r w:rsidRPr="0099107D">
        <w:rPr>
          <w:rFonts w:ascii="Arial" w:hAnsi="Arial" w:cs="Arial"/>
          <w:sz w:val="24"/>
          <w:szCs w:val="24"/>
        </w:rPr>
        <w:t xml:space="preserve">It’s a little known aspect of </w:t>
      </w:r>
      <w:r>
        <w:rPr>
          <w:rFonts w:ascii="Arial" w:hAnsi="Arial" w:cs="Arial"/>
          <w:sz w:val="24"/>
          <w:szCs w:val="24"/>
        </w:rPr>
        <w:t>a</w:t>
      </w:r>
      <w:r w:rsidRPr="0099107D">
        <w:rPr>
          <w:rFonts w:ascii="Arial" w:hAnsi="Arial" w:cs="Arial"/>
          <w:sz w:val="24"/>
          <w:szCs w:val="24"/>
        </w:rPr>
        <w:t xml:space="preserve">dult </w:t>
      </w:r>
      <w:r>
        <w:rPr>
          <w:rFonts w:ascii="Arial" w:hAnsi="Arial" w:cs="Arial"/>
          <w:sz w:val="24"/>
          <w:szCs w:val="24"/>
        </w:rPr>
        <w:t>p</w:t>
      </w:r>
      <w:r w:rsidRPr="0099107D">
        <w:rPr>
          <w:rFonts w:ascii="Arial" w:hAnsi="Arial" w:cs="Arial"/>
          <w:sz w:val="24"/>
          <w:szCs w:val="24"/>
        </w:rPr>
        <w:t xml:space="preserve">rotection </w:t>
      </w:r>
      <w:r>
        <w:rPr>
          <w:rFonts w:ascii="Arial" w:hAnsi="Arial" w:cs="Arial"/>
          <w:sz w:val="24"/>
          <w:szCs w:val="24"/>
        </w:rPr>
        <w:t>l</w:t>
      </w:r>
      <w:r w:rsidRPr="0099107D">
        <w:rPr>
          <w:rFonts w:ascii="Arial" w:hAnsi="Arial" w:cs="Arial"/>
          <w:sz w:val="24"/>
          <w:szCs w:val="24"/>
        </w:rPr>
        <w:t xml:space="preserve">egislation which applies </w:t>
      </w:r>
      <w:r>
        <w:rPr>
          <w:rFonts w:ascii="Arial" w:hAnsi="Arial" w:cs="Arial"/>
          <w:sz w:val="24"/>
          <w:szCs w:val="24"/>
        </w:rPr>
        <w:t xml:space="preserve">generally </w:t>
      </w:r>
      <w:r w:rsidRPr="0099107D">
        <w:rPr>
          <w:rFonts w:ascii="Arial" w:hAnsi="Arial" w:cs="Arial"/>
          <w:sz w:val="24"/>
          <w:szCs w:val="24"/>
        </w:rPr>
        <w:t xml:space="preserve">to all </w:t>
      </w:r>
      <w:r>
        <w:rPr>
          <w:rFonts w:ascii="Arial" w:hAnsi="Arial" w:cs="Arial"/>
          <w:sz w:val="24"/>
          <w:szCs w:val="24"/>
        </w:rPr>
        <w:t xml:space="preserve">vulnerable adults such as that </w:t>
      </w:r>
      <w:r w:rsidRPr="0099107D">
        <w:rPr>
          <w:rFonts w:ascii="Arial" w:hAnsi="Arial" w:cs="Arial"/>
          <w:sz w:val="24"/>
          <w:szCs w:val="24"/>
        </w:rPr>
        <w:t>that adopted in overseas jurisdictions</w:t>
      </w:r>
      <w:r>
        <w:rPr>
          <w:rFonts w:ascii="Arial" w:hAnsi="Arial" w:cs="Arial"/>
          <w:sz w:val="24"/>
          <w:szCs w:val="24"/>
        </w:rPr>
        <w:t xml:space="preserve">, </w:t>
      </w:r>
      <w:r w:rsidRPr="0099107D">
        <w:rPr>
          <w:rFonts w:ascii="Arial" w:hAnsi="Arial" w:cs="Arial"/>
          <w:sz w:val="24"/>
          <w:szCs w:val="24"/>
        </w:rPr>
        <w:t xml:space="preserve"> </w:t>
      </w:r>
      <w:r>
        <w:rPr>
          <w:rFonts w:ascii="Arial" w:hAnsi="Arial" w:cs="Arial"/>
          <w:sz w:val="24"/>
          <w:szCs w:val="24"/>
        </w:rPr>
        <w:t xml:space="preserve">is </w:t>
      </w:r>
      <w:r w:rsidRPr="0099107D">
        <w:rPr>
          <w:rFonts w:ascii="Arial" w:hAnsi="Arial" w:cs="Arial"/>
          <w:sz w:val="24"/>
          <w:szCs w:val="24"/>
        </w:rPr>
        <w:t>that the most common</w:t>
      </w:r>
      <w:r>
        <w:rPr>
          <w:rFonts w:ascii="Arial" w:hAnsi="Arial" w:cs="Arial"/>
          <w:sz w:val="24"/>
          <w:szCs w:val="24"/>
        </w:rPr>
        <w:t>ly</w:t>
      </w:r>
      <w:r w:rsidRPr="0099107D">
        <w:rPr>
          <w:rFonts w:ascii="Arial" w:hAnsi="Arial" w:cs="Arial"/>
          <w:sz w:val="24"/>
          <w:szCs w:val="24"/>
        </w:rPr>
        <w:t xml:space="preserve"> </w:t>
      </w:r>
      <w:r>
        <w:rPr>
          <w:rFonts w:ascii="Arial" w:hAnsi="Arial" w:cs="Arial"/>
          <w:sz w:val="24"/>
          <w:szCs w:val="24"/>
        </w:rPr>
        <w:t>referred subjects are</w:t>
      </w:r>
      <w:r w:rsidRPr="0099107D">
        <w:rPr>
          <w:rFonts w:ascii="Arial" w:hAnsi="Arial" w:cs="Arial"/>
          <w:sz w:val="24"/>
          <w:szCs w:val="24"/>
        </w:rPr>
        <w:t xml:space="preserve"> adult</w:t>
      </w:r>
      <w:r>
        <w:rPr>
          <w:rFonts w:ascii="Arial" w:hAnsi="Arial" w:cs="Arial"/>
          <w:sz w:val="24"/>
          <w:szCs w:val="24"/>
        </w:rPr>
        <w:t>s</w:t>
      </w:r>
      <w:r w:rsidRPr="0099107D">
        <w:rPr>
          <w:rFonts w:ascii="Arial" w:hAnsi="Arial" w:cs="Arial"/>
          <w:sz w:val="24"/>
          <w:szCs w:val="24"/>
        </w:rPr>
        <w:t xml:space="preserve"> who </w:t>
      </w:r>
      <w:r>
        <w:rPr>
          <w:rFonts w:ascii="Arial" w:hAnsi="Arial" w:cs="Arial"/>
          <w:sz w:val="24"/>
          <w:szCs w:val="24"/>
        </w:rPr>
        <w:t>are</w:t>
      </w:r>
      <w:r w:rsidRPr="0099107D">
        <w:rPr>
          <w:rFonts w:ascii="Arial" w:hAnsi="Arial" w:cs="Arial"/>
          <w:sz w:val="24"/>
          <w:szCs w:val="24"/>
        </w:rPr>
        <w:t xml:space="preserve"> self-abusing or self-neglectful.</w:t>
      </w:r>
    </w:p>
    <w:p w:rsidR="00B37D6E" w:rsidRDefault="00B37D6E" w:rsidP="00B37D6E">
      <w:pPr>
        <w:rPr>
          <w:rFonts w:ascii="Arial" w:hAnsi="Arial" w:cs="Arial"/>
          <w:sz w:val="24"/>
          <w:szCs w:val="24"/>
        </w:rPr>
      </w:pPr>
    </w:p>
    <w:p w:rsidR="00B37D6E" w:rsidRDefault="00B37D6E" w:rsidP="00B37D6E">
      <w:pPr>
        <w:rPr>
          <w:rFonts w:ascii="Arial" w:hAnsi="Arial" w:cs="Arial"/>
          <w:sz w:val="24"/>
          <w:szCs w:val="24"/>
        </w:rPr>
      </w:pPr>
      <w:r>
        <w:rPr>
          <w:rFonts w:ascii="Arial" w:hAnsi="Arial" w:cs="Arial"/>
          <w:sz w:val="24"/>
          <w:szCs w:val="24"/>
        </w:rPr>
        <w:t xml:space="preserve">This often occurs in jurisdictions with concomitantly less reliance on mandatory mental health intervention and treatment than we are prepared to support in Australian jurisdictions.  </w:t>
      </w:r>
      <w:r w:rsidRPr="0099107D">
        <w:rPr>
          <w:rFonts w:ascii="Arial" w:hAnsi="Arial" w:cs="Arial"/>
          <w:sz w:val="24"/>
          <w:szCs w:val="24"/>
        </w:rPr>
        <w:t>The overlap between adult protection orders and compulsory mental health treatment would have to be clarified.</w:t>
      </w:r>
    </w:p>
    <w:p w:rsidR="00B37D6E" w:rsidRDefault="00B37D6E" w:rsidP="00B37D6E">
      <w:pPr>
        <w:rPr>
          <w:rFonts w:ascii="Arial" w:hAnsi="Arial" w:cs="Arial"/>
          <w:sz w:val="24"/>
          <w:szCs w:val="24"/>
        </w:rPr>
      </w:pPr>
    </w:p>
    <w:p w:rsidR="00B37D6E" w:rsidRPr="0099107D" w:rsidRDefault="00B37D6E" w:rsidP="00B37D6E">
      <w:pPr>
        <w:rPr>
          <w:rFonts w:ascii="Arial" w:hAnsi="Arial" w:cs="Arial"/>
          <w:sz w:val="24"/>
          <w:szCs w:val="24"/>
        </w:rPr>
      </w:pPr>
      <w:r w:rsidRPr="0099107D">
        <w:rPr>
          <w:rFonts w:ascii="Arial" w:hAnsi="Arial" w:cs="Arial"/>
          <w:sz w:val="24"/>
          <w:szCs w:val="24"/>
        </w:rPr>
        <w:t xml:space="preserve">Vulnerable adults who do not have mental health issues but are vulnerable due to </w:t>
      </w:r>
      <w:r>
        <w:rPr>
          <w:rFonts w:ascii="Arial" w:hAnsi="Arial" w:cs="Arial"/>
          <w:sz w:val="24"/>
          <w:szCs w:val="24"/>
        </w:rPr>
        <w:t>their own risk behaviour, for example</w:t>
      </w:r>
      <w:r w:rsidRPr="0099107D">
        <w:rPr>
          <w:rFonts w:ascii="Arial" w:hAnsi="Arial" w:cs="Arial"/>
          <w:sz w:val="24"/>
          <w:szCs w:val="24"/>
        </w:rPr>
        <w:t xml:space="preserve"> hoarding behaviour</w:t>
      </w:r>
      <w:r>
        <w:rPr>
          <w:rFonts w:ascii="Arial" w:hAnsi="Arial" w:cs="Arial"/>
          <w:sz w:val="24"/>
          <w:szCs w:val="24"/>
        </w:rPr>
        <w:t xml:space="preserve">, </w:t>
      </w:r>
      <w:r w:rsidRPr="0099107D">
        <w:rPr>
          <w:rFonts w:ascii="Arial" w:hAnsi="Arial" w:cs="Arial"/>
          <w:sz w:val="24"/>
          <w:szCs w:val="24"/>
        </w:rPr>
        <w:t xml:space="preserve">are commonly a target of these </w:t>
      </w:r>
      <w:r>
        <w:rPr>
          <w:rFonts w:ascii="Arial" w:hAnsi="Arial" w:cs="Arial"/>
          <w:sz w:val="24"/>
          <w:szCs w:val="24"/>
        </w:rPr>
        <w:t xml:space="preserve">types of </w:t>
      </w:r>
      <w:r w:rsidRPr="0099107D">
        <w:rPr>
          <w:rFonts w:ascii="Arial" w:hAnsi="Arial" w:cs="Arial"/>
          <w:sz w:val="24"/>
          <w:szCs w:val="24"/>
        </w:rPr>
        <w:t xml:space="preserve">orders </w:t>
      </w:r>
      <w:r>
        <w:rPr>
          <w:rFonts w:ascii="Arial" w:hAnsi="Arial" w:cs="Arial"/>
          <w:sz w:val="24"/>
          <w:szCs w:val="24"/>
        </w:rPr>
        <w:t xml:space="preserve">where the adult protection legislation is </w:t>
      </w:r>
      <w:r w:rsidRPr="0099107D">
        <w:rPr>
          <w:rFonts w:ascii="Arial" w:hAnsi="Arial" w:cs="Arial"/>
          <w:sz w:val="24"/>
          <w:szCs w:val="24"/>
        </w:rPr>
        <w:t xml:space="preserve"> used by housing authorities</w:t>
      </w:r>
      <w:r>
        <w:rPr>
          <w:rFonts w:ascii="Arial" w:hAnsi="Arial" w:cs="Arial"/>
          <w:sz w:val="24"/>
          <w:szCs w:val="24"/>
        </w:rPr>
        <w:t xml:space="preserve"> in those jurisdictions</w:t>
      </w:r>
      <w:r w:rsidRPr="0099107D">
        <w:rPr>
          <w:rFonts w:ascii="Arial" w:hAnsi="Arial" w:cs="Arial"/>
          <w:sz w:val="24"/>
          <w:szCs w:val="24"/>
        </w:rPr>
        <w:t xml:space="preserve"> to remove them. </w:t>
      </w:r>
    </w:p>
    <w:p w:rsidR="00B37D6E" w:rsidRDefault="00B37D6E" w:rsidP="00B37D6E">
      <w:pPr>
        <w:rPr>
          <w:rFonts w:ascii="Arial" w:hAnsi="Arial" w:cs="Arial"/>
          <w:sz w:val="24"/>
          <w:szCs w:val="24"/>
        </w:rPr>
      </w:pPr>
    </w:p>
    <w:p w:rsidR="00B37D6E" w:rsidRDefault="00B37D6E" w:rsidP="00B37D6E">
      <w:pPr>
        <w:rPr>
          <w:rFonts w:ascii="Arial" w:hAnsi="Arial" w:cs="Arial"/>
          <w:sz w:val="24"/>
          <w:szCs w:val="24"/>
        </w:rPr>
      </w:pPr>
      <w:r>
        <w:rPr>
          <w:rFonts w:ascii="Arial" w:hAnsi="Arial" w:cs="Arial"/>
          <w:sz w:val="24"/>
          <w:szCs w:val="24"/>
        </w:rPr>
        <w:t>By contrast the definition of elder abuse employed in W.H.O.</w:t>
      </w:r>
      <w:r>
        <w:rPr>
          <w:rStyle w:val="FootnoteReference"/>
          <w:rFonts w:ascii="Arial" w:hAnsi="Arial" w:cs="Arial"/>
          <w:sz w:val="24"/>
          <w:szCs w:val="24"/>
        </w:rPr>
        <w:footnoteReference w:id="32"/>
      </w:r>
      <w:r>
        <w:rPr>
          <w:rFonts w:ascii="Arial" w:hAnsi="Arial" w:cs="Arial"/>
          <w:sz w:val="24"/>
          <w:szCs w:val="24"/>
        </w:rPr>
        <w:t xml:space="preserve"> definition does not </w:t>
      </w:r>
      <w:proofErr w:type="gramStart"/>
      <w:r>
        <w:rPr>
          <w:rFonts w:ascii="Arial" w:hAnsi="Arial" w:cs="Arial"/>
          <w:sz w:val="24"/>
          <w:szCs w:val="24"/>
        </w:rPr>
        <w:t>include  self</w:t>
      </w:r>
      <w:proofErr w:type="gramEnd"/>
      <w:r>
        <w:rPr>
          <w:rFonts w:ascii="Arial" w:hAnsi="Arial" w:cs="Arial"/>
          <w:sz w:val="24"/>
          <w:szCs w:val="24"/>
        </w:rPr>
        <w:t xml:space="preserve"> –harm or self-neglect.   W</w:t>
      </w:r>
      <w:r w:rsidRPr="0099107D">
        <w:rPr>
          <w:rFonts w:ascii="Arial" w:hAnsi="Arial" w:cs="Arial"/>
          <w:sz w:val="24"/>
          <w:szCs w:val="24"/>
        </w:rPr>
        <w:t xml:space="preserve">hile it’s true that these </w:t>
      </w:r>
      <w:r>
        <w:rPr>
          <w:rFonts w:ascii="Arial" w:hAnsi="Arial" w:cs="Arial"/>
          <w:sz w:val="24"/>
          <w:szCs w:val="24"/>
        </w:rPr>
        <w:t xml:space="preserve">adult protection </w:t>
      </w:r>
      <w:r w:rsidRPr="0099107D">
        <w:rPr>
          <w:rFonts w:ascii="Arial" w:hAnsi="Arial" w:cs="Arial"/>
          <w:sz w:val="24"/>
          <w:szCs w:val="24"/>
        </w:rPr>
        <w:t>models are characterized by a single entry point</w:t>
      </w:r>
      <w:r>
        <w:rPr>
          <w:rFonts w:ascii="Arial" w:hAnsi="Arial" w:cs="Arial"/>
          <w:sz w:val="24"/>
          <w:szCs w:val="24"/>
        </w:rPr>
        <w:t xml:space="preserve">, </w:t>
      </w:r>
      <w:r w:rsidRPr="0099107D">
        <w:rPr>
          <w:rFonts w:ascii="Arial" w:hAnsi="Arial" w:cs="Arial"/>
          <w:sz w:val="24"/>
          <w:szCs w:val="24"/>
        </w:rPr>
        <w:t xml:space="preserve"> the adoption of an adult protection </w:t>
      </w:r>
      <w:r>
        <w:rPr>
          <w:rFonts w:ascii="Arial" w:hAnsi="Arial" w:cs="Arial"/>
          <w:sz w:val="24"/>
          <w:szCs w:val="24"/>
        </w:rPr>
        <w:t xml:space="preserve">model </w:t>
      </w:r>
      <w:r w:rsidRPr="0099107D">
        <w:rPr>
          <w:rFonts w:ascii="Arial" w:hAnsi="Arial" w:cs="Arial"/>
          <w:sz w:val="24"/>
          <w:szCs w:val="24"/>
        </w:rPr>
        <w:t>is a significant departure from the framing principle</w:t>
      </w:r>
      <w:r>
        <w:rPr>
          <w:rFonts w:ascii="Arial" w:hAnsi="Arial" w:cs="Arial"/>
          <w:sz w:val="24"/>
          <w:szCs w:val="24"/>
        </w:rPr>
        <w:t xml:space="preserve"> expressed in the </w:t>
      </w:r>
      <w:r w:rsidRPr="0099107D">
        <w:rPr>
          <w:rFonts w:ascii="Arial" w:hAnsi="Arial" w:cs="Arial"/>
          <w:sz w:val="24"/>
          <w:szCs w:val="24"/>
        </w:rPr>
        <w:t>issues paper</w:t>
      </w:r>
      <w:r>
        <w:rPr>
          <w:rFonts w:ascii="Arial" w:hAnsi="Arial" w:cs="Arial"/>
          <w:sz w:val="24"/>
          <w:szCs w:val="24"/>
        </w:rPr>
        <w:t>:</w:t>
      </w:r>
      <w:r>
        <w:rPr>
          <w:rStyle w:val="FootnoteReference"/>
          <w:rFonts w:ascii="Arial" w:hAnsi="Arial" w:cs="Arial"/>
          <w:sz w:val="24"/>
          <w:szCs w:val="24"/>
        </w:rPr>
        <w:footnoteReference w:id="33"/>
      </w:r>
      <w:r w:rsidRPr="0099107D">
        <w:rPr>
          <w:rFonts w:ascii="Arial" w:hAnsi="Arial" w:cs="Arial"/>
          <w:sz w:val="24"/>
          <w:szCs w:val="24"/>
        </w:rPr>
        <w:t>,</w:t>
      </w:r>
    </w:p>
    <w:p w:rsidR="00B37D6E" w:rsidRDefault="00B37D6E" w:rsidP="00B37D6E">
      <w:pPr>
        <w:rPr>
          <w:rFonts w:ascii="Arial" w:hAnsi="Arial" w:cs="Arial"/>
          <w:sz w:val="24"/>
          <w:szCs w:val="24"/>
        </w:rPr>
      </w:pPr>
    </w:p>
    <w:p w:rsidR="00B37D6E" w:rsidRPr="004A10D5" w:rsidRDefault="00B37D6E" w:rsidP="00B37D6E">
      <w:pPr>
        <w:ind w:left="720"/>
        <w:rPr>
          <w:rFonts w:ascii="Arial" w:hAnsi="Arial" w:cs="Arial"/>
          <w:sz w:val="20"/>
          <w:szCs w:val="20"/>
        </w:rPr>
      </w:pPr>
      <w:proofErr w:type="gramStart"/>
      <w:r w:rsidRPr="004A10D5">
        <w:rPr>
          <w:rFonts w:ascii="Arial" w:hAnsi="Arial" w:cs="Arial"/>
          <w:sz w:val="20"/>
          <w:szCs w:val="20"/>
        </w:rPr>
        <w:t>the</w:t>
      </w:r>
      <w:proofErr w:type="gramEnd"/>
      <w:r w:rsidRPr="004A10D5">
        <w:rPr>
          <w:rFonts w:ascii="Arial" w:hAnsi="Arial" w:cs="Arial"/>
          <w:sz w:val="20"/>
          <w:szCs w:val="20"/>
        </w:rPr>
        <w:t xml:space="preserve"> principle that laws and legal frameworks should provide appropriate protections and safeguards for older Australian, while minimising interference w</w:t>
      </w:r>
      <w:r>
        <w:rPr>
          <w:rFonts w:ascii="Arial" w:hAnsi="Arial" w:cs="Arial"/>
          <w:sz w:val="20"/>
          <w:szCs w:val="20"/>
        </w:rPr>
        <w:t>ith</w:t>
      </w:r>
      <w:r w:rsidRPr="004A10D5">
        <w:rPr>
          <w:rFonts w:ascii="Arial" w:hAnsi="Arial" w:cs="Arial"/>
          <w:sz w:val="20"/>
          <w:szCs w:val="20"/>
        </w:rPr>
        <w:t xml:space="preserve"> the rights and preferences of the person.</w:t>
      </w:r>
    </w:p>
    <w:p w:rsidR="00B37D6E" w:rsidRDefault="00B37D6E" w:rsidP="00B37D6E">
      <w:pPr>
        <w:rPr>
          <w:rFonts w:ascii="Arial" w:hAnsi="Arial" w:cs="Arial"/>
          <w:i/>
          <w:iCs/>
          <w:sz w:val="24"/>
          <w:szCs w:val="24"/>
          <w:u w:val="single"/>
        </w:rPr>
      </w:pPr>
    </w:p>
    <w:p w:rsidR="00B37D6E" w:rsidRDefault="00B37D6E" w:rsidP="0099107D">
      <w:pPr>
        <w:rPr>
          <w:rFonts w:ascii="Arial" w:hAnsi="Arial" w:cs="Arial"/>
          <w:sz w:val="24"/>
          <w:szCs w:val="24"/>
        </w:rPr>
      </w:pPr>
    </w:p>
    <w:p w:rsidR="0099107D" w:rsidRPr="0099107D" w:rsidRDefault="0099107D" w:rsidP="0099107D">
      <w:pPr>
        <w:rPr>
          <w:rFonts w:ascii="Arial" w:hAnsi="Arial" w:cs="Arial"/>
          <w:sz w:val="24"/>
          <w:szCs w:val="24"/>
        </w:rPr>
      </w:pPr>
      <w:r w:rsidRPr="0099107D">
        <w:rPr>
          <w:rFonts w:ascii="Arial" w:hAnsi="Arial" w:cs="Arial"/>
          <w:i/>
          <w:iCs/>
          <w:sz w:val="24"/>
          <w:szCs w:val="24"/>
          <w:u w:val="single"/>
        </w:rPr>
        <w:lastRenderedPageBreak/>
        <w:t>Question 35  </w:t>
      </w:r>
      <w:r w:rsidR="00F725DA">
        <w:rPr>
          <w:rFonts w:ascii="Arial" w:hAnsi="Arial" w:cs="Arial"/>
          <w:i/>
          <w:iCs/>
          <w:sz w:val="24"/>
          <w:szCs w:val="24"/>
          <w:u w:val="single"/>
        </w:rPr>
        <w:tab/>
      </w:r>
      <w:r w:rsidR="00F725DA">
        <w:rPr>
          <w:rFonts w:ascii="Arial" w:hAnsi="Arial" w:cs="Arial"/>
          <w:i/>
          <w:iCs/>
          <w:sz w:val="24"/>
          <w:szCs w:val="24"/>
          <w:u w:val="single"/>
        </w:rPr>
        <w:tab/>
      </w:r>
      <w:r w:rsidRPr="0099107D">
        <w:rPr>
          <w:rFonts w:ascii="Arial" w:hAnsi="Arial" w:cs="Arial"/>
          <w:i/>
          <w:iCs/>
          <w:sz w:val="24"/>
          <w:szCs w:val="24"/>
          <w:u w:val="single"/>
        </w:rPr>
        <w:t xml:space="preserve"> Health Professionals</w:t>
      </w:r>
      <w:r w:rsidRPr="0099107D">
        <w:rPr>
          <w:rFonts w:ascii="Arial" w:hAnsi="Arial" w:cs="Arial"/>
          <w:sz w:val="24"/>
          <w:szCs w:val="24"/>
        </w:rPr>
        <w:t xml:space="preserve"> </w:t>
      </w:r>
    </w:p>
    <w:p w:rsidR="007664A5" w:rsidRDefault="007664A5" w:rsidP="009A3CC1">
      <w:pPr>
        <w:rPr>
          <w:rFonts w:ascii="Arial" w:hAnsi="Arial" w:cs="Arial"/>
          <w:sz w:val="24"/>
          <w:szCs w:val="24"/>
        </w:rPr>
      </w:pPr>
    </w:p>
    <w:p w:rsidR="0099107D" w:rsidRDefault="0099107D" w:rsidP="0099107D">
      <w:pPr>
        <w:rPr>
          <w:rFonts w:ascii="Arial" w:hAnsi="Arial" w:cs="Arial"/>
          <w:sz w:val="24"/>
          <w:szCs w:val="24"/>
        </w:rPr>
      </w:pPr>
      <w:r w:rsidRPr="0099107D">
        <w:rPr>
          <w:rFonts w:ascii="Arial" w:hAnsi="Arial" w:cs="Arial"/>
          <w:sz w:val="24"/>
          <w:szCs w:val="24"/>
        </w:rPr>
        <w:t xml:space="preserve">Health professionals </w:t>
      </w:r>
      <w:r w:rsidR="00084429">
        <w:rPr>
          <w:rFonts w:ascii="Arial" w:hAnsi="Arial" w:cs="Arial"/>
          <w:sz w:val="24"/>
          <w:szCs w:val="24"/>
        </w:rPr>
        <w:t>c</w:t>
      </w:r>
      <w:r w:rsidRPr="0099107D">
        <w:rPr>
          <w:rFonts w:ascii="Arial" w:hAnsi="Arial" w:cs="Arial"/>
          <w:sz w:val="24"/>
          <w:szCs w:val="24"/>
        </w:rPr>
        <w:t xml:space="preserve">ould benefit from training in identifying injuries that might be an indication of physical elder </w:t>
      </w:r>
      <w:proofErr w:type="gramStart"/>
      <w:r w:rsidRPr="0099107D">
        <w:rPr>
          <w:rFonts w:ascii="Arial" w:hAnsi="Arial" w:cs="Arial"/>
          <w:sz w:val="24"/>
          <w:szCs w:val="24"/>
        </w:rPr>
        <w:t>abuse</w:t>
      </w:r>
      <w:r w:rsidR="00084429">
        <w:rPr>
          <w:rFonts w:ascii="Arial" w:hAnsi="Arial" w:cs="Arial"/>
          <w:sz w:val="24"/>
          <w:szCs w:val="24"/>
        </w:rPr>
        <w:t xml:space="preserve">  and</w:t>
      </w:r>
      <w:proofErr w:type="gramEnd"/>
      <w:r w:rsidR="00084429">
        <w:rPr>
          <w:rFonts w:ascii="Arial" w:hAnsi="Arial" w:cs="Arial"/>
          <w:sz w:val="24"/>
          <w:szCs w:val="24"/>
        </w:rPr>
        <w:t xml:space="preserve"> also from training around the proper approach to investigation of abuse. </w:t>
      </w:r>
      <w:r w:rsidRPr="0099107D">
        <w:rPr>
          <w:rFonts w:ascii="Arial" w:hAnsi="Arial" w:cs="Arial"/>
          <w:sz w:val="24"/>
          <w:szCs w:val="24"/>
        </w:rPr>
        <w:t xml:space="preserve"> Empirical evidence suggest that health </w:t>
      </w:r>
      <w:r w:rsidR="00084429">
        <w:rPr>
          <w:rFonts w:ascii="Arial" w:hAnsi="Arial" w:cs="Arial"/>
          <w:sz w:val="24"/>
          <w:szCs w:val="24"/>
        </w:rPr>
        <w:t>workers</w:t>
      </w:r>
      <w:r w:rsidRPr="0099107D">
        <w:rPr>
          <w:rFonts w:ascii="Arial" w:hAnsi="Arial" w:cs="Arial"/>
          <w:sz w:val="24"/>
          <w:szCs w:val="24"/>
        </w:rPr>
        <w:t xml:space="preserve"> may be first responders to a reporting of elder abuse but take it on themselves to analyse whether abuse has occurred rather than reporting up and requesting forensic enquiry. </w:t>
      </w:r>
    </w:p>
    <w:p w:rsidR="00AB173D" w:rsidRPr="0099107D" w:rsidRDefault="00AB173D" w:rsidP="0099107D">
      <w:pPr>
        <w:rPr>
          <w:rFonts w:ascii="Arial" w:hAnsi="Arial" w:cs="Arial"/>
          <w:sz w:val="24"/>
          <w:szCs w:val="24"/>
        </w:rPr>
      </w:pPr>
    </w:p>
    <w:p w:rsidR="0099107D" w:rsidRPr="007664A5" w:rsidRDefault="0099107D" w:rsidP="0099107D">
      <w:pPr>
        <w:rPr>
          <w:rFonts w:ascii="Arial" w:hAnsi="Arial" w:cs="Arial"/>
          <w:bCs/>
          <w:sz w:val="24"/>
          <w:szCs w:val="24"/>
        </w:rPr>
      </w:pPr>
      <w:r w:rsidRPr="007664A5">
        <w:rPr>
          <w:rFonts w:ascii="Arial" w:hAnsi="Arial" w:cs="Arial"/>
          <w:bCs/>
          <w:sz w:val="24"/>
          <w:szCs w:val="24"/>
        </w:rPr>
        <w:t>Case Study</w:t>
      </w:r>
      <w:r w:rsidR="007664A5">
        <w:rPr>
          <w:rFonts w:ascii="Arial" w:hAnsi="Arial" w:cs="Arial"/>
          <w:bCs/>
          <w:sz w:val="24"/>
          <w:szCs w:val="24"/>
        </w:rPr>
        <w:t xml:space="preserve">   Betty</w:t>
      </w:r>
    </w:p>
    <w:p w:rsidR="009A3CC1" w:rsidRDefault="009A3CC1" w:rsidP="0099107D">
      <w:pPr>
        <w:rPr>
          <w:rFonts w:ascii="Arial" w:hAnsi="Arial" w:cs="Arial"/>
          <w:sz w:val="24"/>
          <w:szCs w:val="24"/>
        </w:rPr>
      </w:pPr>
    </w:p>
    <w:p w:rsidR="0099107D" w:rsidRPr="007664A5" w:rsidRDefault="0099107D" w:rsidP="007664A5">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7664A5">
        <w:rPr>
          <w:rFonts w:ascii="Arial" w:hAnsi="Arial" w:cs="Arial"/>
          <w:i/>
          <w:sz w:val="24"/>
          <w:szCs w:val="24"/>
        </w:rPr>
        <w:t xml:space="preserve">A home </w:t>
      </w:r>
      <w:proofErr w:type="gramStart"/>
      <w:r w:rsidR="00084429" w:rsidRPr="007664A5">
        <w:rPr>
          <w:rFonts w:ascii="Arial" w:hAnsi="Arial" w:cs="Arial"/>
          <w:i/>
          <w:sz w:val="24"/>
          <w:szCs w:val="24"/>
        </w:rPr>
        <w:t xml:space="preserve">care </w:t>
      </w:r>
      <w:r w:rsidRPr="007664A5">
        <w:rPr>
          <w:rFonts w:ascii="Arial" w:hAnsi="Arial" w:cs="Arial"/>
          <w:i/>
          <w:sz w:val="24"/>
          <w:szCs w:val="24"/>
        </w:rPr>
        <w:t xml:space="preserve"> worker</w:t>
      </w:r>
      <w:proofErr w:type="gramEnd"/>
      <w:r w:rsidRPr="007664A5">
        <w:rPr>
          <w:rFonts w:ascii="Arial" w:hAnsi="Arial" w:cs="Arial"/>
          <w:i/>
          <w:sz w:val="24"/>
          <w:szCs w:val="24"/>
        </w:rPr>
        <w:t xml:space="preserve"> </w:t>
      </w:r>
      <w:r w:rsidR="00084429" w:rsidRPr="007664A5">
        <w:rPr>
          <w:rFonts w:ascii="Arial" w:hAnsi="Arial" w:cs="Arial"/>
          <w:i/>
          <w:sz w:val="24"/>
          <w:szCs w:val="24"/>
        </w:rPr>
        <w:t xml:space="preserve">attended </w:t>
      </w:r>
      <w:r w:rsidRPr="007664A5">
        <w:rPr>
          <w:rFonts w:ascii="Arial" w:hAnsi="Arial" w:cs="Arial"/>
          <w:i/>
          <w:sz w:val="24"/>
          <w:szCs w:val="24"/>
        </w:rPr>
        <w:t xml:space="preserve">an older woman </w:t>
      </w:r>
      <w:r w:rsidR="00084429" w:rsidRPr="007664A5">
        <w:rPr>
          <w:rFonts w:ascii="Arial" w:hAnsi="Arial" w:cs="Arial"/>
          <w:i/>
          <w:sz w:val="24"/>
          <w:szCs w:val="24"/>
        </w:rPr>
        <w:t xml:space="preserve">and identified that she </w:t>
      </w:r>
      <w:r w:rsidR="009A3CC1" w:rsidRPr="007664A5">
        <w:rPr>
          <w:rFonts w:ascii="Arial" w:hAnsi="Arial" w:cs="Arial"/>
          <w:i/>
          <w:sz w:val="24"/>
          <w:szCs w:val="24"/>
        </w:rPr>
        <w:t>a</w:t>
      </w:r>
      <w:r w:rsidRPr="007664A5">
        <w:rPr>
          <w:rFonts w:ascii="Arial" w:hAnsi="Arial" w:cs="Arial"/>
          <w:i/>
          <w:sz w:val="24"/>
          <w:szCs w:val="24"/>
        </w:rPr>
        <w:t xml:space="preserve">ppeared to have bruising around her neck. She was living in her own home with her grandson and her grandson’s de facto wife and a small child. </w:t>
      </w:r>
    </w:p>
    <w:p w:rsidR="0099107D" w:rsidRPr="007664A5" w:rsidRDefault="0099107D" w:rsidP="007664A5">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9A3CC1" w:rsidRPr="007664A5" w:rsidRDefault="0099107D" w:rsidP="007664A5">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7664A5">
        <w:rPr>
          <w:rFonts w:ascii="Arial" w:hAnsi="Arial" w:cs="Arial"/>
          <w:i/>
          <w:sz w:val="24"/>
          <w:szCs w:val="24"/>
        </w:rPr>
        <w:t>The home care worker reported to her superiors as she is trained to do and an ACAS worker went out to investigate and inspect the bruises which were readily visible.</w:t>
      </w:r>
      <w:r w:rsidR="00B03F2D">
        <w:rPr>
          <w:rFonts w:ascii="Arial" w:hAnsi="Arial" w:cs="Arial"/>
          <w:i/>
          <w:sz w:val="24"/>
          <w:szCs w:val="24"/>
        </w:rPr>
        <w:t xml:space="preserve"> </w:t>
      </w:r>
      <w:r w:rsidR="009A3CC1" w:rsidRPr="007664A5">
        <w:rPr>
          <w:rFonts w:ascii="Arial" w:hAnsi="Arial" w:cs="Arial"/>
          <w:i/>
          <w:sz w:val="24"/>
          <w:szCs w:val="24"/>
        </w:rPr>
        <w:t xml:space="preserve">There are some health difficulties that older people </w:t>
      </w:r>
      <w:proofErr w:type="gramStart"/>
      <w:r w:rsidR="009A3CC1" w:rsidRPr="007664A5">
        <w:rPr>
          <w:rFonts w:ascii="Arial" w:hAnsi="Arial" w:cs="Arial"/>
          <w:i/>
          <w:sz w:val="24"/>
          <w:szCs w:val="24"/>
        </w:rPr>
        <w:t>experience</w:t>
      </w:r>
      <w:proofErr w:type="gramEnd"/>
      <w:r w:rsidR="009A3CC1" w:rsidRPr="007664A5">
        <w:rPr>
          <w:rFonts w:ascii="Arial" w:hAnsi="Arial" w:cs="Arial"/>
          <w:i/>
          <w:sz w:val="24"/>
          <w:szCs w:val="24"/>
        </w:rPr>
        <w:t xml:space="preserve"> which may have the appearance of injuries such as skin discoloration resulting from certain medications but to an experienced eye these are easily discernible and differentiated from bruising. </w:t>
      </w:r>
    </w:p>
    <w:p w:rsidR="009A3CC1" w:rsidRPr="007664A5" w:rsidRDefault="009A3CC1" w:rsidP="007664A5">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9A3CC1" w:rsidRPr="007664A5" w:rsidRDefault="009A3CC1" w:rsidP="007664A5">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7664A5">
        <w:rPr>
          <w:rFonts w:ascii="Arial" w:hAnsi="Arial" w:cs="Arial"/>
          <w:i/>
          <w:sz w:val="24"/>
          <w:szCs w:val="24"/>
        </w:rPr>
        <w:t xml:space="preserve">When asked how the injuries occurred the </w:t>
      </w:r>
      <w:r w:rsidR="0099107D" w:rsidRPr="007664A5">
        <w:rPr>
          <w:rFonts w:ascii="Arial" w:hAnsi="Arial" w:cs="Arial"/>
          <w:i/>
          <w:sz w:val="24"/>
          <w:szCs w:val="24"/>
        </w:rPr>
        <w:t xml:space="preserve">grandson </w:t>
      </w:r>
      <w:r w:rsidRPr="007664A5">
        <w:rPr>
          <w:rFonts w:ascii="Arial" w:hAnsi="Arial" w:cs="Arial"/>
          <w:i/>
          <w:sz w:val="24"/>
          <w:szCs w:val="24"/>
        </w:rPr>
        <w:t xml:space="preserve">explained that he </w:t>
      </w:r>
      <w:r w:rsidR="0099107D" w:rsidRPr="007664A5">
        <w:rPr>
          <w:rFonts w:ascii="Arial" w:hAnsi="Arial" w:cs="Arial"/>
          <w:i/>
          <w:sz w:val="24"/>
          <w:szCs w:val="24"/>
        </w:rPr>
        <w:t xml:space="preserve">had </w:t>
      </w:r>
      <w:r w:rsidRPr="007664A5">
        <w:rPr>
          <w:rFonts w:ascii="Arial" w:hAnsi="Arial" w:cs="Arial"/>
          <w:i/>
          <w:sz w:val="24"/>
          <w:szCs w:val="24"/>
        </w:rPr>
        <w:t xml:space="preserve">caused the injuries when he </w:t>
      </w:r>
      <w:r w:rsidR="0099107D" w:rsidRPr="007664A5">
        <w:rPr>
          <w:rFonts w:ascii="Arial" w:hAnsi="Arial" w:cs="Arial"/>
          <w:i/>
          <w:sz w:val="24"/>
          <w:szCs w:val="24"/>
        </w:rPr>
        <w:t>grab</w:t>
      </w:r>
      <w:r w:rsidRPr="007664A5">
        <w:rPr>
          <w:rFonts w:ascii="Arial" w:hAnsi="Arial" w:cs="Arial"/>
          <w:i/>
          <w:sz w:val="24"/>
          <w:szCs w:val="24"/>
        </w:rPr>
        <w:t xml:space="preserve">bed </w:t>
      </w:r>
      <w:r w:rsidR="0099107D" w:rsidRPr="007664A5">
        <w:rPr>
          <w:rFonts w:ascii="Arial" w:hAnsi="Arial" w:cs="Arial"/>
          <w:i/>
          <w:sz w:val="24"/>
          <w:szCs w:val="24"/>
        </w:rPr>
        <w:t xml:space="preserve">his grandmother around the neck because she was choking on something. </w:t>
      </w:r>
      <w:r w:rsidRPr="007664A5">
        <w:rPr>
          <w:rFonts w:ascii="Arial" w:hAnsi="Arial" w:cs="Arial"/>
          <w:i/>
          <w:sz w:val="24"/>
          <w:szCs w:val="24"/>
        </w:rPr>
        <w:t xml:space="preserve"> </w:t>
      </w:r>
      <w:r w:rsidR="0099107D" w:rsidRPr="007664A5">
        <w:rPr>
          <w:rFonts w:ascii="Arial" w:hAnsi="Arial" w:cs="Arial"/>
          <w:i/>
          <w:sz w:val="24"/>
          <w:szCs w:val="24"/>
        </w:rPr>
        <w:t xml:space="preserve">The ACAS </w:t>
      </w:r>
      <w:r w:rsidRPr="007664A5">
        <w:rPr>
          <w:rFonts w:ascii="Arial" w:hAnsi="Arial" w:cs="Arial"/>
          <w:i/>
          <w:sz w:val="24"/>
          <w:szCs w:val="24"/>
        </w:rPr>
        <w:t xml:space="preserve">worker accepted the explanation on its face and </w:t>
      </w:r>
      <w:r w:rsidR="0099107D" w:rsidRPr="007664A5">
        <w:rPr>
          <w:rFonts w:ascii="Arial" w:hAnsi="Arial" w:cs="Arial"/>
          <w:i/>
          <w:sz w:val="24"/>
          <w:szCs w:val="24"/>
        </w:rPr>
        <w:t>declined to</w:t>
      </w:r>
      <w:r w:rsidRPr="007664A5">
        <w:rPr>
          <w:rFonts w:ascii="Arial" w:hAnsi="Arial" w:cs="Arial"/>
          <w:i/>
          <w:sz w:val="24"/>
          <w:szCs w:val="24"/>
        </w:rPr>
        <w:t xml:space="preserve"> refer to forensic physician for further investigation. </w:t>
      </w:r>
    </w:p>
    <w:p w:rsidR="009A3CC1" w:rsidRDefault="009A3CC1" w:rsidP="009A3CC1">
      <w:pPr>
        <w:rPr>
          <w:rFonts w:ascii="Arial" w:hAnsi="Arial" w:cs="Arial"/>
          <w:sz w:val="24"/>
          <w:szCs w:val="24"/>
        </w:rPr>
      </w:pPr>
    </w:p>
    <w:p w:rsidR="00AB173D" w:rsidRPr="0099107D" w:rsidRDefault="00AB173D" w:rsidP="00AB173D">
      <w:pPr>
        <w:rPr>
          <w:rFonts w:ascii="Arial" w:hAnsi="Arial" w:cs="Arial"/>
          <w:sz w:val="24"/>
          <w:szCs w:val="24"/>
        </w:rPr>
      </w:pPr>
      <w:r w:rsidRPr="0099107D">
        <w:rPr>
          <w:rFonts w:ascii="Arial" w:hAnsi="Arial" w:cs="Arial"/>
          <w:sz w:val="24"/>
          <w:szCs w:val="24"/>
        </w:rPr>
        <w:t xml:space="preserve">This should be considered a failure </w:t>
      </w:r>
      <w:r>
        <w:rPr>
          <w:rFonts w:ascii="Arial" w:hAnsi="Arial" w:cs="Arial"/>
          <w:sz w:val="24"/>
          <w:szCs w:val="24"/>
        </w:rPr>
        <w:t xml:space="preserve">of care. </w:t>
      </w:r>
    </w:p>
    <w:p w:rsidR="00B03F2D" w:rsidRDefault="00B03F2D" w:rsidP="0099107D">
      <w:pPr>
        <w:rPr>
          <w:rFonts w:ascii="Arial" w:hAnsi="Arial" w:cs="Arial"/>
          <w:i/>
          <w:iCs/>
          <w:sz w:val="24"/>
          <w:szCs w:val="24"/>
          <w:u w:val="single"/>
        </w:rPr>
      </w:pP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Question 38 – Hospitals</w:t>
      </w:r>
    </w:p>
    <w:p w:rsidR="009A3CC1" w:rsidRDefault="009A3CC1" w:rsidP="0099107D">
      <w:pPr>
        <w:rPr>
          <w:rFonts w:ascii="Arial" w:hAnsi="Arial" w:cs="Arial"/>
          <w:sz w:val="24"/>
          <w:szCs w:val="24"/>
        </w:rPr>
      </w:pPr>
    </w:p>
    <w:p w:rsidR="00BE2E23" w:rsidRDefault="009A3CC1" w:rsidP="0099107D">
      <w:pPr>
        <w:rPr>
          <w:rFonts w:ascii="Arial" w:hAnsi="Arial" w:cs="Arial"/>
          <w:sz w:val="24"/>
          <w:szCs w:val="24"/>
        </w:rPr>
      </w:pPr>
      <w:r>
        <w:rPr>
          <w:rFonts w:ascii="Arial" w:hAnsi="Arial" w:cs="Arial"/>
          <w:sz w:val="24"/>
          <w:szCs w:val="24"/>
        </w:rPr>
        <w:t>Co-</w:t>
      </w:r>
      <w:r w:rsidR="0099107D" w:rsidRPr="0099107D">
        <w:rPr>
          <w:rFonts w:ascii="Arial" w:hAnsi="Arial" w:cs="Arial"/>
          <w:sz w:val="24"/>
          <w:szCs w:val="24"/>
        </w:rPr>
        <w:t>ordination in response and promotion of safety planning</w:t>
      </w:r>
      <w:r>
        <w:rPr>
          <w:rFonts w:ascii="Arial" w:hAnsi="Arial" w:cs="Arial"/>
          <w:sz w:val="24"/>
          <w:szCs w:val="24"/>
        </w:rPr>
        <w:t xml:space="preserve"> and </w:t>
      </w:r>
      <w:r w:rsidR="0099107D" w:rsidRPr="0099107D">
        <w:rPr>
          <w:rFonts w:ascii="Arial" w:hAnsi="Arial" w:cs="Arial"/>
          <w:sz w:val="24"/>
          <w:szCs w:val="24"/>
        </w:rPr>
        <w:t>the collection of data is welcomed</w:t>
      </w:r>
      <w:r>
        <w:rPr>
          <w:rFonts w:ascii="Arial" w:hAnsi="Arial" w:cs="Arial"/>
          <w:sz w:val="24"/>
          <w:szCs w:val="24"/>
        </w:rPr>
        <w:t xml:space="preserve">, subject to the </w:t>
      </w:r>
      <w:r w:rsidR="00330C64">
        <w:rPr>
          <w:rFonts w:ascii="Arial" w:hAnsi="Arial" w:cs="Arial"/>
          <w:sz w:val="24"/>
          <w:szCs w:val="24"/>
        </w:rPr>
        <w:t xml:space="preserve">observation made </w:t>
      </w:r>
      <w:r w:rsidR="00AB173D">
        <w:rPr>
          <w:rFonts w:ascii="Arial" w:hAnsi="Arial" w:cs="Arial"/>
          <w:sz w:val="24"/>
          <w:szCs w:val="24"/>
        </w:rPr>
        <w:t xml:space="preserve">above </w:t>
      </w:r>
      <w:r w:rsidR="00330C64">
        <w:rPr>
          <w:rFonts w:ascii="Arial" w:hAnsi="Arial" w:cs="Arial"/>
          <w:sz w:val="24"/>
          <w:szCs w:val="24"/>
        </w:rPr>
        <w:t>about health professionals being given training in observation</w:t>
      </w:r>
      <w:r w:rsidR="00BE2E23">
        <w:rPr>
          <w:rFonts w:ascii="Arial" w:hAnsi="Arial" w:cs="Arial"/>
          <w:sz w:val="24"/>
          <w:szCs w:val="24"/>
        </w:rPr>
        <w:t xml:space="preserve"> skills and in forensic investigation requirements.</w:t>
      </w:r>
      <w:r w:rsidR="00330C64">
        <w:rPr>
          <w:rFonts w:ascii="Arial" w:hAnsi="Arial" w:cs="Arial"/>
          <w:sz w:val="24"/>
          <w:szCs w:val="24"/>
        </w:rPr>
        <w:t xml:space="preserve"> </w:t>
      </w:r>
    </w:p>
    <w:p w:rsidR="00104EFD" w:rsidRDefault="0099107D" w:rsidP="0099107D">
      <w:pPr>
        <w:rPr>
          <w:rFonts w:ascii="Arial" w:hAnsi="Arial" w:cs="Arial"/>
          <w:sz w:val="24"/>
          <w:szCs w:val="24"/>
        </w:rPr>
      </w:pPr>
      <w:r w:rsidRPr="0099107D">
        <w:rPr>
          <w:rFonts w:ascii="Arial" w:hAnsi="Arial" w:cs="Arial"/>
          <w:sz w:val="24"/>
          <w:szCs w:val="24"/>
        </w:rPr>
        <w:t xml:space="preserve"> </w:t>
      </w:r>
    </w:p>
    <w:p w:rsidR="0099107D" w:rsidRPr="0099107D" w:rsidRDefault="00BE2E23" w:rsidP="0099107D">
      <w:pPr>
        <w:rPr>
          <w:rFonts w:ascii="Arial" w:hAnsi="Arial" w:cs="Arial"/>
          <w:sz w:val="24"/>
          <w:szCs w:val="24"/>
        </w:rPr>
      </w:pPr>
      <w:r>
        <w:rPr>
          <w:rFonts w:ascii="Arial" w:hAnsi="Arial" w:cs="Arial"/>
          <w:sz w:val="24"/>
          <w:szCs w:val="24"/>
        </w:rPr>
        <w:t xml:space="preserve">Empirical evidence suggests that </w:t>
      </w:r>
      <w:r w:rsidR="00B67A53">
        <w:rPr>
          <w:rFonts w:ascii="Arial" w:hAnsi="Arial" w:cs="Arial"/>
          <w:sz w:val="24"/>
          <w:szCs w:val="24"/>
        </w:rPr>
        <w:t xml:space="preserve">hospital </w:t>
      </w:r>
      <w:r>
        <w:rPr>
          <w:rFonts w:ascii="Arial" w:hAnsi="Arial" w:cs="Arial"/>
          <w:sz w:val="24"/>
          <w:szCs w:val="24"/>
        </w:rPr>
        <w:t>social worker</w:t>
      </w:r>
      <w:r w:rsidR="00B67A53">
        <w:rPr>
          <w:rFonts w:ascii="Arial" w:hAnsi="Arial" w:cs="Arial"/>
          <w:sz w:val="24"/>
          <w:szCs w:val="24"/>
        </w:rPr>
        <w:t xml:space="preserve">’ </w:t>
      </w:r>
      <w:r>
        <w:rPr>
          <w:rFonts w:ascii="Arial" w:hAnsi="Arial" w:cs="Arial"/>
          <w:sz w:val="24"/>
          <w:szCs w:val="24"/>
        </w:rPr>
        <w:t>response to evidence of elder abuse i</w:t>
      </w:r>
      <w:r w:rsidR="0099107D" w:rsidRPr="0099107D">
        <w:rPr>
          <w:rFonts w:ascii="Arial" w:hAnsi="Arial" w:cs="Arial"/>
          <w:sz w:val="24"/>
          <w:szCs w:val="24"/>
        </w:rPr>
        <w:t>s to make a recommendation that an older person not be returned to a dangerous home situation and instead</w:t>
      </w:r>
      <w:r w:rsidR="00B67A53">
        <w:rPr>
          <w:rFonts w:ascii="Arial" w:hAnsi="Arial" w:cs="Arial"/>
          <w:sz w:val="24"/>
          <w:szCs w:val="24"/>
        </w:rPr>
        <w:t xml:space="preserve"> be </w:t>
      </w:r>
      <w:r w:rsidR="0099107D" w:rsidRPr="0099107D">
        <w:rPr>
          <w:rFonts w:ascii="Arial" w:hAnsi="Arial" w:cs="Arial"/>
          <w:sz w:val="24"/>
          <w:szCs w:val="24"/>
        </w:rPr>
        <w:t xml:space="preserve"> transferred to residential care, possibly against the older person w</w:t>
      </w:r>
      <w:r>
        <w:rPr>
          <w:rFonts w:ascii="Arial" w:hAnsi="Arial" w:cs="Arial"/>
          <w:sz w:val="24"/>
          <w:szCs w:val="24"/>
        </w:rPr>
        <w:t xml:space="preserve">ishes.  It is rare that the hospital social worker will enlist the support of lawyers to </w:t>
      </w:r>
      <w:r w:rsidR="0099107D" w:rsidRPr="0099107D">
        <w:rPr>
          <w:rFonts w:ascii="Arial" w:hAnsi="Arial" w:cs="Arial"/>
          <w:sz w:val="24"/>
          <w:szCs w:val="24"/>
        </w:rPr>
        <w:t xml:space="preserve">support </w:t>
      </w:r>
      <w:r>
        <w:rPr>
          <w:rFonts w:ascii="Arial" w:hAnsi="Arial" w:cs="Arial"/>
          <w:sz w:val="24"/>
          <w:szCs w:val="24"/>
        </w:rPr>
        <w:t xml:space="preserve">an </w:t>
      </w:r>
      <w:r w:rsidR="0099107D" w:rsidRPr="0099107D">
        <w:rPr>
          <w:rFonts w:ascii="Arial" w:hAnsi="Arial" w:cs="Arial"/>
          <w:sz w:val="24"/>
          <w:szCs w:val="24"/>
        </w:rPr>
        <w:t>application to remove the perpetrator</w:t>
      </w:r>
      <w:r w:rsidR="00AB173D">
        <w:rPr>
          <w:rFonts w:ascii="Arial" w:hAnsi="Arial" w:cs="Arial"/>
          <w:sz w:val="24"/>
          <w:szCs w:val="24"/>
        </w:rPr>
        <w:t xml:space="preserve"> of family violence</w:t>
      </w:r>
      <w:r w:rsidR="0099107D" w:rsidRPr="0099107D">
        <w:rPr>
          <w:rFonts w:ascii="Arial" w:hAnsi="Arial" w:cs="Arial"/>
          <w:sz w:val="24"/>
          <w:szCs w:val="24"/>
        </w:rPr>
        <w:t xml:space="preserve"> from the home in order to make the home safe</w:t>
      </w:r>
      <w:r w:rsidR="00B67A53">
        <w:rPr>
          <w:rFonts w:ascii="Arial" w:hAnsi="Arial" w:cs="Arial"/>
          <w:sz w:val="24"/>
          <w:szCs w:val="24"/>
        </w:rPr>
        <w:t xml:space="preserve">. </w:t>
      </w:r>
      <w:r w:rsidR="0099107D" w:rsidRPr="0099107D">
        <w:rPr>
          <w:rFonts w:ascii="Arial" w:hAnsi="Arial" w:cs="Arial"/>
          <w:sz w:val="24"/>
          <w:szCs w:val="24"/>
        </w:rPr>
        <w:t xml:space="preserve"> </w:t>
      </w:r>
    </w:p>
    <w:p w:rsidR="0099107D" w:rsidRPr="0099107D" w:rsidRDefault="0099107D" w:rsidP="0099107D">
      <w:pPr>
        <w:rPr>
          <w:rFonts w:ascii="Arial" w:hAnsi="Arial" w:cs="Arial"/>
          <w:sz w:val="24"/>
          <w:szCs w:val="24"/>
        </w:rPr>
      </w:pP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Question 39 – options for redress and forums for redress - VCAT</w:t>
      </w:r>
    </w:p>
    <w:p w:rsidR="007664A5" w:rsidRDefault="007664A5" w:rsidP="005445DA">
      <w:pPr>
        <w:rPr>
          <w:rFonts w:ascii="Arial" w:hAnsi="Arial" w:cs="Arial"/>
          <w:sz w:val="24"/>
          <w:szCs w:val="24"/>
        </w:rPr>
      </w:pPr>
    </w:p>
    <w:p w:rsidR="00AB173D" w:rsidRDefault="00AB173D" w:rsidP="005445DA">
      <w:pPr>
        <w:rPr>
          <w:rFonts w:ascii="Arial" w:hAnsi="Arial" w:cs="Arial"/>
          <w:sz w:val="24"/>
          <w:szCs w:val="24"/>
        </w:rPr>
      </w:pPr>
      <w:r>
        <w:rPr>
          <w:rFonts w:ascii="Arial" w:hAnsi="Arial" w:cs="Arial"/>
          <w:sz w:val="24"/>
          <w:szCs w:val="24"/>
        </w:rPr>
        <w:t>Forum</w:t>
      </w:r>
    </w:p>
    <w:p w:rsidR="00737D86" w:rsidRDefault="00737D86" w:rsidP="005445DA">
      <w:pPr>
        <w:rPr>
          <w:rFonts w:ascii="Arial" w:hAnsi="Arial" w:cs="Arial"/>
          <w:sz w:val="24"/>
          <w:szCs w:val="24"/>
        </w:rPr>
      </w:pPr>
    </w:p>
    <w:p w:rsidR="005445DA" w:rsidRDefault="0099107D" w:rsidP="005445DA">
      <w:pPr>
        <w:rPr>
          <w:rFonts w:ascii="Arial" w:hAnsi="Arial" w:cs="Arial"/>
          <w:sz w:val="24"/>
          <w:szCs w:val="24"/>
        </w:rPr>
      </w:pPr>
      <w:r w:rsidRPr="0099107D">
        <w:rPr>
          <w:rFonts w:ascii="Arial" w:hAnsi="Arial" w:cs="Arial"/>
          <w:sz w:val="24"/>
          <w:szCs w:val="24"/>
        </w:rPr>
        <w:t xml:space="preserve">As observed most </w:t>
      </w:r>
      <w:r w:rsidR="00B67A53">
        <w:rPr>
          <w:rFonts w:ascii="Arial" w:hAnsi="Arial" w:cs="Arial"/>
          <w:sz w:val="24"/>
          <w:szCs w:val="24"/>
        </w:rPr>
        <w:t xml:space="preserve">avenues </w:t>
      </w:r>
      <w:r w:rsidRPr="0099107D">
        <w:rPr>
          <w:rFonts w:ascii="Arial" w:hAnsi="Arial" w:cs="Arial"/>
          <w:sz w:val="24"/>
          <w:szCs w:val="24"/>
        </w:rPr>
        <w:t xml:space="preserve">for redress </w:t>
      </w:r>
      <w:r w:rsidR="00B67A53">
        <w:rPr>
          <w:rFonts w:ascii="Arial" w:hAnsi="Arial" w:cs="Arial"/>
          <w:sz w:val="24"/>
          <w:szCs w:val="24"/>
        </w:rPr>
        <w:t xml:space="preserve">in </w:t>
      </w:r>
      <w:r w:rsidRPr="0099107D">
        <w:rPr>
          <w:rFonts w:ascii="Arial" w:hAnsi="Arial" w:cs="Arial"/>
          <w:sz w:val="24"/>
          <w:szCs w:val="24"/>
        </w:rPr>
        <w:t xml:space="preserve">property matters </w:t>
      </w:r>
      <w:r w:rsidR="00B67A53">
        <w:rPr>
          <w:rFonts w:ascii="Arial" w:hAnsi="Arial" w:cs="Arial"/>
          <w:sz w:val="24"/>
          <w:szCs w:val="24"/>
        </w:rPr>
        <w:t>involve c</w:t>
      </w:r>
      <w:r w:rsidRPr="0099107D">
        <w:rPr>
          <w:rFonts w:ascii="Arial" w:hAnsi="Arial" w:cs="Arial"/>
          <w:sz w:val="24"/>
          <w:szCs w:val="24"/>
        </w:rPr>
        <w:t xml:space="preserve">ostly applications to the Supreme Court. </w:t>
      </w:r>
      <w:r w:rsidR="005445DA">
        <w:rPr>
          <w:rFonts w:ascii="Arial" w:hAnsi="Arial" w:cs="Arial"/>
          <w:sz w:val="24"/>
          <w:szCs w:val="24"/>
        </w:rPr>
        <w:t xml:space="preserve">The superior </w:t>
      </w:r>
      <w:r w:rsidR="005445DA" w:rsidRPr="0099107D">
        <w:rPr>
          <w:rFonts w:ascii="Arial" w:hAnsi="Arial" w:cs="Arial"/>
          <w:sz w:val="24"/>
          <w:szCs w:val="24"/>
        </w:rPr>
        <w:t xml:space="preserve">courts have expertise </w:t>
      </w:r>
      <w:r w:rsidR="005445DA">
        <w:rPr>
          <w:rFonts w:ascii="Arial" w:hAnsi="Arial" w:cs="Arial"/>
          <w:sz w:val="24"/>
          <w:szCs w:val="24"/>
        </w:rPr>
        <w:t xml:space="preserve">in complex property transactions but are </w:t>
      </w:r>
      <w:r w:rsidR="005445DA" w:rsidRPr="0099107D">
        <w:rPr>
          <w:rFonts w:ascii="Arial" w:hAnsi="Arial" w:cs="Arial"/>
          <w:sz w:val="24"/>
          <w:szCs w:val="24"/>
        </w:rPr>
        <w:t xml:space="preserve">beyond the financial </w:t>
      </w:r>
      <w:r w:rsidR="00AB173D">
        <w:rPr>
          <w:rFonts w:ascii="Arial" w:hAnsi="Arial" w:cs="Arial"/>
          <w:sz w:val="24"/>
          <w:szCs w:val="24"/>
        </w:rPr>
        <w:t xml:space="preserve">reach </w:t>
      </w:r>
      <w:r w:rsidR="005445DA">
        <w:rPr>
          <w:rFonts w:ascii="Arial" w:hAnsi="Arial" w:cs="Arial"/>
          <w:sz w:val="24"/>
          <w:szCs w:val="24"/>
        </w:rPr>
        <w:t>of most people</w:t>
      </w:r>
      <w:r w:rsidR="00AB173D">
        <w:rPr>
          <w:rFonts w:ascii="Arial" w:hAnsi="Arial" w:cs="Arial"/>
          <w:sz w:val="24"/>
          <w:szCs w:val="24"/>
        </w:rPr>
        <w:t xml:space="preserve">. </w:t>
      </w:r>
    </w:p>
    <w:p w:rsidR="00444698" w:rsidRDefault="00444698" w:rsidP="00444698">
      <w:pPr>
        <w:rPr>
          <w:rFonts w:ascii="Arial" w:hAnsi="Arial" w:cs="Arial"/>
          <w:sz w:val="24"/>
          <w:szCs w:val="24"/>
        </w:rPr>
      </w:pPr>
    </w:p>
    <w:p w:rsidR="00444698" w:rsidRDefault="000C341F" w:rsidP="00444698">
      <w:pPr>
        <w:rPr>
          <w:rFonts w:ascii="Arial" w:hAnsi="Arial" w:cs="Arial"/>
          <w:sz w:val="24"/>
          <w:szCs w:val="24"/>
        </w:rPr>
      </w:pPr>
      <w:r>
        <w:rPr>
          <w:rFonts w:ascii="Arial" w:hAnsi="Arial" w:cs="Arial"/>
          <w:sz w:val="24"/>
          <w:szCs w:val="24"/>
        </w:rPr>
        <w:lastRenderedPageBreak/>
        <w:t>Apart from the issue of which courts have equitable jurisdiction, o</w:t>
      </w:r>
      <w:r w:rsidR="00444698" w:rsidRPr="0099107D">
        <w:rPr>
          <w:rFonts w:ascii="Arial" w:hAnsi="Arial" w:cs="Arial"/>
          <w:sz w:val="24"/>
          <w:szCs w:val="24"/>
        </w:rPr>
        <w:t xml:space="preserve">ne of the reasons why the Supreme Court </w:t>
      </w:r>
      <w:r w:rsidR="00444698">
        <w:rPr>
          <w:rFonts w:ascii="Arial" w:hAnsi="Arial" w:cs="Arial"/>
          <w:sz w:val="24"/>
          <w:szCs w:val="24"/>
        </w:rPr>
        <w:t xml:space="preserve">jurisdiction will persist is because it is common in cases of financial elder abuse for the request for legal assistance to come at the last moment </w:t>
      </w:r>
      <w:proofErr w:type="gramStart"/>
      <w:r w:rsidR="00444698">
        <w:rPr>
          <w:rFonts w:ascii="Arial" w:hAnsi="Arial" w:cs="Arial"/>
          <w:sz w:val="24"/>
          <w:szCs w:val="24"/>
        </w:rPr>
        <w:t xml:space="preserve">after </w:t>
      </w:r>
      <w:r w:rsidR="00444698" w:rsidRPr="0099107D">
        <w:rPr>
          <w:rFonts w:ascii="Arial" w:hAnsi="Arial" w:cs="Arial"/>
          <w:sz w:val="24"/>
          <w:szCs w:val="24"/>
        </w:rPr>
        <w:t xml:space="preserve"> third</w:t>
      </w:r>
      <w:proofErr w:type="gramEnd"/>
      <w:r w:rsidR="00444698" w:rsidRPr="0099107D">
        <w:rPr>
          <w:rFonts w:ascii="Arial" w:hAnsi="Arial" w:cs="Arial"/>
          <w:sz w:val="24"/>
          <w:szCs w:val="24"/>
        </w:rPr>
        <w:t xml:space="preserve">-parties such as banks </w:t>
      </w:r>
      <w:r w:rsidR="00444698">
        <w:rPr>
          <w:rFonts w:ascii="Arial" w:hAnsi="Arial" w:cs="Arial"/>
          <w:sz w:val="24"/>
          <w:szCs w:val="24"/>
        </w:rPr>
        <w:t xml:space="preserve">have commenced litigation to exercise </w:t>
      </w:r>
      <w:r w:rsidR="00444698" w:rsidRPr="0099107D">
        <w:rPr>
          <w:rFonts w:ascii="Arial" w:hAnsi="Arial" w:cs="Arial"/>
          <w:sz w:val="24"/>
          <w:szCs w:val="24"/>
        </w:rPr>
        <w:t>their rights</w:t>
      </w:r>
      <w:r w:rsidR="00444698">
        <w:rPr>
          <w:rFonts w:ascii="Arial" w:hAnsi="Arial" w:cs="Arial"/>
          <w:sz w:val="24"/>
          <w:szCs w:val="24"/>
        </w:rPr>
        <w:t xml:space="preserve">, </w:t>
      </w:r>
      <w:r w:rsidR="00444698" w:rsidRPr="0099107D">
        <w:rPr>
          <w:rFonts w:ascii="Arial" w:hAnsi="Arial" w:cs="Arial"/>
          <w:sz w:val="24"/>
          <w:szCs w:val="24"/>
        </w:rPr>
        <w:t xml:space="preserve"> which </w:t>
      </w:r>
      <w:r w:rsidR="00444698">
        <w:rPr>
          <w:rFonts w:ascii="Arial" w:hAnsi="Arial" w:cs="Arial"/>
          <w:sz w:val="24"/>
          <w:szCs w:val="24"/>
        </w:rPr>
        <w:t xml:space="preserve">recourse </w:t>
      </w:r>
      <w:r w:rsidR="00444698" w:rsidRPr="0099107D">
        <w:rPr>
          <w:rFonts w:ascii="Arial" w:hAnsi="Arial" w:cs="Arial"/>
          <w:sz w:val="24"/>
          <w:szCs w:val="24"/>
        </w:rPr>
        <w:t xml:space="preserve"> usually </w:t>
      </w:r>
      <w:r w:rsidR="00444698">
        <w:rPr>
          <w:rFonts w:ascii="Arial" w:hAnsi="Arial" w:cs="Arial"/>
          <w:sz w:val="24"/>
          <w:szCs w:val="24"/>
        </w:rPr>
        <w:t xml:space="preserve">lies with </w:t>
      </w:r>
      <w:r w:rsidR="00444698" w:rsidRPr="0099107D">
        <w:rPr>
          <w:rFonts w:ascii="Arial" w:hAnsi="Arial" w:cs="Arial"/>
          <w:sz w:val="24"/>
          <w:szCs w:val="24"/>
        </w:rPr>
        <w:t xml:space="preserve">the Supreme court of each jurisdiction. </w:t>
      </w:r>
    </w:p>
    <w:p w:rsidR="00444698" w:rsidRDefault="00444698" w:rsidP="00444698">
      <w:pPr>
        <w:rPr>
          <w:rFonts w:ascii="Arial" w:hAnsi="Arial" w:cs="Arial"/>
          <w:sz w:val="24"/>
          <w:szCs w:val="24"/>
        </w:rPr>
      </w:pPr>
    </w:p>
    <w:p w:rsidR="00737D86" w:rsidRDefault="001D10C7" w:rsidP="00444698">
      <w:pPr>
        <w:rPr>
          <w:rFonts w:ascii="Arial" w:hAnsi="Arial" w:cs="Arial"/>
          <w:sz w:val="24"/>
          <w:szCs w:val="24"/>
        </w:rPr>
      </w:pPr>
      <w:r>
        <w:rPr>
          <w:rFonts w:ascii="Arial" w:hAnsi="Arial" w:cs="Arial"/>
          <w:sz w:val="24"/>
          <w:szCs w:val="24"/>
        </w:rPr>
        <w:t xml:space="preserve">The </w:t>
      </w:r>
      <w:r w:rsidR="00444698" w:rsidRPr="0099107D">
        <w:rPr>
          <w:rFonts w:ascii="Arial" w:hAnsi="Arial" w:cs="Arial"/>
          <w:sz w:val="24"/>
          <w:szCs w:val="24"/>
        </w:rPr>
        <w:t>Family Court</w:t>
      </w:r>
      <w:r>
        <w:rPr>
          <w:rFonts w:ascii="Arial" w:hAnsi="Arial" w:cs="Arial"/>
          <w:sz w:val="24"/>
          <w:szCs w:val="24"/>
        </w:rPr>
        <w:t xml:space="preserve"> has </w:t>
      </w:r>
      <w:r w:rsidR="00444698" w:rsidRPr="0099107D">
        <w:rPr>
          <w:rFonts w:ascii="Arial" w:hAnsi="Arial" w:cs="Arial"/>
          <w:sz w:val="24"/>
          <w:szCs w:val="24"/>
        </w:rPr>
        <w:t>jurisdiction</w:t>
      </w:r>
      <w:r>
        <w:rPr>
          <w:rFonts w:ascii="Arial" w:hAnsi="Arial" w:cs="Arial"/>
          <w:sz w:val="24"/>
          <w:szCs w:val="24"/>
        </w:rPr>
        <w:t xml:space="preserve"> to hear claims for support by parties who are married to each other although it is rarely used when the marriage is still live. </w:t>
      </w:r>
      <w:r w:rsidR="00737D86">
        <w:rPr>
          <w:rFonts w:ascii="Arial" w:hAnsi="Arial" w:cs="Arial"/>
          <w:sz w:val="24"/>
          <w:szCs w:val="24"/>
        </w:rPr>
        <w:t xml:space="preserve">It has jurisdiction to hear from third party </w:t>
      </w:r>
      <w:proofErr w:type="spellStart"/>
      <w:r w:rsidR="00737D86">
        <w:rPr>
          <w:rFonts w:ascii="Arial" w:hAnsi="Arial" w:cs="Arial"/>
          <w:sz w:val="24"/>
          <w:szCs w:val="24"/>
        </w:rPr>
        <w:t>intervenors</w:t>
      </w:r>
      <w:proofErr w:type="spellEnd"/>
      <w:r w:rsidR="00737D86">
        <w:rPr>
          <w:rFonts w:ascii="Arial" w:hAnsi="Arial" w:cs="Arial"/>
          <w:sz w:val="24"/>
          <w:szCs w:val="24"/>
        </w:rPr>
        <w:t xml:space="preserve"> and is occasionally used by adult children seeking to protect their interest in an asset owned by their family members, but rarely used by older family members in the same way. </w:t>
      </w:r>
    </w:p>
    <w:p w:rsidR="00737D86" w:rsidRDefault="00737D86" w:rsidP="00444698">
      <w:pPr>
        <w:rPr>
          <w:rFonts w:ascii="Arial" w:hAnsi="Arial" w:cs="Arial"/>
          <w:sz w:val="24"/>
          <w:szCs w:val="24"/>
        </w:rPr>
      </w:pPr>
    </w:p>
    <w:p w:rsidR="00444698" w:rsidRPr="0099107D" w:rsidRDefault="001D10C7" w:rsidP="00444698">
      <w:pPr>
        <w:rPr>
          <w:rFonts w:ascii="Arial" w:hAnsi="Arial" w:cs="Arial"/>
          <w:sz w:val="24"/>
          <w:szCs w:val="24"/>
        </w:rPr>
      </w:pPr>
      <w:r>
        <w:rPr>
          <w:rFonts w:ascii="Arial" w:hAnsi="Arial" w:cs="Arial"/>
          <w:sz w:val="24"/>
          <w:szCs w:val="24"/>
        </w:rPr>
        <w:t xml:space="preserve">It also has </w:t>
      </w:r>
      <w:r w:rsidR="00444698">
        <w:rPr>
          <w:rFonts w:ascii="Arial" w:hAnsi="Arial" w:cs="Arial"/>
          <w:sz w:val="24"/>
          <w:szCs w:val="24"/>
        </w:rPr>
        <w:t>jurisdiction to hear matters involving third parties</w:t>
      </w:r>
      <w:r>
        <w:rPr>
          <w:rFonts w:ascii="Arial" w:hAnsi="Arial" w:cs="Arial"/>
          <w:sz w:val="24"/>
          <w:szCs w:val="24"/>
        </w:rPr>
        <w:t xml:space="preserve">. This </w:t>
      </w:r>
      <w:r w:rsidR="00444698">
        <w:rPr>
          <w:rFonts w:ascii="Arial" w:hAnsi="Arial" w:cs="Arial"/>
          <w:sz w:val="24"/>
          <w:szCs w:val="24"/>
        </w:rPr>
        <w:t>jurisdiction is currently used mostly by banks and trustees in bankruptcy</w:t>
      </w:r>
      <w:r>
        <w:rPr>
          <w:rFonts w:ascii="Arial" w:hAnsi="Arial" w:cs="Arial"/>
          <w:sz w:val="24"/>
          <w:szCs w:val="24"/>
        </w:rPr>
        <w:t>, even though the Parliament clearly contemplated that it could be used by family members.</w:t>
      </w:r>
      <w:r>
        <w:rPr>
          <w:rStyle w:val="FootnoteReference"/>
          <w:rFonts w:ascii="Arial" w:hAnsi="Arial" w:cs="Arial"/>
          <w:sz w:val="24"/>
          <w:szCs w:val="24"/>
        </w:rPr>
        <w:footnoteReference w:id="34"/>
      </w:r>
      <w:r>
        <w:rPr>
          <w:rFonts w:ascii="Arial" w:hAnsi="Arial" w:cs="Arial"/>
          <w:sz w:val="24"/>
          <w:szCs w:val="24"/>
        </w:rPr>
        <w:t xml:space="preserve"> However recourse to the Family Court is also very expensive.</w:t>
      </w:r>
      <w:r w:rsidR="00444698" w:rsidRPr="0099107D">
        <w:rPr>
          <w:rFonts w:ascii="Arial" w:hAnsi="Arial" w:cs="Arial"/>
          <w:sz w:val="24"/>
          <w:szCs w:val="24"/>
        </w:rPr>
        <w:t xml:space="preserve"> </w:t>
      </w:r>
    </w:p>
    <w:p w:rsidR="005445DA" w:rsidRDefault="005445DA" w:rsidP="005445DA">
      <w:pPr>
        <w:rPr>
          <w:rFonts w:ascii="Arial" w:hAnsi="Arial" w:cs="Arial"/>
          <w:sz w:val="24"/>
          <w:szCs w:val="24"/>
        </w:rPr>
      </w:pPr>
    </w:p>
    <w:p w:rsidR="005445DA" w:rsidRDefault="0099107D" w:rsidP="0099107D">
      <w:pPr>
        <w:rPr>
          <w:rFonts w:ascii="Arial" w:hAnsi="Arial" w:cs="Arial"/>
          <w:sz w:val="24"/>
          <w:szCs w:val="24"/>
        </w:rPr>
      </w:pPr>
      <w:r w:rsidRPr="0099107D">
        <w:rPr>
          <w:rFonts w:ascii="Arial" w:hAnsi="Arial" w:cs="Arial"/>
          <w:sz w:val="24"/>
          <w:szCs w:val="24"/>
        </w:rPr>
        <w:t>However</w:t>
      </w:r>
      <w:r w:rsidR="00444698">
        <w:rPr>
          <w:rFonts w:ascii="Arial" w:hAnsi="Arial" w:cs="Arial"/>
          <w:sz w:val="24"/>
          <w:szCs w:val="24"/>
        </w:rPr>
        <w:t xml:space="preserve">, </w:t>
      </w:r>
      <w:r w:rsidRPr="0099107D">
        <w:rPr>
          <w:rFonts w:ascii="Arial" w:hAnsi="Arial" w:cs="Arial"/>
          <w:sz w:val="24"/>
          <w:szCs w:val="24"/>
        </w:rPr>
        <w:t>re</w:t>
      </w:r>
      <w:r w:rsidR="00444698">
        <w:rPr>
          <w:rFonts w:ascii="Arial" w:hAnsi="Arial" w:cs="Arial"/>
          <w:sz w:val="24"/>
          <w:szCs w:val="24"/>
        </w:rPr>
        <w:t xml:space="preserve">course </w:t>
      </w:r>
      <w:r w:rsidRPr="0099107D">
        <w:rPr>
          <w:rFonts w:ascii="Arial" w:hAnsi="Arial" w:cs="Arial"/>
          <w:sz w:val="24"/>
          <w:szCs w:val="24"/>
        </w:rPr>
        <w:t xml:space="preserve">to a Civil Administrative Tribunal for </w:t>
      </w:r>
      <w:r w:rsidR="00AB173D">
        <w:rPr>
          <w:rFonts w:ascii="Arial" w:hAnsi="Arial" w:cs="Arial"/>
          <w:sz w:val="24"/>
          <w:szCs w:val="24"/>
        </w:rPr>
        <w:t xml:space="preserve">adjudication of </w:t>
      </w:r>
      <w:r w:rsidRPr="0099107D">
        <w:rPr>
          <w:rFonts w:ascii="Arial" w:hAnsi="Arial" w:cs="Arial"/>
          <w:sz w:val="24"/>
          <w:szCs w:val="24"/>
        </w:rPr>
        <w:t xml:space="preserve">complex matters </w:t>
      </w:r>
      <w:r w:rsidR="000C341F">
        <w:rPr>
          <w:rFonts w:ascii="Arial" w:hAnsi="Arial" w:cs="Arial"/>
          <w:sz w:val="24"/>
          <w:szCs w:val="24"/>
        </w:rPr>
        <w:t xml:space="preserve">while less expensive, </w:t>
      </w:r>
      <w:r w:rsidRPr="0099107D">
        <w:rPr>
          <w:rFonts w:ascii="Arial" w:hAnsi="Arial" w:cs="Arial"/>
          <w:sz w:val="24"/>
          <w:szCs w:val="24"/>
        </w:rPr>
        <w:t>m</w:t>
      </w:r>
      <w:r w:rsidR="001441C0">
        <w:rPr>
          <w:rFonts w:ascii="Arial" w:hAnsi="Arial" w:cs="Arial"/>
          <w:sz w:val="24"/>
          <w:szCs w:val="24"/>
        </w:rPr>
        <w:t xml:space="preserve">ight </w:t>
      </w:r>
      <w:r w:rsidRPr="0099107D">
        <w:rPr>
          <w:rFonts w:ascii="Arial" w:hAnsi="Arial" w:cs="Arial"/>
          <w:sz w:val="24"/>
          <w:szCs w:val="24"/>
        </w:rPr>
        <w:t xml:space="preserve">not be the answer. </w:t>
      </w:r>
      <w:r w:rsidR="00B67A53">
        <w:rPr>
          <w:rFonts w:ascii="Arial" w:hAnsi="Arial" w:cs="Arial"/>
          <w:sz w:val="24"/>
          <w:szCs w:val="24"/>
        </w:rPr>
        <w:t xml:space="preserve">Such tribunals </w:t>
      </w:r>
      <w:r w:rsidR="005445DA">
        <w:rPr>
          <w:rFonts w:ascii="Arial" w:hAnsi="Arial" w:cs="Arial"/>
          <w:sz w:val="24"/>
          <w:szCs w:val="24"/>
        </w:rPr>
        <w:t xml:space="preserve">adjudicate cases in specialised lists such as property lists and Human rights lists. The Human Rights list </w:t>
      </w:r>
      <w:proofErr w:type="gramStart"/>
      <w:r w:rsidR="005445DA">
        <w:rPr>
          <w:rFonts w:ascii="Arial" w:hAnsi="Arial" w:cs="Arial"/>
          <w:sz w:val="24"/>
          <w:szCs w:val="24"/>
        </w:rPr>
        <w:t>hearing  matters</w:t>
      </w:r>
      <w:proofErr w:type="gramEnd"/>
      <w:r w:rsidR="005445DA">
        <w:rPr>
          <w:rFonts w:ascii="Arial" w:hAnsi="Arial" w:cs="Arial"/>
          <w:sz w:val="24"/>
          <w:szCs w:val="24"/>
        </w:rPr>
        <w:t xml:space="preserve"> such as Guardianship and Administration often employs tribunal members that are not </w:t>
      </w:r>
      <w:r w:rsidRPr="0099107D">
        <w:rPr>
          <w:rFonts w:ascii="Arial" w:hAnsi="Arial" w:cs="Arial"/>
          <w:sz w:val="24"/>
          <w:szCs w:val="24"/>
        </w:rPr>
        <w:t xml:space="preserve"> legally trained and </w:t>
      </w:r>
      <w:r w:rsidR="005445DA">
        <w:rPr>
          <w:rFonts w:ascii="Arial" w:hAnsi="Arial" w:cs="Arial"/>
          <w:sz w:val="24"/>
          <w:szCs w:val="24"/>
        </w:rPr>
        <w:t xml:space="preserve">without a </w:t>
      </w:r>
      <w:r w:rsidRPr="0099107D">
        <w:rPr>
          <w:rFonts w:ascii="Arial" w:hAnsi="Arial" w:cs="Arial"/>
          <w:sz w:val="24"/>
          <w:szCs w:val="24"/>
        </w:rPr>
        <w:t>sophisticated understanding of complex property disputes</w:t>
      </w:r>
      <w:r w:rsidR="005445DA">
        <w:rPr>
          <w:rFonts w:ascii="Arial" w:hAnsi="Arial" w:cs="Arial"/>
          <w:sz w:val="24"/>
          <w:szCs w:val="24"/>
        </w:rPr>
        <w:t xml:space="preserve"> as their expertise might be in other aspects of disability. </w:t>
      </w:r>
      <w:r w:rsidRPr="0099107D">
        <w:rPr>
          <w:rFonts w:ascii="Arial" w:hAnsi="Arial" w:cs="Arial"/>
          <w:sz w:val="24"/>
          <w:szCs w:val="24"/>
        </w:rPr>
        <w:t xml:space="preserve"> </w:t>
      </w:r>
    </w:p>
    <w:p w:rsidR="005445DA" w:rsidRDefault="005445DA" w:rsidP="0099107D">
      <w:pPr>
        <w:rPr>
          <w:rFonts w:ascii="Arial" w:hAnsi="Arial" w:cs="Arial"/>
          <w:sz w:val="24"/>
          <w:szCs w:val="24"/>
        </w:rPr>
      </w:pPr>
    </w:p>
    <w:p w:rsidR="005445DA" w:rsidRDefault="001D10C7" w:rsidP="0099107D">
      <w:pPr>
        <w:rPr>
          <w:rFonts w:ascii="Arial" w:hAnsi="Arial" w:cs="Arial"/>
          <w:sz w:val="24"/>
          <w:szCs w:val="24"/>
        </w:rPr>
      </w:pPr>
      <w:r>
        <w:rPr>
          <w:rFonts w:ascii="Arial" w:hAnsi="Arial" w:cs="Arial"/>
          <w:sz w:val="24"/>
          <w:szCs w:val="24"/>
        </w:rPr>
        <w:t>Two suggestions are:  that th</w:t>
      </w:r>
      <w:r w:rsidR="0099107D" w:rsidRPr="0099107D">
        <w:rPr>
          <w:rFonts w:ascii="Arial" w:hAnsi="Arial" w:cs="Arial"/>
          <w:sz w:val="24"/>
          <w:szCs w:val="24"/>
        </w:rPr>
        <w:t xml:space="preserve">e superior courts </w:t>
      </w:r>
      <w:proofErr w:type="gramStart"/>
      <w:r>
        <w:rPr>
          <w:rFonts w:ascii="Arial" w:hAnsi="Arial" w:cs="Arial"/>
          <w:sz w:val="24"/>
          <w:szCs w:val="24"/>
        </w:rPr>
        <w:t xml:space="preserve">could </w:t>
      </w:r>
      <w:r w:rsidR="0099107D" w:rsidRPr="0099107D">
        <w:rPr>
          <w:rFonts w:ascii="Arial" w:hAnsi="Arial" w:cs="Arial"/>
          <w:sz w:val="24"/>
          <w:szCs w:val="24"/>
        </w:rPr>
        <w:t xml:space="preserve"> waive</w:t>
      </w:r>
      <w:proofErr w:type="gramEnd"/>
      <w:r w:rsidR="0099107D" w:rsidRPr="0099107D">
        <w:rPr>
          <w:rFonts w:ascii="Arial" w:hAnsi="Arial" w:cs="Arial"/>
          <w:sz w:val="24"/>
          <w:szCs w:val="24"/>
        </w:rPr>
        <w:t xml:space="preserve"> their fees in cases where there is an allegation of elder abuse</w:t>
      </w:r>
      <w:r w:rsidR="00444698">
        <w:rPr>
          <w:rFonts w:ascii="Arial" w:hAnsi="Arial" w:cs="Arial"/>
          <w:sz w:val="24"/>
          <w:szCs w:val="24"/>
        </w:rPr>
        <w:t xml:space="preserve"> and that </w:t>
      </w:r>
      <w:r>
        <w:rPr>
          <w:rFonts w:ascii="Arial" w:hAnsi="Arial" w:cs="Arial"/>
          <w:sz w:val="24"/>
          <w:szCs w:val="24"/>
        </w:rPr>
        <w:t xml:space="preserve">superior courts direct that </w:t>
      </w:r>
      <w:r w:rsidR="00444698">
        <w:rPr>
          <w:rFonts w:ascii="Arial" w:hAnsi="Arial" w:cs="Arial"/>
          <w:sz w:val="24"/>
          <w:szCs w:val="24"/>
        </w:rPr>
        <w:t xml:space="preserve">cost </w:t>
      </w:r>
      <w:r w:rsidR="0099107D" w:rsidRPr="0099107D">
        <w:rPr>
          <w:rFonts w:ascii="Arial" w:hAnsi="Arial" w:cs="Arial"/>
          <w:sz w:val="24"/>
          <w:szCs w:val="24"/>
        </w:rPr>
        <w:t xml:space="preserve">capping orders </w:t>
      </w:r>
      <w:r w:rsidR="00444698">
        <w:rPr>
          <w:rFonts w:ascii="Arial" w:hAnsi="Arial" w:cs="Arial"/>
          <w:sz w:val="24"/>
          <w:szCs w:val="24"/>
        </w:rPr>
        <w:t xml:space="preserve"> be made. </w:t>
      </w:r>
    </w:p>
    <w:p w:rsidR="00444698" w:rsidRDefault="00444698" w:rsidP="0099107D">
      <w:pPr>
        <w:rPr>
          <w:rFonts w:ascii="Arial" w:hAnsi="Arial" w:cs="Arial"/>
          <w:sz w:val="24"/>
          <w:szCs w:val="24"/>
        </w:rPr>
      </w:pPr>
    </w:p>
    <w:p w:rsidR="00AB173D" w:rsidRDefault="00AB173D" w:rsidP="0099107D">
      <w:pPr>
        <w:rPr>
          <w:rFonts w:ascii="Arial" w:hAnsi="Arial" w:cs="Arial"/>
          <w:sz w:val="24"/>
          <w:szCs w:val="24"/>
        </w:rPr>
      </w:pPr>
      <w:r>
        <w:rPr>
          <w:rFonts w:ascii="Arial" w:hAnsi="Arial" w:cs="Arial"/>
          <w:sz w:val="24"/>
          <w:szCs w:val="24"/>
        </w:rPr>
        <w:t>Criteria for legal assistance</w:t>
      </w:r>
    </w:p>
    <w:p w:rsidR="00B03F2D" w:rsidRDefault="00B03F2D" w:rsidP="0099107D">
      <w:pPr>
        <w:rPr>
          <w:rFonts w:ascii="Arial" w:hAnsi="Arial" w:cs="Arial"/>
          <w:sz w:val="24"/>
          <w:szCs w:val="24"/>
        </w:rPr>
      </w:pPr>
    </w:p>
    <w:p w:rsidR="005445DA" w:rsidRDefault="00444698" w:rsidP="0099107D">
      <w:pPr>
        <w:rPr>
          <w:rFonts w:ascii="Arial" w:hAnsi="Arial" w:cs="Arial"/>
          <w:sz w:val="24"/>
          <w:szCs w:val="24"/>
        </w:rPr>
      </w:pPr>
      <w:r>
        <w:rPr>
          <w:rFonts w:ascii="Arial" w:hAnsi="Arial" w:cs="Arial"/>
          <w:sz w:val="24"/>
          <w:szCs w:val="24"/>
        </w:rPr>
        <w:t xml:space="preserve">The </w:t>
      </w:r>
      <w:r w:rsidR="0099107D" w:rsidRPr="0099107D">
        <w:rPr>
          <w:rFonts w:ascii="Arial" w:hAnsi="Arial" w:cs="Arial"/>
          <w:sz w:val="24"/>
          <w:szCs w:val="24"/>
        </w:rPr>
        <w:t xml:space="preserve">Commonwealth Department of Justice </w:t>
      </w:r>
      <w:r w:rsidR="00AB173D">
        <w:rPr>
          <w:rFonts w:ascii="Arial" w:hAnsi="Arial" w:cs="Arial"/>
          <w:sz w:val="24"/>
          <w:szCs w:val="24"/>
        </w:rPr>
        <w:t xml:space="preserve">imposes </w:t>
      </w:r>
      <w:r w:rsidR="0099107D" w:rsidRPr="0099107D">
        <w:rPr>
          <w:rFonts w:ascii="Arial" w:hAnsi="Arial" w:cs="Arial"/>
          <w:sz w:val="24"/>
          <w:szCs w:val="24"/>
        </w:rPr>
        <w:t xml:space="preserve">the criteria for Legal Aid </w:t>
      </w:r>
      <w:r>
        <w:rPr>
          <w:rFonts w:ascii="Arial" w:hAnsi="Arial" w:cs="Arial"/>
          <w:sz w:val="24"/>
          <w:szCs w:val="24"/>
        </w:rPr>
        <w:t xml:space="preserve">assistance applied by state </w:t>
      </w:r>
      <w:proofErr w:type="gramStart"/>
      <w:r>
        <w:rPr>
          <w:rFonts w:ascii="Arial" w:hAnsi="Arial" w:cs="Arial"/>
          <w:sz w:val="24"/>
          <w:szCs w:val="24"/>
        </w:rPr>
        <w:t>based  legal</w:t>
      </w:r>
      <w:proofErr w:type="gramEnd"/>
      <w:r>
        <w:rPr>
          <w:rFonts w:ascii="Arial" w:hAnsi="Arial" w:cs="Arial"/>
          <w:sz w:val="24"/>
          <w:szCs w:val="24"/>
        </w:rPr>
        <w:t xml:space="preserve"> aid commissions in regard to both means and  as to merits</w:t>
      </w:r>
      <w:r w:rsidR="00AB173D">
        <w:rPr>
          <w:rFonts w:ascii="Arial" w:hAnsi="Arial" w:cs="Arial"/>
          <w:sz w:val="24"/>
          <w:szCs w:val="24"/>
        </w:rPr>
        <w:t xml:space="preserve"> of funded cases</w:t>
      </w:r>
      <w:r>
        <w:rPr>
          <w:rFonts w:ascii="Arial" w:hAnsi="Arial" w:cs="Arial"/>
          <w:sz w:val="24"/>
          <w:szCs w:val="24"/>
        </w:rPr>
        <w:t xml:space="preserve">. Traditionally </w:t>
      </w:r>
      <w:r w:rsidR="001D10C7">
        <w:rPr>
          <w:rFonts w:ascii="Arial" w:hAnsi="Arial" w:cs="Arial"/>
          <w:sz w:val="24"/>
          <w:szCs w:val="24"/>
        </w:rPr>
        <w:t xml:space="preserve">means </w:t>
      </w:r>
      <w:r>
        <w:rPr>
          <w:rFonts w:ascii="Arial" w:hAnsi="Arial" w:cs="Arial"/>
          <w:sz w:val="24"/>
          <w:szCs w:val="24"/>
        </w:rPr>
        <w:t xml:space="preserve">criteria exclude any applicant with means to own their own home </w:t>
      </w:r>
      <w:r w:rsidR="001D10C7">
        <w:rPr>
          <w:rFonts w:ascii="Arial" w:hAnsi="Arial" w:cs="Arial"/>
          <w:sz w:val="24"/>
          <w:szCs w:val="24"/>
        </w:rPr>
        <w:t xml:space="preserve">and merits criteria exclude </w:t>
      </w:r>
      <w:r>
        <w:rPr>
          <w:rFonts w:ascii="Arial" w:hAnsi="Arial" w:cs="Arial"/>
          <w:sz w:val="24"/>
          <w:szCs w:val="24"/>
        </w:rPr>
        <w:t xml:space="preserve">any application which relates to the recovery of property. The criteria for legal assistance </w:t>
      </w:r>
      <w:r w:rsidR="0099107D" w:rsidRPr="0099107D">
        <w:rPr>
          <w:rFonts w:ascii="Arial" w:hAnsi="Arial" w:cs="Arial"/>
          <w:sz w:val="24"/>
          <w:szCs w:val="24"/>
        </w:rPr>
        <w:t xml:space="preserve">could </w:t>
      </w:r>
      <w:r>
        <w:rPr>
          <w:rFonts w:ascii="Arial" w:hAnsi="Arial" w:cs="Arial"/>
          <w:sz w:val="24"/>
          <w:szCs w:val="24"/>
        </w:rPr>
        <w:t xml:space="preserve">be changed to grant </w:t>
      </w:r>
      <w:r w:rsidR="0099107D" w:rsidRPr="0099107D">
        <w:rPr>
          <w:rFonts w:ascii="Arial" w:hAnsi="Arial" w:cs="Arial"/>
          <w:sz w:val="24"/>
          <w:szCs w:val="24"/>
        </w:rPr>
        <w:t>legal assistance in cases of financial elder abuse on certain conditions</w:t>
      </w:r>
      <w:r>
        <w:rPr>
          <w:rFonts w:ascii="Arial" w:hAnsi="Arial" w:cs="Arial"/>
          <w:sz w:val="24"/>
          <w:szCs w:val="24"/>
        </w:rPr>
        <w:t xml:space="preserve">, </w:t>
      </w:r>
      <w:r w:rsidR="0099107D" w:rsidRPr="0099107D">
        <w:rPr>
          <w:rFonts w:ascii="Arial" w:hAnsi="Arial" w:cs="Arial"/>
          <w:sz w:val="24"/>
          <w:szCs w:val="24"/>
        </w:rPr>
        <w:t xml:space="preserve"> for example for a </w:t>
      </w:r>
      <w:r>
        <w:rPr>
          <w:rFonts w:ascii="Arial" w:hAnsi="Arial" w:cs="Arial"/>
          <w:sz w:val="24"/>
          <w:szCs w:val="24"/>
        </w:rPr>
        <w:t xml:space="preserve">registrable </w:t>
      </w:r>
      <w:r w:rsidR="0099107D" w:rsidRPr="0099107D">
        <w:rPr>
          <w:rFonts w:ascii="Arial" w:hAnsi="Arial" w:cs="Arial"/>
          <w:sz w:val="24"/>
          <w:szCs w:val="24"/>
        </w:rPr>
        <w:t xml:space="preserve">charge to be taken </w:t>
      </w:r>
      <w:r>
        <w:rPr>
          <w:rFonts w:ascii="Arial" w:hAnsi="Arial" w:cs="Arial"/>
          <w:sz w:val="24"/>
          <w:szCs w:val="24"/>
        </w:rPr>
        <w:t xml:space="preserve">and </w:t>
      </w:r>
      <w:r w:rsidR="0099107D" w:rsidRPr="0099107D">
        <w:rPr>
          <w:rFonts w:ascii="Arial" w:hAnsi="Arial" w:cs="Arial"/>
          <w:sz w:val="24"/>
          <w:szCs w:val="24"/>
        </w:rPr>
        <w:t>repayable once the person passes away</w:t>
      </w:r>
      <w:r>
        <w:rPr>
          <w:rFonts w:ascii="Arial" w:hAnsi="Arial" w:cs="Arial"/>
          <w:sz w:val="24"/>
          <w:szCs w:val="24"/>
        </w:rPr>
        <w:t xml:space="preserve"> and </w:t>
      </w:r>
      <w:r w:rsidR="0099107D" w:rsidRPr="0099107D">
        <w:rPr>
          <w:rFonts w:ascii="Arial" w:hAnsi="Arial" w:cs="Arial"/>
          <w:sz w:val="24"/>
          <w:szCs w:val="24"/>
        </w:rPr>
        <w:t>costs capping orders</w:t>
      </w:r>
      <w:r>
        <w:rPr>
          <w:rFonts w:ascii="Arial" w:hAnsi="Arial" w:cs="Arial"/>
          <w:sz w:val="24"/>
          <w:szCs w:val="24"/>
        </w:rPr>
        <w:t xml:space="preserve"> being obtained.</w:t>
      </w:r>
      <w:r w:rsidR="0099107D" w:rsidRPr="0099107D">
        <w:rPr>
          <w:rFonts w:ascii="Arial" w:hAnsi="Arial" w:cs="Arial"/>
          <w:sz w:val="24"/>
          <w:szCs w:val="24"/>
        </w:rPr>
        <w:t xml:space="preserve"> </w:t>
      </w:r>
    </w:p>
    <w:p w:rsidR="005445DA" w:rsidRDefault="005445DA" w:rsidP="0099107D">
      <w:pPr>
        <w:rPr>
          <w:rFonts w:ascii="Arial" w:hAnsi="Arial" w:cs="Arial"/>
          <w:sz w:val="24"/>
          <w:szCs w:val="24"/>
        </w:rPr>
      </w:pPr>
    </w:p>
    <w:p w:rsidR="00B37D6E" w:rsidRPr="00F725DA" w:rsidRDefault="00B37D6E" w:rsidP="00B37D6E">
      <w:pPr>
        <w:rPr>
          <w:rFonts w:ascii="Arial" w:hAnsi="Arial" w:cs="Arial"/>
          <w:iCs/>
          <w:sz w:val="24"/>
          <w:szCs w:val="24"/>
        </w:rPr>
      </w:pPr>
      <w:r w:rsidRPr="00F725DA">
        <w:rPr>
          <w:rFonts w:ascii="Arial" w:hAnsi="Arial" w:cs="Arial"/>
          <w:iCs/>
          <w:sz w:val="24"/>
          <w:szCs w:val="24"/>
        </w:rPr>
        <w:t xml:space="preserve"> Service orders, protection orders and placement orders</w:t>
      </w:r>
    </w:p>
    <w:p w:rsidR="00B37D6E" w:rsidRDefault="00B37D6E" w:rsidP="00B37D6E">
      <w:pPr>
        <w:rPr>
          <w:rFonts w:ascii="Arial" w:hAnsi="Arial" w:cs="Arial"/>
          <w:sz w:val="24"/>
          <w:szCs w:val="24"/>
        </w:rPr>
      </w:pPr>
    </w:p>
    <w:p w:rsidR="00B37D6E" w:rsidRDefault="00B37D6E" w:rsidP="00B37D6E">
      <w:pPr>
        <w:rPr>
          <w:rFonts w:ascii="Arial" w:hAnsi="Arial" w:cs="Arial"/>
          <w:sz w:val="24"/>
          <w:szCs w:val="24"/>
        </w:rPr>
      </w:pPr>
      <w:r>
        <w:rPr>
          <w:rFonts w:ascii="Arial" w:hAnsi="Arial" w:cs="Arial"/>
          <w:sz w:val="24"/>
          <w:szCs w:val="24"/>
        </w:rPr>
        <w:t xml:space="preserve">If such orders are directed to agencies to provide services to specified persons, it might be difficult to give any </w:t>
      </w:r>
      <w:proofErr w:type="gramStart"/>
      <w:r>
        <w:rPr>
          <w:rFonts w:ascii="Arial" w:hAnsi="Arial" w:cs="Arial"/>
          <w:sz w:val="24"/>
          <w:szCs w:val="24"/>
        </w:rPr>
        <w:t>Court  jurisdiction</w:t>
      </w:r>
      <w:proofErr w:type="gramEnd"/>
      <w:r>
        <w:rPr>
          <w:rFonts w:ascii="Arial" w:hAnsi="Arial" w:cs="Arial"/>
          <w:sz w:val="24"/>
          <w:szCs w:val="24"/>
        </w:rPr>
        <w:t xml:space="preserve"> to make orders in respect of service provision when agencies  have to observe entitlement criteria as a pre-condition of  their funding. </w:t>
      </w:r>
    </w:p>
    <w:p w:rsidR="00B37D6E" w:rsidRDefault="00B37D6E" w:rsidP="00B37D6E">
      <w:pPr>
        <w:rPr>
          <w:rFonts w:ascii="Arial" w:hAnsi="Arial" w:cs="Arial"/>
          <w:sz w:val="24"/>
          <w:szCs w:val="24"/>
        </w:rPr>
      </w:pPr>
    </w:p>
    <w:p w:rsidR="00B37D6E" w:rsidRPr="0099107D" w:rsidRDefault="00B37D6E" w:rsidP="00B37D6E">
      <w:pPr>
        <w:rPr>
          <w:rFonts w:ascii="Arial" w:hAnsi="Arial" w:cs="Arial"/>
          <w:sz w:val="24"/>
          <w:szCs w:val="24"/>
        </w:rPr>
      </w:pPr>
      <w:r>
        <w:rPr>
          <w:rFonts w:ascii="Arial" w:hAnsi="Arial" w:cs="Arial"/>
          <w:sz w:val="24"/>
          <w:szCs w:val="24"/>
        </w:rPr>
        <w:lastRenderedPageBreak/>
        <w:t xml:space="preserve">Alternatively, if such orders are directed to individual person to enlist the support of services, and take up placements  as offered, such orders would the Court to  be given power to make orders in the nature of adult protection, which we </w:t>
      </w:r>
      <w:r w:rsidRPr="0099107D">
        <w:rPr>
          <w:rFonts w:ascii="Arial" w:hAnsi="Arial" w:cs="Arial"/>
          <w:sz w:val="24"/>
          <w:szCs w:val="24"/>
        </w:rPr>
        <w:t xml:space="preserve"> currently don’t have in any Australian state. </w:t>
      </w:r>
    </w:p>
    <w:p w:rsidR="00B37D6E" w:rsidRPr="0099107D" w:rsidRDefault="00B37D6E" w:rsidP="0099107D">
      <w:pPr>
        <w:rPr>
          <w:rFonts w:ascii="Arial" w:hAnsi="Arial" w:cs="Arial"/>
          <w:i/>
          <w:iCs/>
          <w:sz w:val="24"/>
          <w:szCs w:val="24"/>
          <w:u w:val="single"/>
        </w:rPr>
      </w:pP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Question 4</w:t>
      </w:r>
      <w:r w:rsidR="003D75CE">
        <w:rPr>
          <w:rFonts w:ascii="Arial" w:hAnsi="Arial" w:cs="Arial"/>
          <w:i/>
          <w:iCs/>
          <w:sz w:val="24"/>
          <w:szCs w:val="24"/>
          <w:u w:val="single"/>
        </w:rPr>
        <w:t>2</w:t>
      </w:r>
      <w:r w:rsidRPr="0099107D">
        <w:rPr>
          <w:rFonts w:ascii="Arial" w:hAnsi="Arial" w:cs="Arial"/>
          <w:i/>
          <w:iCs/>
          <w:sz w:val="24"/>
          <w:szCs w:val="24"/>
          <w:u w:val="single"/>
        </w:rPr>
        <w:t xml:space="preserve"> – </w:t>
      </w:r>
      <w:r w:rsidR="00823382">
        <w:rPr>
          <w:rFonts w:ascii="Arial" w:hAnsi="Arial" w:cs="Arial"/>
          <w:i/>
          <w:iCs/>
          <w:sz w:val="24"/>
          <w:szCs w:val="24"/>
          <w:u w:val="single"/>
        </w:rPr>
        <w:t xml:space="preserve">The legal framework of dealing with elder abuse by neglect  </w:t>
      </w:r>
    </w:p>
    <w:p w:rsidR="003D75CE" w:rsidRDefault="003D75CE" w:rsidP="00823382">
      <w:pPr>
        <w:rPr>
          <w:rFonts w:ascii="Arial" w:hAnsi="Arial" w:cs="Arial"/>
          <w:b/>
          <w:sz w:val="24"/>
          <w:szCs w:val="24"/>
        </w:rPr>
      </w:pPr>
    </w:p>
    <w:p w:rsidR="00ED5B21" w:rsidRPr="00ED5B21" w:rsidRDefault="00ED5B21" w:rsidP="00823382">
      <w:pPr>
        <w:rPr>
          <w:rFonts w:ascii="Arial" w:hAnsi="Arial" w:cs="Arial"/>
          <w:b/>
          <w:sz w:val="24"/>
          <w:szCs w:val="24"/>
        </w:rPr>
      </w:pPr>
      <w:r w:rsidRPr="00ED5B21">
        <w:rPr>
          <w:rFonts w:ascii="Arial" w:hAnsi="Arial" w:cs="Arial"/>
          <w:b/>
          <w:sz w:val="24"/>
          <w:szCs w:val="24"/>
        </w:rPr>
        <w:t>Criminal Law</w:t>
      </w:r>
    </w:p>
    <w:p w:rsidR="00823382" w:rsidRPr="0099107D" w:rsidRDefault="00823382" w:rsidP="00823382">
      <w:pPr>
        <w:rPr>
          <w:rFonts w:ascii="Arial" w:hAnsi="Arial" w:cs="Arial"/>
          <w:sz w:val="24"/>
          <w:szCs w:val="24"/>
        </w:rPr>
      </w:pPr>
      <w:r w:rsidRPr="0099107D">
        <w:rPr>
          <w:rFonts w:ascii="Arial" w:hAnsi="Arial" w:cs="Arial"/>
          <w:sz w:val="24"/>
          <w:szCs w:val="24"/>
        </w:rPr>
        <w:t xml:space="preserve">There are </w:t>
      </w:r>
      <w:proofErr w:type="gramStart"/>
      <w:r w:rsidR="007664A5">
        <w:rPr>
          <w:rFonts w:ascii="Arial" w:hAnsi="Arial" w:cs="Arial"/>
          <w:sz w:val="24"/>
          <w:szCs w:val="24"/>
        </w:rPr>
        <w:t xml:space="preserve">numerous </w:t>
      </w:r>
      <w:r w:rsidRPr="0099107D">
        <w:rPr>
          <w:rFonts w:ascii="Arial" w:hAnsi="Arial" w:cs="Arial"/>
          <w:sz w:val="24"/>
          <w:szCs w:val="24"/>
        </w:rPr>
        <w:t xml:space="preserve"> </w:t>
      </w:r>
      <w:r>
        <w:rPr>
          <w:rFonts w:ascii="Arial" w:hAnsi="Arial" w:cs="Arial"/>
          <w:sz w:val="24"/>
          <w:szCs w:val="24"/>
        </w:rPr>
        <w:t>barriers</w:t>
      </w:r>
      <w:proofErr w:type="gramEnd"/>
      <w:r>
        <w:rPr>
          <w:rFonts w:ascii="Arial" w:hAnsi="Arial" w:cs="Arial"/>
          <w:sz w:val="24"/>
          <w:szCs w:val="24"/>
        </w:rPr>
        <w:t xml:space="preserve"> to</w:t>
      </w:r>
      <w:r w:rsidRPr="0099107D">
        <w:rPr>
          <w:rFonts w:ascii="Arial" w:hAnsi="Arial" w:cs="Arial"/>
          <w:sz w:val="24"/>
          <w:szCs w:val="24"/>
        </w:rPr>
        <w:t xml:space="preserve"> employing</w:t>
      </w:r>
      <w:r w:rsidR="003D75CE">
        <w:rPr>
          <w:rFonts w:ascii="Arial" w:hAnsi="Arial" w:cs="Arial"/>
          <w:sz w:val="24"/>
          <w:szCs w:val="24"/>
        </w:rPr>
        <w:t xml:space="preserve"> </w:t>
      </w:r>
      <w:r w:rsidRPr="0099107D">
        <w:rPr>
          <w:rFonts w:ascii="Arial" w:hAnsi="Arial" w:cs="Arial"/>
          <w:sz w:val="24"/>
          <w:szCs w:val="24"/>
        </w:rPr>
        <w:t xml:space="preserve">criminal law in order to suppress both financial elder abuse and physical elder abuse. </w:t>
      </w:r>
    </w:p>
    <w:p w:rsidR="003D75CE" w:rsidRPr="003D75CE" w:rsidRDefault="003D75CE" w:rsidP="003D75CE">
      <w:pPr>
        <w:rPr>
          <w:rFonts w:ascii="Arial" w:hAnsi="Arial" w:cs="Arial"/>
          <w:sz w:val="24"/>
          <w:szCs w:val="24"/>
        </w:rPr>
      </w:pPr>
    </w:p>
    <w:p w:rsidR="00823382" w:rsidRPr="003D75CE" w:rsidRDefault="00823382" w:rsidP="003D75CE">
      <w:pPr>
        <w:jc w:val="both"/>
        <w:rPr>
          <w:rFonts w:ascii="Arial" w:hAnsi="Arial" w:cs="Arial"/>
          <w:sz w:val="24"/>
          <w:szCs w:val="24"/>
        </w:rPr>
      </w:pPr>
      <w:r w:rsidRPr="003D75CE">
        <w:rPr>
          <w:rFonts w:ascii="Arial" w:hAnsi="Arial" w:cs="Arial"/>
          <w:sz w:val="24"/>
          <w:szCs w:val="24"/>
        </w:rPr>
        <w:t>Investigation by police</w:t>
      </w:r>
    </w:p>
    <w:p w:rsidR="003D75CE" w:rsidRDefault="003D75CE" w:rsidP="00823382">
      <w:pPr>
        <w:rPr>
          <w:rFonts w:ascii="Arial" w:hAnsi="Arial" w:cs="Arial"/>
          <w:sz w:val="24"/>
          <w:szCs w:val="24"/>
        </w:rPr>
      </w:pPr>
    </w:p>
    <w:p w:rsidR="00823382" w:rsidRDefault="00674FE5" w:rsidP="00823382">
      <w:pPr>
        <w:rPr>
          <w:rFonts w:ascii="Arial" w:hAnsi="Arial" w:cs="Arial"/>
          <w:sz w:val="24"/>
          <w:szCs w:val="24"/>
        </w:rPr>
      </w:pPr>
      <w:r w:rsidRPr="0099107D">
        <w:rPr>
          <w:rFonts w:ascii="Arial" w:hAnsi="Arial" w:cs="Arial"/>
          <w:sz w:val="24"/>
          <w:szCs w:val="24"/>
        </w:rPr>
        <w:t xml:space="preserve">Police are generally reluctant to </w:t>
      </w:r>
      <w:r>
        <w:rPr>
          <w:rFonts w:ascii="Arial" w:hAnsi="Arial" w:cs="Arial"/>
          <w:sz w:val="24"/>
          <w:szCs w:val="24"/>
        </w:rPr>
        <w:t xml:space="preserve">investigate </w:t>
      </w:r>
      <w:r w:rsidRPr="0099107D">
        <w:rPr>
          <w:rFonts w:ascii="Arial" w:hAnsi="Arial" w:cs="Arial"/>
          <w:sz w:val="24"/>
          <w:szCs w:val="24"/>
        </w:rPr>
        <w:t xml:space="preserve">because the primary victims often aren’t able to explain to them the manner in which the injury </w:t>
      </w:r>
      <w:proofErr w:type="gramStart"/>
      <w:r w:rsidRPr="0099107D">
        <w:rPr>
          <w:rFonts w:ascii="Arial" w:hAnsi="Arial" w:cs="Arial"/>
          <w:sz w:val="24"/>
          <w:szCs w:val="24"/>
        </w:rPr>
        <w:t>occurred</w:t>
      </w:r>
      <w:r>
        <w:rPr>
          <w:rFonts w:ascii="Arial" w:hAnsi="Arial" w:cs="Arial"/>
          <w:sz w:val="24"/>
          <w:szCs w:val="24"/>
        </w:rPr>
        <w:t xml:space="preserve"> .</w:t>
      </w:r>
      <w:proofErr w:type="gramEnd"/>
      <w:r>
        <w:rPr>
          <w:rFonts w:ascii="Arial" w:hAnsi="Arial" w:cs="Arial"/>
          <w:sz w:val="24"/>
          <w:szCs w:val="24"/>
        </w:rPr>
        <w:t xml:space="preserve"> </w:t>
      </w:r>
      <w:r w:rsidR="00823382">
        <w:rPr>
          <w:rFonts w:ascii="Arial" w:hAnsi="Arial" w:cs="Arial"/>
          <w:sz w:val="24"/>
          <w:szCs w:val="24"/>
        </w:rPr>
        <w:t>P</w:t>
      </w:r>
      <w:r w:rsidR="00823382" w:rsidRPr="0099107D">
        <w:rPr>
          <w:rFonts w:ascii="Arial" w:hAnsi="Arial" w:cs="Arial"/>
          <w:sz w:val="24"/>
          <w:szCs w:val="24"/>
        </w:rPr>
        <w:t xml:space="preserve">olice often </w:t>
      </w:r>
      <w:r w:rsidR="00823382">
        <w:rPr>
          <w:rFonts w:ascii="Arial" w:hAnsi="Arial" w:cs="Arial"/>
          <w:sz w:val="24"/>
          <w:szCs w:val="24"/>
        </w:rPr>
        <w:t xml:space="preserve">begin </w:t>
      </w:r>
      <w:r w:rsidR="00823382" w:rsidRPr="0099107D">
        <w:rPr>
          <w:rFonts w:ascii="Arial" w:hAnsi="Arial" w:cs="Arial"/>
          <w:sz w:val="24"/>
          <w:szCs w:val="24"/>
        </w:rPr>
        <w:t>with an impression (possibly discriminatory) that a</w:t>
      </w:r>
      <w:r w:rsidR="009A0933">
        <w:rPr>
          <w:rFonts w:ascii="Arial" w:hAnsi="Arial" w:cs="Arial"/>
          <w:sz w:val="24"/>
          <w:szCs w:val="24"/>
        </w:rPr>
        <w:t>n</w:t>
      </w:r>
      <w:r w:rsidR="00823382" w:rsidRPr="0099107D">
        <w:rPr>
          <w:rFonts w:ascii="Arial" w:hAnsi="Arial" w:cs="Arial"/>
          <w:sz w:val="24"/>
          <w:szCs w:val="24"/>
        </w:rPr>
        <w:t xml:space="preserve"> </w:t>
      </w:r>
      <w:r w:rsidR="00823382">
        <w:rPr>
          <w:rFonts w:ascii="Arial" w:hAnsi="Arial" w:cs="Arial"/>
          <w:sz w:val="24"/>
          <w:szCs w:val="24"/>
        </w:rPr>
        <w:t xml:space="preserve">older </w:t>
      </w:r>
      <w:r w:rsidR="00823382" w:rsidRPr="0099107D">
        <w:rPr>
          <w:rFonts w:ascii="Arial" w:hAnsi="Arial" w:cs="Arial"/>
          <w:sz w:val="24"/>
          <w:szCs w:val="24"/>
        </w:rPr>
        <w:t xml:space="preserve">witness is </w:t>
      </w:r>
      <w:r w:rsidR="00823382">
        <w:rPr>
          <w:rFonts w:ascii="Arial" w:hAnsi="Arial" w:cs="Arial"/>
          <w:sz w:val="24"/>
          <w:szCs w:val="24"/>
        </w:rPr>
        <w:t xml:space="preserve">an </w:t>
      </w:r>
      <w:r w:rsidR="00823382" w:rsidRPr="0099107D">
        <w:rPr>
          <w:rFonts w:ascii="Arial" w:hAnsi="Arial" w:cs="Arial"/>
          <w:sz w:val="24"/>
          <w:szCs w:val="24"/>
        </w:rPr>
        <w:t xml:space="preserve">unreliable </w:t>
      </w:r>
      <w:proofErr w:type="gramStart"/>
      <w:r w:rsidR="00823382" w:rsidRPr="0099107D">
        <w:rPr>
          <w:rFonts w:ascii="Arial" w:hAnsi="Arial" w:cs="Arial"/>
          <w:sz w:val="24"/>
          <w:szCs w:val="24"/>
        </w:rPr>
        <w:t>historian,</w:t>
      </w:r>
      <w:proofErr w:type="gramEnd"/>
      <w:r w:rsidR="00823382" w:rsidRPr="0099107D">
        <w:rPr>
          <w:rFonts w:ascii="Arial" w:hAnsi="Arial" w:cs="Arial"/>
          <w:sz w:val="24"/>
          <w:szCs w:val="24"/>
        </w:rPr>
        <w:t xml:space="preserve"> or a reluctant historian or subject to family intervention and </w:t>
      </w:r>
      <w:r w:rsidR="00823382">
        <w:rPr>
          <w:rFonts w:ascii="Arial" w:hAnsi="Arial" w:cs="Arial"/>
          <w:sz w:val="24"/>
          <w:szCs w:val="24"/>
        </w:rPr>
        <w:t xml:space="preserve">family </w:t>
      </w:r>
      <w:r w:rsidR="00823382" w:rsidRPr="0099107D">
        <w:rPr>
          <w:rFonts w:ascii="Arial" w:hAnsi="Arial" w:cs="Arial"/>
          <w:sz w:val="24"/>
          <w:szCs w:val="24"/>
        </w:rPr>
        <w:t xml:space="preserve">pressure to change their story </w:t>
      </w:r>
      <w:r w:rsidR="00823382">
        <w:rPr>
          <w:rFonts w:ascii="Arial" w:hAnsi="Arial" w:cs="Arial"/>
          <w:sz w:val="24"/>
          <w:szCs w:val="24"/>
        </w:rPr>
        <w:t>or</w:t>
      </w:r>
      <w:r w:rsidR="00823382" w:rsidRPr="0099107D">
        <w:rPr>
          <w:rFonts w:ascii="Arial" w:hAnsi="Arial" w:cs="Arial"/>
          <w:sz w:val="24"/>
          <w:szCs w:val="24"/>
        </w:rPr>
        <w:t xml:space="preserve"> withdraw their claim, and that such investigations are a waste of resources. </w:t>
      </w:r>
    </w:p>
    <w:p w:rsidR="00674FE5" w:rsidRDefault="00674FE5" w:rsidP="00823382">
      <w:pPr>
        <w:rPr>
          <w:rFonts w:ascii="Arial" w:hAnsi="Arial" w:cs="Arial"/>
          <w:sz w:val="24"/>
          <w:szCs w:val="24"/>
        </w:rPr>
      </w:pPr>
    </w:p>
    <w:p w:rsidR="00674FE5" w:rsidRDefault="00674FE5" w:rsidP="00674FE5">
      <w:pPr>
        <w:pStyle w:val="ListParagraph"/>
        <w:ind w:left="0"/>
        <w:rPr>
          <w:rFonts w:ascii="Arial" w:hAnsi="Arial" w:cs="Arial"/>
          <w:sz w:val="24"/>
          <w:szCs w:val="24"/>
        </w:rPr>
      </w:pPr>
      <w:r w:rsidRPr="0099107D">
        <w:rPr>
          <w:rFonts w:ascii="Arial" w:hAnsi="Arial" w:cs="Arial"/>
          <w:sz w:val="24"/>
          <w:szCs w:val="24"/>
        </w:rPr>
        <w:t>The quality of the investigation by local police can be reformed by advocacy and intervention</w:t>
      </w:r>
      <w:r>
        <w:rPr>
          <w:rFonts w:ascii="Arial" w:hAnsi="Arial" w:cs="Arial"/>
          <w:sz w:val="24"/>
          <w:szCs w:val="24"/>
        </w:rPr>
        <w:t xml:space="preserve"> rather than legislative reform, exactly as a system wide cultural reform has seem the introduction of a new model of response to family violence.</w:t>
      </w:r>
      <w:r w:rsidRPr="00674FE5">
        <w:rPr>
          <w:rFonts w:ascii="Arial" w:hAnsi="Arial" w:cs="Arial"/>
          <w:sz w:val="24"/>
          <w:szCs w:val="24"/>
        </w:rPr>
        <w:t xml:space="preserve"> </w:t>
      </w:r>
      <w:r>
        <w:rPr>
          <w:rFonts w:ascii="Arial" w:hAnsi="Arial" w:cs="Arial"/>
          <w:sz w:val="24"/>
          <w:szCs w:val="24"/>
        </w:rPr>
        <w:t xml:space="preserve">Some </w:t>
      </w:r>
      <w:r w:rsidRPr="0099107D">
        <w:rPr>
          <w:rFonts w:ascii="Arial" w:hAnsi="Arial" w:cs="Arial"/>
          <w:sz w:val="24"/>
          <w:szCs w:val="24"/>
        </w:rPr>
        <w:t xml:space="preserve">injuries speak for themselves </w:t>
      </w:r>
      <w:r>
        <w:rPr>
          <w:rFonts w:ascii="Arial" w:hAnsi="Arial" w:cs="Arial"/>
          <w:sz w:val="24"/>
          <w:szCs w:val="24"/>
        </w:rPr>
        <w:t>if investigated by a forensic physician.</w:t>
      </w:r>
    </w:p>
    <w:p w:rsidR="00674FE5" w:rsidRDefault="00674FE5" w:rsidP="00674FE5">
      <w:pPr>
        <w:pStyle w:val="ListParagraph"/>
        <w:ind w:left="0"/>
        <w:rPr>
          <w:rFonts w:ascii="Arial" w:hAnsi="Arial" w:cs="Arial"/>
          <w:sz w:val="24"/>
          <w:szCs w:val="24"/>
        </w:rPr>
      </w:pPr>
    </w:p>
    <w:p w:rsidR="00823382" w:rsidRDefault="00823382" w:rsidP="00823382">
      <w:pPr>
        <w:rPr>
          <w:rFonts w:ascii="Arial" w:hAnsi="Arial" w:cs="Arial"/>
          <w:sz w:val="24"/>
          <w:szCs w:val="24"/>
        </w:rPr>
      </w:pPr>
      <w:r w:rsidRPr="003D75CE">
        <w:rPr>
          <w:rFonts w:ascii="Arial" w:hAnsi="Arial" w:cs="Arial"/>
          <w:sz w:val="24"/>
          <w:szCs w:val="24"/>
        </w:rPr>
        <w:t>Matters of proof</w:t>
      </w:r>
    </w:p>
    <w:p w:rsidR="004A10D5" w:rsidRPr="003D75CE" w:rsidRDefault="004A10D5" w:rsidP="00823382">
      <w:pPr>
        <w:rPr>
          <w:rFonts w:ascii="Arial" w:hAnsi="Arial" w:cs="Arial"/>
          <w:sz w:val="24"/>
          <w:szCs w:val="24"/>
        </w:rPr>
      </w:pPr>
    </w:p>
    <w:p w:rsidR="003D75CE" w:rsidRPr="004A10D5" w:rsidRDefault="00823382" w:rsidP="004A10D5">
      <w:pPr>
        <w:rPr>
          <w:rFonts w:ascii="Arial" w:hAnsi="Arial" w:cs="Arial"/>
          <w:sz w:val="24"/>
          <w:szCs w:val="24"/>
        </w:rPr>
      </w:pPr>
      <w:r w:rsidRPr="004A10D5">
        <w:rPr>
          <w:rFonts w:ascii="Arial" w:hAnsi="Arial" w:cs="Arial"/>
          <w:sz w:val="24"/>
          <w:szCs w:val="24"/>
        </w:rPr>
        <w:t xml:space="preserve">In criminal matters there is the added difficulty of the requirement for proof beyond reasonable doubt. </w:t>
      </w:r>
      <w:r w:rsidR="004A10D5">
        <w:rPr>
          <w:rFonts w:ascii="Arial" w:hAnsi="Arial" w:cs="Arial"/>
          <w:sz w:val="24"/>
          <w:szCs w:val="24"/>
        </w:rPr>
        <w:t xml:space="preserve"> Cases are usually characterised by a lack of </w:t>
      </w:r>
      <w:proofErr w:type="gramStart"/>
      <w:r w:rsidR="004A10D5">
        <w:rPr>
          <w:rFonts w:ascii="Arial" w:hAnsi="Arial" w:cs="Arial"/>
          <w:sz w:val="24"/>
          <w:szCs w:val="24"/>
        </w:rPr>
        <w:t>i</w:t>
      </w:r>
      <w:r w:rsidRPr="004A10D5">
        <w:rPr>
          <w:rFonts w:ascii="Arial" w:hAnsi="Arial" w:cs="Arial"/>
          <w:sz w:val="24"/>
          <w:szCs w:val="24"/>
        </w:rPr>
        <w:t>ndependent  evidence</w:t>
      </w:r>
      <w:proofErr w:type="gramEnd"/>
      <w:r w:rsidR="004A10D5">
        <w:rPr>
          <w:rFonts w:ascii="Arial" w:hAnsi="Arial" w:cs="Arial"/>
          <w:sz w:val="24"/>
          <w:szCs w:val="24"/>
        </w:rPr>
        <w:t>.  T</w:t>
      </w:r>
      <w:r w:rsidR="003D75CE" w:rsidRPr="004A10D5">
        <w:rPr>
          <w:rFonts w:ascii="Arial" w:hAnsi="Arial" w:cs="Arial"/>
          <w:sz w:val="24"/>
          <w:szCs w:val="24"/>
        </w:rPr>
        <w:t>here is usually a lack of witnesses</w:t>
      </w:r>
      <w:r w:rsidR="004A10D5">
        <w:rPr>
          <w:rFonts w:ascii="Arial" w:hAnsi="Arial" w:cs="Arial"/>
          <w:sz w:val="24"/>
          <w:szCs w:val="24"/>
        </w:rPr>
        <w:t>,</w:t>
      </w:r>
      <w:r w:rsidR="003D75CE" w:rsidRPr="004A10D5">
        <w:rPr>
          <w:rFonts w:ascii="Arial" w:hAnsi="Arial" w:cs="Arial"/>
          <w:sz w:val="24"/>
          <w:szCs w:val="24"/>
        </w:rPr>
        <w:t xml:space="preserve"> as there is in every circumstance of abuse. Surveillance device evidence is not generally permitted to be collected</w:t>
      </w:r>
      <w:r w:rsidR="004A10D5">
        <w:rPr>
          <w:rFonts w:ascii="Arial" w:hAnsi="Arial" w:cs="Arial"/>
          <w:sz w:val="24"/>
          <w:szCs w:val="24"/>
        </w:rPr>
        <w:t xml:space="preserve"> by person other than police</w:t>
      </w:r>
      <w:r w:rsidR="003D75CE" w:rsidRPr="004A10D5">
        <w:rPr>
          <w:rFonts w:ascii="Arial" w:hAnsi="Arial" w:cs="Arial"/>
          <w:sz w:val="24"/>
          <w:szCs w:val="24"/>
        </w:rPr>
        <w:t xml:space="preserve">. </w:t>
      </w:r>
    </w:p>
    <w:p w:rsidR="00823382" w:rsidRDefault="00823382" w:rsidP="00823382">
      <w:pPr>
        <w:rPr>
          <w:rFonts w:ascii="Arial" w:hAnsi="Arial" w:cs="Arial"/>
          <w:b/>
          <w:iCs/>
          <w:sz w:val="24"/>
          <w:szCs w:val="24"/>
        </w:rPr>
      </w:pPr>
    </w:p>
    <w:p w:rsidR="003D75CE" w:rsidRDefault="00823382" w:rsidP="00823382">
      <w:pPr>
        <w:rPr>
          <w:rFonts w:ascii="Arial" w:hAnsi="Arial" w:cs="Arial"/>
          <w:iCs/>
          <w:sz w:val="24"/>
          <w:szCs w:val="24"/>
        </w:rPr>
      </w:pPr>
      <w:proofErr w:type="spellStart"/>
      <w:r w:rsidRPr="003D75CE">
        <w:rPr>
          <w:rFonts w:ascii="Arial" w:hAnsi="Arial" w:cs="Arial"/>
          <w:iCs/>
          <w:sz w:val="24"/>
          <w:szCs w:val="24"/>
        </w:rPr>
        <w:t>Mens</w:t>
      </w:r>
      <w:proofErr w:type="spellEnd"/>
      <w:r w:rsidRPr="003D75CE">
        <w:rPr>
          <w:rFonts w:ascii="Arial" w:hAnsi="Arial" w:cs="Arial"/>
          <w:iCs/>
          <w:sz w:val="24"/>
          <w:szCs w:val="24"/>
        </w:rPr>
        <w:t xml:space="preserve"> </w:t>
      </w:r>
      <w:proofErr w:type="spellStart"/>
      <w:r w:rsidRPr="003D75CE">
        <w:rPr>
          <w:rFonts w:ascii="Arial" w:hAnsi="Arial" w:cs="Arial"/>
          <w:iCs/>
          <w:sz w:val="24"/>
          <w:szCs w:val="24"/>
        </w:rPr>
        <w:t>rea</w:t>
      </w:r>
      <w:proofErr w:type="spellEnd"/>
    </w:p>
    <w:p w:rsidR="00823382" w:rsidRPr="003D75CE" w:rsidRDefault="00823382" w:rsidP="00823382">
      <w:pPr>
        <w:rPr>
          <w:rFonts w:ascii="Arial" w:hAnsi="Arial" w:cs="Arial"/>
          <w:sz w:val="24"/>
          <w:szCs w:val="24"/>
        </w:rPr>
      </w:pPr>
      <w:r w:rsidRPr="003D75CE">
        <w:rPr>
          <w:rFonts w:ascii="Arial" w:hAnsi="Arial" w:cs="Arial"/>
          <w:sz w:val="24"/>
          <w:szCs w:val="24"/>
        </w:rPr>
        <w:t xml:space="preserve">  </w:t>
      </w:r>
    </w:p>
    <w:p w:rsidR="00823382" w:rsidRDefault="00823382" w:rsidP="00823382">
      <w:pPr>
        <w:rPr>
          <w:rFonts w:ascii="Arial" w:hAnsi="Arial" w:cs="Arial"/>
          <w:sz w:val="24"/>
          <w:szCs w:val="24"/>
        </w:rPr>
      </w:pPr>
      <w:r>
        <w:rPr>
          <w:rFonts w:ascii="Arial" w:hAnsi="Arial" w:cs="Arial"/>
          <w:sz w:val="24"/>
          <w:szCs w:val="24"/>
        </w:rPr>
        <w:t xml:space="preserve">All criminal cases carry the requirement that the prosecution must prove that the alleged offender committed the acts alleged and at the time had the requisite intention. </w:t>
      </w:r>
      <w:r w:rsidRPr="0099107D">
        <w:rPr>
          <w:rFonts w:ascii="Arial" w:hAnsi="Arial" w:cs="Arial"/>
          <w:sz w:val="24"/>
          <w:szCs w:val="24"/>
        </w:rPr>
        <w:t xml:space="preserve">it </w:t>
      </w:r>
      <w:r>
        <w:rPr>
          <w:rFonts w:ascii="Arial" w:hAnsi="Arial" w:cs="Arial"/>
          <w:sz w:val="24"/>
          <w:szCs w:val="24"/>
        </w:rPr>
        <w:t xml:space="preserve">can be </w:t>
      </w:r>
      <w:r w:rsidRPr="0099107D">
        <w:rPr>
          <w:rFonts w:ascii="Arial" w:hAnsi="Arial" w:cs="Arial"/>
          <w:sz w:val="24"/>
          <w:szCs w:val="24"/>
        </w:rPr>
        <w:t xml:space="preserve">difficult in </w:t>
      </w:r>
      <w:r>
        <w:rPr>
          <w:rFonts w:ascii="Arial" w:hAnsi="Arial" w:cs="Arial"/>
          <w:sz w:val="24"/>
          <w:szCs w:val="24"/>
        </w:rPr>
        <w:t xml:space="preserve">cases of </w:t>
      </w:r>
      <w:r w:rsidRPr="0099107D">
        <w:rPr>
          <w:rFonts w:ascii="Arial" w:hAnsi="Arial" w:cs="Arial"/>
          <w:sz w:val="24"/>
          <w:szCs w:val="24"/>
        </w:rPr>
        <w:t xml:space="preserve">financial abuse </w:t>
      </w:r>
      <w:r>
        <w:rPr>
          <w:rFonts w:ascii="Arial" w:hAnsi="Arial" w:cs="Arial"/>
          <w:sz w:val="24"/>
          <w:szCs w:val="24"/>
        </w:rPr>
        <w:t xml:space="preserve">to establish </w:t>
      </w:r>
      <w:r w:rsidRPr="0099107D">
        <w:rPr>
          <w:rFonts w:ascii="Arial" w:hAnsi="Arial" w:cs="Arial"/>
          <w:sz w:val="24"/>
          <w:szCs w:val="24"/>
        </w:rPr>
        <w:t>the required degree of subjective dishonesty</w:t>
      </w:r>
      <w:r>
        <w:rPr>
          <w:rFonts w:ascii="Arial" w:hAnsi="Arial" w:cs="Arial"/>
          <w:sz w:val="24"/>
          <w:szCs w:val="24"/>
        </w:rPr>
        <w:t>, f</w:t>
      </w:r>
      <w:r w:rsidRPr="0099107D">
        <w:rPr>
          <w:rFonts w:ascii="Arial" w:hAnsi="Arial" w:cs="Arial"/>
          <w:sz w:val="24"/>
          <w:szCs w:val="24"/>
        </w:rPr>
        <w:t>or example in  case</w:t>
      </w:r>
      <w:r>
        <w:rPr>
          <w:rFonts w:ascii="Arial" w:hAnsi="Arial" w:cs="Arial"/>
          <w:sz w:val="24"/>
          <w:szCs w:val="24"/>
        </w:rPr>
        <w:t>s</w:t>
      </w:r>
      <w:r w:rsidRPr="0099107D">
        <w:rPr>
          <w:rFonts w:ascii="Arial" w:hAnsi="Arial" w:cs="Arial"/>
          <w:sz w:val="24"/>
          <w:szCs w:val="24"/>
        </w:rPr>
        <w:t xml:space="preserve"> of theft, </w:t>
      </w:r>
      <w:r>
        <w:rPr>
          <w:rFonts w:ascii="Arial" w:hAnsi="Arial" w:cs="Arial"/>
          <w:sz w:val="24"/>
          <w:szCs w:val="24"/>
        </w:rPr>
        <w:t xml:space="preserve">and </w:t>
      </w:r>
      <w:r w:rsidRPr="0099107D">
        <w:rPr>
          <w:rFonts w:ascii="Arial" w:hAnsi="Arial" w:cs="Arial"/>
          <w:sz w:val="24"/>
          <w:szCs w:val="24"/>
        </w:rPr>
        <w:t xml:space="preserve">in circumstances where family members may profess or honestly </w:t>
      </w:r>
      <w:r>
        <w:rPr>
          <w:rFonts w:ascii="Arial" w:hAnsi="Arial" w:cs="Arial"/>
          <w:sz w:val="24"/>
          <w:szCs w:val="24"/>
        </w:rPr>
        <w:t xml:space="preserve">believe </w:t>
      </w:r>
      <w:r w:rsidRPr="0099107D">
        <w:rPr>
          <w:rFonts w:ascii="Arial" w:hAnsi="Arial" w:cs="Arial"/>
          <w:sz w:val="24"/>
          <w:szCs w:val="24"/>
        </w:rPr>
        <w:t>some sense of entitlement to funds or property or that the material was made by way of a gift</w:t>
      </w:r>
      <w:r>
        <w:rPr>
          <w:rFonts w:ascii="Arial" w:hAnsi="Arial" w:cs="Arial"/>
          <w:sz w:val="24"/>
          <w:szCs w:val="24"/>
        </w:rPr>
        <w:t>.</w:t>
      </w:r>
    </w:p>
    <w:p w:rsidR="00823382" w:rsidRPr="0099107D" w:rsidRDefault="00823382" w:rsidP="00823382">
      <w:pPr>
        <w:rPr>
          <w:rFonts w:ascii="Arial" w:hAnsi="Arial" w:cs="Arial"/>
          <w:b/>
          <w:bCs/>
          <w:sz w:val="24"/>
          <w:szCs w:val="24"/>
        </w:rPr>
      </w:pPr>
    </w:p>
    <w:p w:rsidR="00823382" w:rsidRDefault="00823382" w:rsidP="00823382">
      <w:pPr>
        <w:rPr>
          <w:rFonts w:ascii="Arial" w:hAnsi="Arial" w:cs="Arial"/>
          <w:sz w:val="24"/>
          <w:szCs w:val="24"/>
        </w:rPr>
      </w:pPr>
      <w:r>
        <w:rPr>
          <w:rFonts w:ascii="Arial" w:hAnsi="Arial" w:cs="Arial"/>
          <w:sz w:val="24"/>
          <w:szCs w:val="24"/>
        </w:rPr>
        <w:t>However, dealing with the issue of sub</w:t>
      </w:r>
      <w:r w:rsidRPr="0099107D">
        <w:rPr>
          <w:rFonts w:ascii="Arial" w:hAnsi="Arial" w:cs="Arial"/>
          <w:sz w:val="24"/>
          <w:szCs w:val="24"/>
        </w:rPr>
        <w:t>jective dishonesty is not new to investigating police. All that is required is that they are;</w:t>
      </w:r>
    </w:p>
    <w:p w:rsidR="00823382" w:rsidRPr="0099107D" w:rsidRDefault="00823382" w:rsidP="00823382">
      <w:pPr>
        <w:rPr>
          <w:rFonts w:ascii="Arial" w:hAnsi="Arial" w:cs="Arial"/>
          <w:sz w:val="24"/>
          <w:szCs w:val="24"/>
        </w:rPr>
      </w:pPr>
    </w:p>
    <w:p w:rsidR="00823382" w:rsidRPr="0099107D" w:rsidRDefault="00823382" w:rsidP="00823382">
      <w:pPr>
        <w:pStyle w:val="ListParagraph"/>
        <w:numPr>
          <w:ilvl w:val="0"/>
          <w:numId w:val="2"/>
        </w:numPr>
        <w:rPr>
          <w:rFonts w:ascii="Arial" w:hAnsi="Arial" w:cs="Arial"/>
          <w:sz w:val="24"/>
          <w:szCs w:val="24"/>
        </w:rPr>
      </w:pPr>
      <w:r w:rsidRPr="0099107D">
        <w:rPr>
          <w:rFonts w:ascii="Arial" w:hAnsi="Arial" w:cs="Arial"/>
          <w:sz w:val="24"/>
          <w:szCs w:val="24"/>
        </w:rPr>
        <w:t>Prepared to</w:t>
      </w:r>
      <w:r>
        <w:rPr>
          <w:rFonts w:ascii="Arial" w:hAnsi="Arial" w:cs="Arial"/>
          <w:sz w:val="24"/>
          <w:szCs w:val="24"/>
        </w:rPr>
        <w:t xml:space="preserve"> obtain </w:t>
      </w:r>
      <w:r w:rsidRPr="0099107D">
        <w:rPr>
          <w:rFonts w:ascii="Arial" w:hAnsi="Arial" w:cs="Arial"/>
          <w:sz w:val="24"/>
          <w:szCs w:val="24"/>
        </w:rPr>
        <w:t>independent evidence before questioning such as bank statements;</w:t>
      </w:r>
    </w:p>
    <w:p w:rsidR="00823382" w:rsidRPr="0099107D" w:rsidRDefault="00823382" w:rsidP="00823382">
      <w:pPr>
        <w:pStyle w:val="ListParagraph"/>
        <w:numPr>
          <w:ilvl w:val="0"/>
          <w:numId w:val="2"/>
        </w:numPr>
        <w:rPr>
          <w:rFonts w:ascii="Arial" w:hAnsi="Arial" w:cs="Arial"/>
          <w:sz w:val="24"/>
          <w:szCs w:val="24"/>
        </w:rPr>
      </w:pPr>
      <w:r>
        <w:rPr>
          <w:rFonts w:ascii="Arial" w:hAnsi="Arial" w:cs="Arial"/>
          <w:sz w:val="24"/>
          <w:szCs w:val="24"/>
        </w:rPr>
        <w:t xml:space="preserve">Prepared to improve </w:t>
      </w:r>
      <w:r w:rsidRPr="0099107D">
        <w:rPr>
          <w:rFonts w:ascii="Arial" w:hAnsi="Arial" w:cs="Arial"/>
          <w:sz w:val="24"/>
          <w:szCs w:val="24"/>
        </w:rPr>
        <w:t xml:space="preserve">their knowledge of the effects </w:t>
      </w:r>
      <w:r>
        <w:rPr>
          <w:rFonts w:ascii="Arial" w:hAnsi="Arial" w:cs="Arial"/>
          <w:sz w:val="24"/>
          <w:szCs w:val="24"/>
        </w:rPr>
        <w:t xml:space="preserve">and scope </w:t>
      </w:r>
      <w:r w:rsidRPr="0099107D">
        <w:rPr>
          <w:rFonts w:ascii="Arial" w:hAnsi="Arial" w:cs="Arial"/>
          <w:sz w:val="24"/>
          <w:szCs w:val="24"/>
        </w:rPr>
        <w:t xml:space="preserve">of certain </w:t>
      </w:r>
      <w:r>
        <w:rPr>
          <w:rFonts w:ascii="Arial" w:hAnsi="Arial" w:cs="Arial"/>
          <w:sz w:val="24"/>
          <w:szCs w:val="24"/>
        </w:rPr>
        <w:t xml:space="preserve">instruments and orders such as </w:t>
      </w:r>
      <w:r w:rsidRPr="0099107D">
        <w:rPr>
          <w:rFonts w:ascii="Arial" w:hAnsi="Arial" w:cs="Arial"/>
          <w:sz w:val="24"/>
          <w:szCs w:val="24"/>
        </w:rPr>
        <w:t>guarantee</w:t>
      </w:r>
      <w:r>
        <w:rPr>
          <w:rFonts w:ascii="Arial" w:hAnsi="Arial" w:cs="Arial"/>
          <w:sz w:val="24"/>
          <w:szCs w:val="24"/>
        </w:rPr>
        <w:t>s or VCAT</w:t>
      </w:r>
      <w:r w:rsidRPr="0099107D">
        <w:rPr>
          <w:rFonts w:ascii="Arial" w:hAnsi="Arial" w:cs="Arial"/>
          <w:sz w:val="24"/>
          <w:szCs w:val="24"/>
        </w:rPr>
        <w:t xml:space="preserve"> administration order.  </w:t>
      </w:r>
    </w:p>
    <w:p w:rsidR="00823382" w:rsidRDefault="00823382" w:rsidP="00823382">
      <w:pPr>
        <w:pStyle w:val="ListParagraph"/>
        <w:numPr>
          <w:ilvl w:val="0"/>
          <w:numId w:val="2"/>
        </w:numPr>
        <w:rPr>
          <w:rFonts w:ascii="Arial" w:hAnsi="Arial" w:cs="Arial"/>
          <w:sz w:val="24"/>
          <w:szCs w:val="24"/>
        </w:rPr>
      </w:pPr>
      <w:r>
        <w:rPr>
          <w:rFonts w:ascii="Arial" w:hAnsi="Arial" w:cs="Arial"/>
          <w:sz w:val="24"/>
          <w:szCs w:val="24"/>
        </w:rPr>
        <w:lastRenderedPageBreak/>
        <w:t xml:space="preserve">Prepared to use pertinent </w:t>
      </w:r>
      <w:r w:rsidRPr="0099107D">
        <w:rPr>
          <w:rFonts w:ascii="Arial" w:hAnsi="Arial" w:cs="Arial"/>
          <w:sz w:val="24"/>
          <w:szCs w:val="24"/>
        </w:rPr>
        <w:t>questioning for example about the purpose of each transfer or withdrawal,</w:t>
      </w:r>
    </w:p>
    <w:p w:rsidR="00823382" w:rsidRDefault="00823382" w:rsidP="00823382">
      <w:pPr>
        <w:rPr>
          <w:rFonts w:ascii="Arial" w:hAnsi="Arial" w:cs="Arial"/>
          <w:sz w:val="24"/>
          <w:szCs w:val="24"/>
        </w:rPr>
      </w:pPr>
    </w:p>
    <w:p w:rsidR="00823382" w:rsidRDefault="00823382" w:rsidP="00823382">
      <w:pPr>
        <w:rPr>
          <w:rFonts w:ascii="Arial" w:hAnsi="Arial" w:cs="Arial"/>
          <w:sz w:val="24"/>
          <w:szCs w:val="24"/>
        </w:rPr>
      </w:pPr>
    </w:p>
    <w:p w:rsidR="00823382" w:rsidRDefault="004A10D5" w:rsidP="00823382">
      <w:pPr>
        <w:rPr>
          <w:rFonts w:ascii="Arial" w:hAnsi="Arial" w:cs="Arial"/>
          <w:sz w:val="24"/>
          <w:szCs w:val="24"/>
        </w:rPr>
      </w:pPr>
      <w:r>
        <w:rPr>
          <w:rFonts w:ascii="Arial" w:hAnsi="Arial" w:cs="Arial"/>
          <w:sz w:val="24"/>
          <w:szCs w:val="24"/>
        </w:rPr>
        <w:t xml:space="preserve">In cases of assault </w:t>
      </w:r>
      <w:r w:rsidR="00823382" w:rsidRPr="0099107D">
        <w:rPr>
          <w:rFonts w:ascii="Arial" w:hAnsi="Arial" w:cs="Arial"/>
          <w:sz w:val="24"/>
          <w:szCs w:val="24"/>
        </w:rPr>
        <w:t>what must be established</w:t>
      </w:r>
      <w:r>
        <w:rPr>
          <w:rFonts w:ascii="Arial" w:hAnsi="Arial" w:cs="Arial"/>
          <w:sz w:val="24"/>
          <w:szCs w:val="24"/>
        </w:rPr>
        <w:t xml:space="preserve"> is</w:t>
      </w:r>
      <w:r w:rsidR="00823382" w:rsidRPr="0099107D">
        <w:rPr>
          <w:rFonts w:ascii="Arial" w:hAnsi="Arial" w:cs="Arial"/>
          <w:sz w:val="24"/>
          <w:szCs w:val="24"/>
        </w:rPr>
        <w:t>, no</w:t>
      </w:r>
      <w:r w:rsidR="00823382">
        <w:rPr>
          <w:rFonts w:ascii="Arial" w:hAnsi="Arial" w:cs="Arial"/>
          <w:sz w:val="24"/>
          <w:szCs w:val="24"/>
        </w:rPr>
        <w:t>t</w:t>
      </w:r>
      <w:r w:rsidR="00823382" w:rsidRPr="0099107D">
        <w:rPr>
          <w:rFonts w:ascii="Arial" w:hAnsi="Arial" w:cs="Arial"/>
          <w:sz w:val="24"/>
          <w:szCs w:val="24"/>
        </w:rPr>
        <w:t xml:space="preserve"> so much the </w:t>
      </w:r>
      <w:r w:rsidR="00823382">
        <w:rPr>
          <w:rFonts w:ascii="Arial" w:hAnsi="Arial" w:cs="Arial"/>
          <w:sz w:val="24"/>
          <w:szCs w:val="24"/>
        </w:rPr>
        <w:t xml:space="preserve">intention to cause the injury, </w:t>
      </w:r>
      <w:r w:rsidR="00823382" w:rsidRPr="0099107D">
        <w:rPr>
          <w:rFonts w:ascii="Arial" w:hAnsi="Arial" w:cs="Arial"/>
          <w:sz w:val="24"/>
          <w:szCs w:val="24"/>
        </w:rPr>
        <w:t>but the intention to commit the act which caused the injury.</w:t>
      </w:r>
      <w:r w:rsidR="00823382">
        <w:rPr>
          <w:rFonts w:ascii="Arial" w:hAnsi="Arial" w:cs="Arial"/>
          <w:sz w:val="24"/>
          <w:szCs w:val="24"/>
        </w:rPr>
        <w:t xml:space="preserve"> </w:t>
      </w:r>
    </w:p>
    <w:p w:rsidR="00674FE5" w:rsidRDefault="00674FE5" w:rsidP="00823382">
      <w:pPr>
        <w:rPr>
          <w:rFonts w:ascii="Arial" w:hAnsi="Arial" w:cs="Arial"/>
          <w:sz w:val="24"/>
          <w:szCs w:val="24"/>
        </w:rPr>
      </w:pPr>
    </w:p>
    <w:p w:rsidR="00823382" w:rsidRPr="003D75CE" w:rsidRDefault="00823382" w:rsidP="00823382">
      <w:pPr>
        <w:rPr>
          <w:rFonts w:ascii="Arial" w:hAnsi="Arial" w:cs="Arial"/>
          <w:sz w:val="24"/>
          <w:szCs w:val="24"/>
        </w:rPr>
      </w:pPr>
      <w:r w:rsidRPr="003D75CE">
        <w:rPr>
          <w:rFonts w:ascii="Arial" w:hAnsi="Arial" w:cs="Arial"/>
          <w:sz w:val="24"/>
          <w:szCs w:val="24"/>
        </w:rPr>
        <w:t>Causation</w:t>
      </w:r>
    </w:p>
    <w:p w:rsidR="00823382" w:rsidRPr="0099107D" w:rsidRDefault="00823382" w:rsidP="00823382">
      <w:pPr>
        <w:rPr>
          <w:rFonts w:ascii="Arial" w:hAnsi="Arial" w:cs="Arial"/>
          <w:sz w:val="24"/>
          <w:szCs w:val="24"/>
        </w:rPr>
      </w:pPr>
    </w:p>
    <w:p w:rsidR="00823382" w:rsidRDefault="00823382" w:rsidP="00823382">
      <w:pPr>
        <w:rPr>
          <w:rFonts w:ascii="Arial" w:hAnsi="Arial" w:cs="Arial"/>
          <w:sz w:val="24"/>
          <w:szCs w:val="24"/>
        </w:rPr>
      </w:pPr>
      <w:r w:rsidRPr="0099107D">
        <w:rPr>
          <w:rFonts w:ascii="Arial" w:hAnsi="Arial" w:cs="Arial"/>
          <w:sz w:val="24"/>
          <w:szCs w:val="24"/>
        </w:rPr>
        <w:t xml:space="preserve">In circumstances where it is alleged that medical attention was not sought, the problems of causation arises in that the claim </w:t>
      </w:r>
      <w:r>
        <w:rPr>
          <w:rFonts w:ascii="Arial" w:hAnsi="Arial" w:cs="Arial"/>
          <w:sz w:val="24"/>
          <w:szCs w:val="24"/>
        </w:rPr>
        <w:t>may be m</w:t>
      </w:r>
      <w:r w:rsidRPr="0099107D">
        <w:rPr>
          <w:rFonts w:ascii="Arial" w:hAnsi="Arial" w:cs="Arial"/>
          <w:sz w:val="24"/>
          <w:szCs w:val="24"/>
        </w:rPr>
        <w:t xml:space="preserve">ade that death was not caused by the injury or omission but by the intervening illness. </w:t>
      </w:r>
    </w:p>
    <w:p w:rsidR="00823382" w:rsidRDefault="00823382" w:rsidP="00823382">
      <w:pPr>
        <w:rPr>
          <w:rFonts w:ascii="Arial" w:hAnsi="Arial" w:cs="Arial"/>
          <w:sz w:val="24"/>
          <w:szCs w:val="24"/>
        </w:rPr>
      </w:pPr>
    </w:p>
    <w:p w:rsidR="00823382" w:rsidRPr="0099107D" w:rsidRDefault="00823382" w:rsidP="00823382">
      <w:pPr>
        <w:rPr>
          <w:rFonts w:ascii="Arial" w:hAnsi="Arial" w:cs="Arial"/>
          <w:sz w:val="24"/>
          <w:szCs w:val="24"/>
        </w:rPr>
      </w:pPr>
      <w:r>
        <w:rPr>
          <w:rFonts w:ascii="Arial" w:hAnsi="Arial" w:cs="Arial"/>
          <w:sz w:val="24"/>
          <w:szCs w:val="24"/>
        </w:rPr>
        <w:t xml:space="preserve">Causation also becomes an issue if an </w:t>
      </w:r>
      <w:r w:rsidRPr="0099107D">
        <w:rPr>
          <w:rFonts w:ascii="Arial" w:hAnsi="Arial" w:cs="Arial"/>
          <w:sz w:val="24"/>
          <w:szCs w:val="24"/>
        </w:rPr>
        <w:t>older person has declined medical treatment that is onerous to them such as chemotherapy</w:t>
      </w:r>
      <w:proofErr w:type="gramStart"/>
      <w:r>
        <w:rPr>
          <w:rFonts w:ascii="Arial" w:hAnsi="Arial" w:cs="Arial"/>
          <w:sz w:val="24"/>
          <w:szCs w:val="24"/>
        </w:rPr>
        <w:t xml:space="preserve">, </w:t>
      </w:r>
      <w:r w:rsidRPr="0099107D">
        <w:rPr>
          <w:rFonts w:ascii="Arial" w:hAnsi="Arial" w:cs="Arial"/>
          <w:sz w:val="24"/>
          <w:szCs w:val="24"/>
        </w:rPr>
        <w:t xml:space="preserve"> or</w:t>
      </w:r>
      <w:proofErr w:type="gramEnd"/>
      <w:r w:rsidRPr="0099107D">
        <w:rPr>
          <w:rFonts w:ascii="Arial" w:hAnsi="Arial" w:cs="Arial"/>
          <w:sz w:val="24"/>
          <w:szCs w:val="24"/>
        </w:rPr>
        <w:t xml:space="preserve"> the older person preferred a treatment option that was more culturally </w:t>
      </w:r>
      <w:r>
        <w:rPr>
          <w:rFonts w:ascii="Arial" w:hAnsi="Arial" w:cs="Arial"/>
          <w:sz w:val="24"/>
          <w:szCs w:val="24"/>
        </w:rPr>
        <w:t xml:space="preserve">relevant,  or it is claimed that the older </w:t>
      </w:r>
      <w:r w:rsidRPr="0099107D">
        <w:rPr>
          <w:rFonts w:ascii="Arial" w:hAnsi="Arial" w:cs="Arial"/>
          <w:sz w:val="24"/>
          <w:szCs w:val="24"/>
        </w:rPr>
        <w:t xml:space="preserve">person </w:t>
      </w:r>
      <w:r>
        <w:rPr>
          <w:rFonts w:ascii="Arial" w:hAnsi="Arial" w:cs="Arial"/>
          <w:sz w:val="24"/>
          <w:szCs w:val="24"/>
        </w:rPr>
        <w:t xml:space="preserve">simply </w:t>
      </w:r>
      <w:r w:rsidRPr="0099107D">
        <w:rPr>
          <w:rFonts w:ascii="Arial" w:hAnsi="Arial" w:cs="Arial"/>
          <w:sz w:val="24"/>
          <w:szCs w:val="24"/>
        </w:rPr>
        <w:t xml:space="preserve">refused to eat or drink. </w:t>
      </w:r>
    </w:p>
    <w:p w:rsidR="00823382" w:rsidRDefault="00823382" w:rsidP="00823382">
      <w:pPr>
        <w:rPr>
          <w:rFonts w:ascii="Arial" w:hAnsi="Arial" w:cs="Arial"/>
          <w:sz w:val="24"/>
          <w:szCs w:val="24"/>
        </w:rPr>
      </w:pPr>
    </w:p>
    <w:p w:rsidR="00823382" w:rsidRDefault="00823382" w:rsidP="00823382">
      <w:pPr>
        <w:rPr>
          <w:rFonts w:ascii="Arial" w:hAnsi="Arial" w:cs="Arial"/>
          <w:sz w:val="24"/>
          <w:szCs w:val="24"/>
        </w:rPr>
      </w:pPr>
      <w:r w:rsidRPr="0099107D">
        <w:rPr>
          <w:rFonts w:ascii="Arial" w:hAnsi="Arial" w:cs="Arial"/>
          <w:sz w:val="24"/>
          <w:szCs w:val="24"/>
        </w:rPr>
        <w:t xml:space="preserve">In </w:t>
      </w:r>
      <w:r>
        <w:rPr>
          <w:rFonts w:ascii="Arial" w:hAnsi="Arial" w:cs="Arial"/>
          <w:sz w:val="24"/>
          <w:szCs w:val="24"/>
        </w:rPr>
        <w:t xml:space="preserve">cases of positive </w:t>
      </w:r>
      <w:r w:rsidRPr="0099107D">
        <w:rPr>
          <w:rFonts w:ascii="Arial" w:hAnsi="Arial" w:cs="Arial"/>
          <w:sz w:val="24"/>
          <w:szCs w:val="24"/>
        </w:rPr>
        <w:t xml:space="preserve">physical assaults resulting in death, </w:t>
      </w:r>
      <w:r>
        <w:rPr>
          <w:rFonts w:ascii="Arial" w:hAnsi="Arial" w:cs="Arial"/>
          <w:sz w:val="24"/>
          <w:szCs w:val="24"/>
        </w:rPr>
        <w:t xml:space="preserve">(as opposed to negligence) </w:t>
      </w:r>
      <w:r w:rsidRPr="0099107D">
        <w:rPr>
          <w:rFonts w:ascii="Arial" w:hAnsi="Arial" w:cs="Arial"/>
          <w:sz w:val="24"/>
          <w:szCs w:val="24"/>
        </w:rPr>
        <w:t xml:space="preserve">there is a difficulty establishing causation </w:t>
      </w:r>
      <w:r>
        <w:rPr>
          <w:rFonts w:ascii="Arial" w:hAnsi="Arial" w:cs="Arial"/>
          <w:sz w:val="24"/>
          <w:szCs w:val="24"/>
        </w:rPr>
        <w:t xml:space="preserve">in </w:t>
      </w:r>
      <w:r w:rsidRPr="0099107D">
        <w:rPr>
          <w:rFonts w:ascii="Arial" w:hAnsi="Arial" w:cs="Arial"/>
          <w:sz w:val="24"/>
          <w:szCs w:val="24"/>
        </w:rPr>
        <w:t xml:space="preserve">circumstances where there is more than one </w:t>
      </w:r>
      <w:r>
        <w:rPr>
          <w:rFonts w:ascii="Arial" w:hAnsi="Arial" w:cs="Arial"/>
          <w:sz w:val="24"/>
          <w:szCs w:val="24"/>
        </w:rPr>
        <w:t xml:space="preserve">potential </w:t>
      </w:r>
      <w:r w:rsidRPr="0099107D">
        <w:rPr>
          <w:rFonts w:ascii="Arial" w:hAnsi="Arial" w:cs="Arial"/>
          <w:sz w:val="24"/>
          <w:szCs w:val="24"/>
        </w:rPr>
        <w:t>assailant who possibly committed the assault</w:t>
      </w:r>
      <w:r>
        <w:rPr>
          <w:rFonts w:ascii="Arial" w:hAnsi="Arial" w:cs="Arial"/>
          <w:sz w:val="24"/>
          <w:szCs w:val="24"/>
        </w:rPr>
        <w:t>. The</w:t>
      </w:r>
      <w:r w:rsidRPr="0099107D">
        <w:rPr>
          <w:rFonts w:ascii="Arial" w:hAnsi="Arial" w:cs="Arial"/>
          <w:sz w:val="24"/>
          <w:szCs w:val="24"/>
        </w:rPr>
        <w:t xml:space="preserve"> parties may blame each other or alternatively may each claim that one was the actor and one was the observer.</w:t>
      </w:r>
    </w:p>
    <w:p w:rsidR="00823382" w:rsidRDefault="00823382" w:rsidP="00823382">
      <w:pPr>
        <w:rPr>
          <w:rFonts w:ascii="Arial" w:hAnsi="Arial" w:cs="Arial"/>
          <w:sz w:val="24"/>
          <w:szCs w:val="24"/>
        </w:rPr>
      </w:pPr>
    </w:p>
    <w:p w:rsidR="00823382" w:rsidRPr="003D75CE" w:rsidRDefault="009A0933" w:rsidP="00823382">
      <w:pPr>
        <w:rPr>
          <w:rFonts w:ascii="Arial" w:hAnsi="Arial" w:cs="Arial"/>
          <w:sz w:val="24"/>
          <w:szCs w:val="24"/>
        </w:rPr>
      </w:pPr>
      <w:r>
        <w:rPr>
          <w:rFonts w:ascii="Arial" w:hAnsi="Arial" w:cs="Arial"/>
          <w:sz w:val="24"/>
          <w:szCs w:val="24"/>
        </w:rPr>
        <w:t xml:space="preserve">Negligence and the offence of </w:t>
      </w:r>
      <w:r w:rsidR="00823382" w:rsidRPr="003D75CE">
        <w:rPr>
          <w:rFonts w:ascii="Arial" w:hAnsi="Arial" w:cs="Arial"/>
          <w:sz w:val="24"/>
          <w:szCs w:val="24"/>
        </w:rPr>
        <w:t>Manslaughter by criminal negligence</w:t>
      </w:r>
    </w:p>
    <w:p w:rsidR="003D75CE" w:rsidRDefault="003D75CE" w:rsidP="00823382">
      <w:pPr>
        <w:rPr>
          <w:rFonts w:ascii="Arial" w:hAnsi="Arial" w:cs="Arial"/>
          <w:sz w:val="24"/>
          <w:szCs w:val="24"/>
        </w:rPr>
      </w:pPr>
    </w:p>
    <w:p w:rsidR="003D75CE" w:rsidRDefault="00823382" w:rsidP="00823382">
      <w:pPr>
        <w:rPr>
          <w:rFonts w:ascii="Arial" w:hAnsi="Arial" w:cs="Arial"/>
          <w:sz w:val="24"/>
          <w:szCs w:val="24"/>
        </w:rPr>
      </w:pPr>
      <w:r>
        <w:rPr>
          <w:rFonts w:ascii="Arial" w:hAnsi="Arial" w:cs="Arial"/>
          <w:sz w:val="24"/>
          <w:szCs w:val="24"/>
        </w:rPr>
        <w:t xml:space="preserve">Unlike </w:t>
      </w:r>
      <w:r w:rsidRPr="0099107D">
        <w:rPr>
          <w:rFonts w:ascii="Arial" w:hAnsi="Arial" w:cs="Arial"/>
          <w:sz w:val="24"/>
          <w:szCs w:val="24"/>
        </w:rPr>
        <w:t>the code states</w:t>
      </w:r>
      <w:r>
        <w:rPr>
          <w:rFonts w:ascii="Arial" w:hAnsi="Arial" w:cs="Arial"/>
          <w:sz w:val="24"/>
          <w:szCs w:val="24"/>
        </w:rPr>
        <w:t xml:space="preserve">, </w:t>
      </w:r>
      <w:r w:rsidRPr="0099107D">
        <w:rPr>
          <w:rFonts w:ascii="Arial" w:hAnsi="Arial" w:cs="Arial"/>
          <w:sz w:val="24"/>
          <w:szCs w:val="24"/>
        </w:rPr>
        <w:t xml:space="preserve">Victoria does not have a law that </w:t>
      </w:r>
      <w:r>
        <w:rPr>
          <w:rFonts w:ascii="Arial" w:hAnsi="Arial" w:cs="Arial"/>
          <w:sz w:val="24"/>
          <w:szCs w:val="24"/>
        </w:rPr>
        <w:t xml:space="preserve">imposes </w:t>
      </w:r>
      <w:r w:rsidRPr="0099107D">
        <w:rPr>
          <w:rFonts w:ascii="Arial" w:hAnsi="Arial" w:cs="Arial"/>
          <w:sz w:val="24"/>
          <w:szCs w:val="24"/>
        </w:rPr>
        <w:t xml:space="preserve">an obligation to provide necessaries. </w:t>
      </w:r>
      <w:r w:rsidR="004A10D5">
        <w:rPr>
          <w:rFonts w:ascii="Arial" w:hAnsi="Arial" w:cs="Arial"/>
          <w:sz w:val="24"/>
          <w:szCs w:val="24"/>
        </w:rPr>
        <w:t xml:space="preserve"> </w:t>
      </w:r>
      <w:r>
        <w:rPr>
          <w:rFonts w:ascii="Arial" w:hAnsi="Arial" w:cs="Arial"/>
          <w:sz w:val="24"/>
          <w:szCs w:val="24"/>
        </w:rPr>
        <w:t>Nonetheless it is still occasionally asserted in academic circles</w:t>
      </w:r>
      <w:r w:rsidR="004A10D5">
        <w:rPr>
          <w:rStyle w:val="FootnoteReference"/>
          <w:rFonts w:ascii="Arial" w:hAnsi="Arial" w:cs="Arial"/>
          <w:sz w:val="24"/>
          <w:szCs w:val="24"/>
        </w:rPr>
        <w:footnoteReference w:id="35"/>
      </w:r>
      <w:r>
        <w:rPr>
          <w:rFonts w:ascii="Arial" w:hAnsi="Arial" w:cs="Arial"/>
          <w:sz w:val="24"/>
          <w:szCs w:val="24"/>
        </w:rPr>
        <w:t xml:space="preserve"> t</w:t>
      </w:r>
      <w:r w:rsidRPr="0099107D">
        <w:rPr>
          <w:rFonts w:ascii="Arial" w:hAnsi="Arial" w:cs="Arial"/>
          <w:sz w:val="24"/>
          <w:szCs w:val="24"/>
        </w:rPr>
        <w:t xml:space="preserve">hat the </w:t>
      </w:r>
      <w:r>
        <w:rPr>
          <w:rFonts w:ascii="Arial" w:hAnsi="Arial" w:cs="Arial"/>
          <w:sz w:val="24"/>
          <w:szCs w:val="24"/>
        </w:rPr>
        <w:t>c</w:t>
      </w:r>
      <w:r w:rsidRPr="0099107D">
        <w:rPr>
          <w:rFonts w:ascii="Arial" w:hAnsi="Arial" w:cs="Arial"/>
          <w:sz w:val="24"/>
          <w:szCs w:val="24"/>
        </w:rPr>
        <w:t>ommon law imposes a duty of care which arises in circumstances where a person has voluntarily taken on obligations of care</w:t>
      </w:r>
      <w:r w:rsidR="00674FE5">
        <w:rPr>
          <w:rFonts w:ascii="Arial" w:hAnsi="Arial" w:cs="Arial"/>
          <w:sz w:val="24"/>
          <w:szCs w:val="24"/>
        </w:rPr>
        <w:t>. T</w:t>
      </w:r>
      <w:r w:rsidR="004A10D5">
        <w:rPr>
          <w:rFonts w:ascii="Arial" w:hAnsi="Arial" w:cs="Arial"/>
          <w:sz w:val="24"/>
          <w:szCs w:val="24"/>
        </w:rPr>
        <w:t>h</w:t>
      </w:r>
      <w:r w:rsidR="00272110">
        <w:rPr>
          <w:rFonts w:ascii="Arial" w:hAnsi="Arial" w:cs="Arial"/>
          <w:sz w:val="24"/>
          <w:szCs w:val="24"/>
        </w:rPr>
        <w:t xml:space="preserve">is assertion relies upon the application of the New South </w:t>
      </w:r>
      <w:proofErr w:type="gramStart"/>
      <w:r w:rsidR="00272110">
        <w:rPr>
          <w:rFonts w:ascii="Arial" w:hAnsi="Arial" w:cs="Arial"/>
          <w:sz w:val="24"/>
          <w:szCs w:val="24"/>
        </w:rPr>
        <w:t>Wales  case</w:t>
      </w:r>
      <w:proofErr w:type="gramEnd"/>
      <w:r w:rsidR="00272110">
        <w:rPr>
          <w:rFonts w:ascii="Arial" w:hAnsi="Arial" w:cs="Arial"/>
          <w:sz w:val="24"/>
          <w:szCs w:val="24"/>
        </w:rPr>
        <w:t xml:space="preserve"> of </w:t>
      </w:r>
      <w:r w:rsidR="004A10D5">
        <w:rPr>
          <w:rFonts w:ascii="Arial" w:hAnsi="Arial" w:cs="Arial"/>
          <w:sz w:val="24"/>
          <w:szCs w:val="24"/>
        </w:rPr>
        <w:t xml:space="preserve"> </w:t>
      </w:r>
      <w:r w:rsidRPr="004A10D5">
        <w:rPr>
          <w:rFonts w:ascii="Arial" w:hAnsi="Arial" w:cs="Arial"/>
          <w:i/>
          <w:sz w:val="24"/>
          <w:szCs w:val="24"/>
          <w:u w:val="single"/>
        </w:rPr>
        <w:t xml:space="preserve">R v </w:t>
      </w:r>
      <w:proofErr w:type="spellStart"/>
      <w:r w:rsidRPr="004A10D5">
        <w:rPr>
          <w:rFonts w:ascii="Arial" w:hAnsi="Arial" w:cs="Arial"/>
          <w:i/>
          <w:sz w:val="24"/>
          <w:szCs w:val="24"/>
          <w:u w:val="single"/>
        </w:rPr>
        <w:t>Tak</w:t>
      </w:r>
      <w:proofErr w:type="spellEnd"/>
      <w:r w:rsidRPr="004A10D5">
        <w:rPr>
          <w:rFonts w:ascii="Arial" w:hAnsi="Arial" w:cs="Arial"/>
          <w:i/>
          <w:sz w:val="24"/>
          <w:szCs w:val="24"/>
          <w:u w:val="single"/>
        </w:rPr>
        <w:t xml:space="preserve"> </w:t>
      </w:r>
      <w:proofErr w:type="spellStart"/>
      <w:r w:rsidRPr="004A10D5">
        <w:rPr>
          <w:rFonts w:ascii="Arial" w:hAnsi="Arial" w:cs="Arial"/>
          <w:i/>
          <w:sz w:val="24"/>
          <w:szCs w:val="24"/>
          <w:u w:val="single"/>
        </w:rPr>
        <w:t>Tak</w:t>
      </w:r>
      <w:proofErr w:type="spellEnd"/>
      <w:r w:rsidRPr="0099107D">
        <w:rPr>
          <w:rFonts w:ascii="Arial" w:hAnsi="Arial" w:cs="Arial"/>
          <w:sz w:val="24"/>
          <w:szCs w:val="24"/>
        </w:rPr>
        <w:t xml:space="preserve"> </w:t>
      </w:r>
      <w:r w:rsidR="00272110">
        <w:rPr>
          <w:rStyle w:val="FootnoteReference"/>
          <w:rFonts w:ascii="Arial" w:hAnsi="Arial" w:cs="Arial"/>
          <w:sz w:val="24"/>
          <w:szCs w:val="24"/>
        </w:rPr>
        <w:footnoteReference w:id="36"/>
      </w:r>
      <w:r w:rsidR="00272110">
        <w:rPr>
          <w:rFonts w:ascii="Arial" w:hAnsi="Arial" w:cs="Arial"/>
          <w:sz w:val="24"/>
          <w:szCs w:val="24"/>
        </w:rPr>
        <w:t xml:space="preserve"> .</w:t>
      </w:r>
      <w:r w:rsidRPr="0099107D">
        <w:rPr>
          <w:rFonts w:ascii="Arial" w:hAnsi="Arial" w:cs="Arial"/>
          <w:sz w:val="24"/>
          <w:szCs w:val="24"/>
        </w:rPr>
        <w:t xml:space="preserve"> </w:t>
      </w:r>
      <w:r>
        <w:rPr>
          <w:rFonts w:ascii="Arial" w:hAnsi="Arial" w:cs="Arial"/>
          <w:sz w:val="24"/>
          <w:szCs w:val="24"/>
        </w:rPr>
        <w:t xml:space="preserve"> </w:t>
      </w:r>
    </w:p>
    <w:p w:rsidR="003D75CE" w:rsidRDefault="003D75CE" w:rsidP="00823382">
      <w:pPr>
        <w:rPr>
          <w:rFonts w:ascii="Arial" w:hAnsi="Arial" w:cs="Arial"/>
          <w:sz w:val="24"/>
          <w:szCs w:val="24"/>
        </w:rPr>
      </w:pPr>
    </w:p>
    <w:p w:rsidR="00823382" w:rsidRDefault="004A10D5" w:rsidP="00823382">
      <w:pPr>
        <w:rPr>
          <w:rFonts w:ascii="Arial" w:hAnsi="Arial" w:cs="Arial"/>
          <w:sz w:val="24"/>
          <w:szCs w:val="24"/>
        </w:rPr>
      </w:pPr>
      <w:r>
        <w:rPr>
          <w:rFonts w:ascii="Arial" w:hAnsi="Arial" w:cs="Arial"/>
          <w:sz w:val="24"/>
          <w:szCs w:val="24"/>
        </w:rPr>
        <w:t xml:space="preserve">With respect to the learned authors, </w:t>
      </w:r>
      <w:r w:rsidR="00823382">
        <w:rPr>
          <w:rFonts w:ascii="Arial" w:hAnsi="Arial" w:cs="Arial"/>
          <w:sz w:val="24"/>
          <w:szCs w:val="24"/>
        </w:rPr>
        <w:t>this is to misunderstand the difference between civil negligence an</w:t>
      </w:r>
      <w:r w:rsidR="00674FE5">
        <w:rPr>
          <w:rFonts w:ascii="Arial" w:hAnsi="Arial" w:cs="Arial"/>
          <w:sz w:val="24"/>
          <w:szCs w:val="24"/>
        </w:rPr>
        <w:t>d</w:t>
      </w:r>
      <w:r w:rsidR="00823382">
        <w:rPr>
          <w:rFonts w:ascii="Arial" w:hAnsi="Arial" w:cs="Arial"/>
          <w:sz w:val="24"/>
          <w:szCs w:val="24"/>
        </w:rPr>
        <w:t xml:space="preserve"> criminal negligence. </w:t>
      </w:r>
    </w:p>
    <w:p w:rsidR="00823382" w:rsidRDefault="00823382" w:rsidP="00823382">
      <w:pPr>
        <w:rPr>
          <w:rFonts w:ascii="Arial" w:hAnsi="Arial" w:cs="Arial"/>
          <w:sz w:val="24"/>
          <w:szCs w:val="24"/>
        </w:rPr>
      </w:pPr>
    </w:p>
    <w:p w:rsidR="00823382" w:rsidRDefault="00823382" w:rsidP="00823382">
      <w:pPr>
        <w:rPr>
          <w:rFonts w:ascii="Arial" w:hAnsi="Arial" w:cs="Arial"/>
          <w:sz w:val="24"/>
          <w:szCs w:val="24"/>
        </w:rPr>
      </w:pPr>
      <w:r w:rsidRPr="0099107D">
        <w:rPr>
          <w:rFonts w:ascii="Arial" w:hAnsi="Arial" w:cs="Arial"/>
          <w:sz w:val="24"/>
          <w:szCs w:val="24"/>
        </w:rPr>
        <w:t xml:space="preserve">The law has its origins </w:t>
      </w:r>
      <w:r>
        <w:rPr>
          <w:rFonts w:ascii="Arial" w:hAnsi="Arial" w:cs="Arial"/>
          <w:sz w:val="24"/>
          <w:szCs w:val="24"/>
        </w:rPr>
        <w:t>(</w:t>
      </w:r>
      <w:r w:rsidRPr="0099107D">
        <w:rPr>
          <w:rFonts w:ascii="Arial" w:hAnsi="Arial" w:cs="Arial"/>
          <w:sz w:val="24"/>
          <w:szCs w:val="24"/>
        </w:rPr>
        <w:t xml:space="preserve">or at least was </w:t>
      </w:r>
      <w:r w:rsidR="009A0933">
        <w:rPr>
          <w:rFonts w:ascii="Arial" w:hAnsi="Arial" w:cs="Arial"/>
          <w:sz w:val="24"/>
          <w:szCs w:val="24"/>
        </w:rPr>
        <w:t xml:space="preserve">early </w:t>
      </w:r>
      <w:proofErr w:type="gramStart"/>
      <w:r w:rsidR="009A0933">
        <w:rPr>
          <w:rFonts w:ascii="Arial" w:hAnsi="Arial" w:cs="Arial"/>
          <w:sz w:val="24"/>
          <w:szCs w:val="24"/>
        </w:rPr>
        <w:t xml:space="preserve">on </w:t>
      </w:r>
      <w:r w:rsidRPr="0099107D">
        <w:rPr>
          <w:rFonts w:ascii="Arial" w:hAnsi="Arial" w:cs="Arial"/>
          <w:sz w:val="24"/>
          <w:szCs w:val="24"/>
        </w:rPr>
        <w:t xml:space="preserve"> enunciated</w:t>
      </w:r>
      <w:proofErr w:type="gramEnd"/>
      <w:r>
        <w:rPr>
          <w:rFonts w:ascii="Arial" w:hAnsi="Arial" w:cs="Arial"/>
          <w:sz w:val="24"/>
          <w:szCs w:val="24"/>
        </w:rPr>
        <w:t>)</w:t>
      </w:r>
      <w:r w:rsidRPr="0099107D">
        <w:rPr>
          <w:rFonts w:ascii="Arial" w:hAnsi="Arial" w:cs="Arial"/>
          <w:sz w:val="24"/>
          <w:szCs w:val="24"/>
        </w:rPr>
        <w:t xml:space="preserve"> </w:t>
      </w:r>
      <w:r>
        <w:rPr>
          <w:rFonts w:ascii="Arial" w:hAnsi="Arial" w:cs="Arial"/>
          <w:sz w:val="24"/>
          <w:szCs w:val="24"/>
        </w:rPr>
        <w:t xml:space="preserve">in  the sad </w:t>
      </w:r>
      <w:r w:rsidRPr="0099107D">
        <w:rPr>
          <w:rFonts w:ascii="Arial" w:hAnsi="Arial" w:cs="Arial"/>
          <w:sz w:val="24"/>
          <w:szCs w:val="24"/>
        </w:rPr>
        <w:t xml:space="preserve">case of </w:t>
      </w:r>
      <w:r w:rsidRPr="001871EF">
        <w:rPr>
          <w:rFonts w:ascii="Arial" w:hAnsi="Arial" w:cs="Arial"/>
          <w:i/>
          <w:sz w:val="24"/>
          <w:szCs w:val="24"/>
        </w:rPr>
        <w:t>R V Clarke and Wilson</w:t>
      </w:r>
      <w:r>
        <w:rPr>
          <w:rFonts w:ascii="Arial" w:hAnsi="Arial" w:cs="Arial"/>
          <w:sz w:val="24"/>
          <w:szCs w:val="24"/>
        </w:rPr>
        <w:t xml:space="preserve"> (1959) VR 645.</w:t>
      </w:r>
      <w:r w:rsidRPr="0099107D">
        <w:rPr>
          <w:rFonts w:ascii="Arial" w:hAnsi="Arial" w:cs="Arial"/>
          <w:sz w:val="24"/>
          <w:szCs w:val="24"/>
        </w:rPr>
        <w:t xml:space="preserve"> A child victim of an assault which caused her death was living with two adults who were not her parents but who took responsibility for her care. The child had multiple injuries and the prosecution could not determine which </w:t>
      </w:r>
      <w:proofErr w:type="gramStart"/>
      <w:r w:rsidRPr="0099107D">
        <w:rPr>
          <w:rFonts w:ascii="Arial" w:hAnsi="Arial" w:cs="Arial"/>
          <w:sz w:val="24"/>
          <w:szCs w:val="24"/>
        </w:rPr>
        <w:t>was the fatal blow</w:t>
      </w:r>
      <w:proofErr w:type="gramEnd"/>
      <w:r w:rsidRPr="0099107D">
        <w:rPr>
          <w:rFonts w:ascii="Arial" w:hAnsi="Arial" w:cs="Arial"/>
          <w:sz w:val="24"/>
          <w:szCs w:val="24"/>
        </w:rPr>
        <w:t xml:space="preserve">. Each defendant blamed the other and claimed to be the onlooker. </w:t>
      </w:r>
    </w:p>
    <w:p w:rsidR="00823382" w:rsidRDefault="00823382" w:rsidP="00823382">
      <w:pPr>
        <w:rPr>
          <w:rFonts w:ascii="Arial" w:hAnsi="Arial" w:cs="Arial"/>
          <w:sz w:val="24"/>
          <w:szCs w:val="24"/>
        </w:rPr>
      </w:pPr>
    </w:p>
    <w:p w:rsidR="009A0933" w:rsidRDefault="00823382" w:rsidP="00823382">
      <w:pPr>
        <w:rPr>
          <w:rFonts w:ascii="Arial" w:hAnsi="Arial" w:cs="Arial"/>
          <w:sz w:val="24"/>
          <w:szCs w:val="24"/>
        </w:rPr>
      </w:pPr>
      <w:r w:rsidRPr="0099107D">
        <w:rPr>
          <w:rFonts w:ascii="Arial" w:hAnsi="Arial" w:cs="Arial"/>
          <w:sz w:val="24"/>
          <w:szCs w:val="24"/>
        </w:rPr>
        <w:t>It was clear that the prosecution could not obtain a murder conviction because of lack of causation linked to one assailant and</w:t>
      </w:r>
      <w:proofErr w:type="gramStart"/>
      <w:r w:rsidRPr="0099107D">
        <w:rPr>
          <w:rFonts w:ascii="Arial" w:hAnsi="Arial" w:cs="Arial"/>
          <w:sz w:val="24"/>
          <w:szCs w:val="24"/>
        </w:rPr>
        <w:t>  lack</w:t>
      </w:r>
      <w:proofErr w:type="gramEnd"/>
      <w:r w:rsidRPr="0099107D">
        <w:rPr>
          <w:rFonts w:ascii="Arial" w:hAnsi="Arial" w:cs="Arial"/>
          <w:sz w:val="24"/>
          <w:szCs w:val="24"/>
        </w:rPr>
        <w:t xml:space="preserve"> of evidence of acting in concert.  Instead both were charged and punished for criminal negligence. It was observed at </w:t>
      </w:r>
      <w:r w:rsidRPr="0099107D">
        <w:rPr>
          <w:rFonts w:ascii="Arial" w:hAnsi="Arial" w:cs="Arial"/>
          <w:sz w:val="24"/>
          <w:szCs w:val="24"/>
        </w:rPr>
        <w:lastRenderedPageBreak/>
        <w:t xml:space="preserve">the time that all that was required of both defendants was that they </w:t>
      </w:r>
      <w:r>
        <w:rPr>
          <w:rFonts w:ascii="Arial" w:hAnsi="Arial" w:cs="Arial"/>
          <w:sz w:val="24"/>
          <w:szCs w:val="24"/>
        </w:rPr>
        <w:t xml:space="preserve">should have </w:t>
      </w:r>
      <w:r w:rsidRPr="0099107D">
        <w:rPr>
          <w:rFonts w:ascii="Arial" w:hAnsi="Arial" w:cs="Arial"/>
          <w:sz w:val="24"/>
          <w:szCs w:val="24"/>
        </w:rPr>
        <w:t>summon</w:t>
      </w:r>
      <w:r>
        <w:rPr>
          <w:rFonts w:ascii="Arial" w:hAnsi="Arial" w:cs="Arial"/>
          <w:sz w:val="24"/>
          <w:szCs w:val="24"/>
        </w:rPr>
        <w:t>ed</w:t>
      </w:r>
      <w:r w:rsidRPr="0099107D">
        <w:rPr>
          <w:rFonts w:ascii="Arial" w:hAnsi="Arial" w:cs="Arial"/>
          <w:sz w:val="24"/>
          <w:szCs w:val="24"/>
        </w:rPr>
        <w:t xml:space="preserve"> an ambulance. </w:t>
      </w:r>
    </w:p>
    <w:p w:rsidR="009A0933" w:rsidRDefault="009A0933" w:rsidP="00823382">
      <w:pPr>
        <w:rPr>
          <w:rFonts w:ascii="Arial" w:hAnsi="Arial" w:cs="Arial"/>
          <w:sz w:val="24"/>
          <w:szCs w:val="24"/>
        </w:rPr>
      </w:pPr>
    </w:p>
    <w:p w:rsidR="00823382" w:rsidRDefault="00823382" w:rsidP="00823382">
      <w:pPr>
        <w:rPr>
          <w:rFonts w:ascii="Arial" w:hAnsi="Arial" w:cs="Arial"/>
          <w:sz w:val="24"/>
          <w:szCs w:val="24"/>
        </w:rPr>
      </w:pPr>
      <w:r w:rsidRPr="0099107D">
        <w:rPr>
          <w:rFonts w:ascii="Arial" w:hAnsi="Arial" w:cs="Arial"/>
          <w:sz w:val="24"/>
          <w:szCs w:val="24"/>
        </w:rPr>
        <w:t>This princip</w:t>
      </w:r>
      <w:r>
        <w:rPr>
          <w:rFonts w:ascii="Arial" w:hAnsi="Arial" w:cs="Arial"/>
          <w:sz w:val="24"/>
          <w:szCs w:val="24"/>
        </w:rPr>
        <w:t>le</w:t>
      </w:r>
      <w:r w:rsidRPr="0099107D">
        <w:rPr>
          <w:rFonts w:ascii="Arial" w:hAnsi="Arial" w:cs="Arial"/>
          <w:sz w:val="24"/>
          <w:szCs w:val="24"/>
        </w:rPr>
        <w:t xml:space="preserve"> was affirmed recently in the case of </w:t>
      </w:r>
      <w:r w:rsidRPr="004A10D5">
        <w:rPr>
          <w:rFonts w:ascii="Arial" w:hAnsi="Arial" w:cs="Arial"/>
          <w:i/>
          <w:sz w:val="24"/>
          <w:szCs w:val="24"/>
          <w:u w:val="single"/>
        </w:rPr>
        <w:t>Reid v the Queen</w:t>
      </w:r>
      <w:r>
        <w:rPr>
          <w:rFonts w:ascii="Arial" w:hAnsi="Arial" w:cs="Arial"/>
          <w:sz w:val="24"/>
          <w:szCs w:val="24"/>
        </w:rPr>
        <w:t xml:space="preserve"> </w:t>
      </w:r>
      <w:proofErr w:type="gramStart"/>
      <w:r>
        <w:rPr>
          <w:rFonts w:ascii="Arial" w:hAnsi="Arial" w:cs="Arial"/>
          <w:sz w:val="24"/>
          <w:szCs w:val="24"/>
        </w:rPr>
        <w:t>( 2010</w:t>
      </w:r>
      <w:proofErr w:type="gramEnd"/>
      <w:r>
        <w:rPr>
          <w:rFonts w:ascii="Arial" w:hAnsi="Arial" w:cs="Arial"/>
          <w:sz w:val="24"/>
          <w:szCs w:val="24"/>
        </w:rPr>
        <w:t xml:space="preserve">) VSCA 234 </w:t>
      </w:r>
      <w:r w:rsidRPr="0099107D">
        <w:rPr>
          <w:rFonts w:ascii="Arial" w:hAnsi="Arial" w:cs="Arial"/>
          <w:sz w:val="24"/>
          <w:szCs w:val="24"/>
        </w:rPr>
        <w:t xml:space="preserve"> in a case of </w:t>
      </w:r>
      <w:r w:rsidR="004A10D5">
        <w:rPr>
          <w:rFonts w:ascii="Arial" w:hAnsi="Arial" w:cs="Arial"/>
          <w:sz w:val="24"/>
          <w:szCs w:val="24"/>
        </w:rPr>
        <w:t>alleged assault causing</w:t>
      </w:r>
      <w:r w:rsidRPr="0099107D">
        <w:rPr>
          <w:rFonts w:ascii="Arial" w:hAnsi="Arial" w:cs="Arial"/>
          <w:sz w:val="24"/>
          <w:szCs w:val="24"/>
        </w:rPr>
        <w:t xml:space="preserve"> family violence causing a fatal injury which could not be proven beyond reasonable doubt</w:t>
      </w:r>
      <w:r>
        <w:rPr>
          <w:rFonts w:ascii="Arial" w:hAnsi="Arial" w:cs="Arial"/>
          <w:sz w:val="24"/>
          <w:szCs w:val="24"/>
        </w:rPr>
        <w:t>, where</w:t>
      </w:r>
      <w:r w:rsidR="003D75CE">
        <w:rPr>
          <w:rFonts w:ascii="Arial" w:hAnsi="Arial" w:cs="Arial"/>
          <w:sz w:val="24"/>
          <w:szCs w:val="24"/>
        </w:rPr>
        <w:t xml:space="preserve"> </w:t>
      </w:r>
      <w:r>
        <w:rPr>
          <w:rFonts w:ascii="Arial" w:hAnsi="Arial" w:cs="Arial"/>
          <w:sz w:val="24"/>
          <w:szCs w:val="24"/>
        </w:rPr>
        <w:t>the Court said:</w:t>
      </w:r>
    </w:p>
    <w:p w:rsidR="005121DD" w:rsidRPr="005121DD" w:rsidRDefault="005121DD" w:rsidP="005121DD">
      <w:pPr>
        <w:spacing w:before="100" w:beforeAutospacing="1" w:after="100" w:afterAutospacing="1"/>
        <w:ind w:left="720"/>
        <w:rPr>
          <w:rFonts w:ascii="Arial" w:eastAsia="Times New Roman" w:hAnsi="Arial" w:cs="Arial"/>
          <w:color w:val="000000"/>
          <w:sz w:val="20"/>
          <w:szCs w:val="20"/>
          <w:lang w:eastAsia="en-AU"/>
        </w:rPr>
      </w:pPr>
      <w:bookmarkStart w:id="1" w:name="Heading91"/>
      <w:bookmarkEnd w:id="1"/>
      <w:r w:rsidRPr="005121DD">
        <w:rPr>
          <w:rFonts w:ascii="Arial" w:eastAsia="Times New Roman" w:hAnsi="Arial" w:cs="Arial"/>
          <w:color w:val="000000"/>
          <w:sz w:val="20"/>
          <w:szCs w:val="20"/>
          <w:lang w:eastAsia="en-AU"/>
        </w:rPr>
        <w:t xml:space="preserve">When will the duty of care arise? For the purpose of this case there are two circumstances where at law a duty arises. The first is ... where a person by his deliberate wrongful act places another in peril or in </w:t>
      </w:r>
      <w:proofErr w:type="gramStart"/>
      <w:r w:rsidRPr="005121DD">
        <w:rPr>
          <w:rFonts w:ascii="Arial" w:eastAsia="Times New Roman" w:hAnsi="Arial" w:cs="Arial"/>
          <w:color w:val="000000"/>
          <w:sz w:val="20"/>
          <w:szCs w:val="20"/>
          <w:lang w:eastAsia="en-AU"/>
        </w:rPr>
        <w:t>danger,</w:t>
      </w:r>
      <w:proofErr w:type="gramEnd"/>
      <w:r w:rsidRPr="005121DD">
        <w:rPr>
          <w:rFonts w:ascii="Arial" w:eastAsia="Times New Roman" w:hAnsi="Arial" w:cs="Arial"/>
          <w:color w:val="000000"/>
          <w:sz w:val="20"/>
          <w:szCs w:val="20"/>
          <w:lang w:eastAsia="en-AU"/>
        </w:rPr>
        <w:t xml:space="preserve"> he has a duty to take reasonable steps to remove that danger or peril. So that is the first one. The second one which arises, or potentially arises in this case is...where persons live together as domestic partners and one of them is rendered helpless through illness or injury the other has a duty [to] take reasonable steps to provide the helpless person with proper attention....And it is not just any breach of the duty which is sufficient here, because we are dealing with criminal negligence. A breach of a duty of care is not sufficient. What is required is such a great falling short of the standard that a reasonable person would have exercised, that is the standard that the duty of care required, and involved such a high risk of causing death or really serious injury, that it deserves to be criminally punished.</w:t>
      </w:r>
    </w:p>
    <w:p w:rsidR="00823382" w:rsidRDefault="00823382" w:rsidP="00823382">
      <w:pPr>
        <w:rPr>
          <w:rFonts w:ascii="Arial" w:hAnsi="Arial" w:cs="Arial"/>
          <w:sz w:val="24"/>
          <w:szCs w:val="24"/>
        </w:rPr>
      </w:pPr>
    </w:p>
    <w:p w:rsidR="009A0933" w:rsidRDefault="009A0933" w:rsidP="003D75CE">
      <w:pPr>
        <w:rPr>
          <w:rFonts w:ascii="Arial" w:hAnsi="Arial" w:cs="Arial"/>
          <w:sz w:val="24"/>
          <w:szCs w:val="24"/>
        </w:rPr>
      </w:pPr>
      <w:r>
        <w:rPr>
          <w:rFonts w:ascii="Arial" w:hAnsi="Arial" w:cs="Arial"/>
          <w:sz w:val="24"/>
          <w:szCs w:val="24"/>
        </w:rPr>
        <w:t>So t</w:t>
      </w:r>
      <w:r w:rsidR="00823382" w:rsidRPr="0099107D">
        <w:rPr>
          <w:rFonts w:ascii="Arial" w:hAnsi="Arial" w:cs="Arial"/>
          <w:sz w:val="24"/>
          <w:szCs w:val="24"/>
        </w:rPr>
        <w:t xml:space="preserve">he </w:t>
      </w:r>
      <w:r w:rsidR="00823382">
        <w:rPr>
          <w:rFonts w:ascii="Arial" w:hAnsi="Arial" w:cs="Arial"/>
          <w:sz w:val="24"/>
          <w:szCs w:val="24"/>
        </w:rPr>
        <w:t xml:space="preserve">current state of the </w:t>
      </w:r>
      <w:r w:rsidR="003D75CE">
        <w:rPr>
          <w:rFonts w:ascii="Arial" w:hAnsi="Arial" w:cs="Arial"/>
          <w:sz w:val="24"/>
          <w:szCs w:val="24"/>
        </w:rPr>
        <w:t xml:space="preserve">criminal </w:t>
      </w:r>
      <w:r w:rsidR="00823382">
        <w:rPr>
          <w:rFonts w:ascii="Arial" w:hAnsi="Arial" w:cs="Arial"/>
          <w:sz w:val="24"/>
          <w:szCs w:val="24"/>
        </w:rPr>
        <w:t xml:space="preserve">law </w:t>
      </w:r>
      <w:r>
        <w:rPr>
          <w:rFonts w:ascii="Arial" w:hAnsi="Arial" w:cs="Arial"/>
          <w:sz w:val="24"/>
          <w:szCs w:val="24"/>
        </w:rPr>
        <w:t xml:space="preserve">regarding criminal negligence </w:t>
      </w:r>
      <w:proofErr w:type="gramStart"/>
      <w:r w:rsidR="00823382" w:rsidRPr="0099107D">
        <w:rPr>
          <w:rFonts w:ascii="Arial" w:hAnsi="Arial" w:cs="Arial"/>
          <w:sz w:val="24"/>
          <w:szCs w:val="24"/>
        </w:rPr>
        <w:t>disappoints  in</w:t>
      </w:r>
      <w:proofErr w:type="gramEnd"/>
      <w:r w:rsidR="00823382" w:rsidRPr="0099107D">
        <w:rPr>
          <w:rFonts w:ascii="Arial" w:hAnsi="Arial" w:cs="Arial"/>
          <w:sz w:val="24"/>
          <w:szCs w:val="24"/>
        </w:rPr>
        <w:t xml:space="preserve"> two ways. Firstly it appears to be an avenue of last resort taken up by the prosecution when it is considered that </w:t>
      </w:r>
      <w:r w:rsidR="00823382">
        <w:rPr>
          <w:rFonts w:ascii="Arial" w:hAnsi="Arial" w:cs="Arial"/>
          <w:sz w:val="24"/>
          <w:szCs w:val="24"/>
        </w:rPr>
        <w:t xml:space="preserve">it is </w:t>
      </w:r>
      <w:r w:rsidR="00823382" w:rsidRPr="0099107D">
        <w:rPr>
          <w:rFonts w:ascii="Arial" w:hAnsi="Arial" w:cs="Arial"/>
          <w:sz w:val="24"/>
          <w:szCs w:val="24"/>
        </w:rPr>
        <w:t xml:space="preserve">unlikely </w:t>
      </w:r>
      <w:r w:rsidR="00823382">
        <w:rPr>
          <w:rFonts w:ascii="Arial" w:hAnsi="Arial" w:cs="Arial"/>
          <w:sz w:val="24"/>
          <w:szCs w:val="24"/>
        </w:rPr>
        <w:t xml:space="preserve">that </w:t>
      </w:r>
      <w:r w:rsidR="00823382" w:rsidRPr="0099107D">
        <w:rPr>
          <w:rFonts w:ascii="Arial" w:hAnsi="Arial" w:cs="Arial"/>
          <w:sz w:val="24"/>
          <w:szCs w:val="24"/>
        </w:rPr>
        <w:t>a</w:t>
      </w:r>
      <w:r>
        <w:rPr>
          <w:rFonts w:ascii="Arial" w:hAnsi="Arial" w:cs="Arial"/>
          <w:sz w:val="24"/>
          <w:szCs w:val="24"/>
        </w:rPr>
        <w:t xml:space="preserve">n </w:t>
      </w:r>
      <w:r w:rsidR="00823382" w:rsidRPr="0099107D">
        <w:rPr>
          <w:rFonts w:ascii="Arial" w:hAnsi="Arial" w:cs="Arial"/>
          <w:sz w:val="24"/>
          <w:szCs w:val="24"/>
        </w:rPr>
        <w:t>offence</w:t>
      </w:r>
      <w:r>
        <w:rPr>
          <w:rFonts w:ascii="Arial" w:hAnsi="Arial" w:cs="Arial"/>
          <w:sz w:val="24"/>
          <w:szCs w:val="24"/>
        </w:rPr>
        <w:t xml:space="preserve"> of positive intention can</w:t>
      </w:r>
      <w:r w:rsidR="00823382">
        <w:rPr>
          <w:rFonts w:ascii="Arial" w:hAnsi="Arial" w:cs="Arial"/>
          <w:sz w:val="24"/>
          <w:szCs w:val="24"/>
        </w:rPr>
        <w:t xml:space="preserve"> </w:t>
      </w:r>
      <w:proofErr w:type="gramStart"/>
      <w:r w:rsidR="00823382">
        <w:rPr>
          <w:rFonts w:ascii="Arial" w:hAnsi="Arial" w:cs="Arial"/>
          <w:sz w:val="24"/>
          <w:szCs w:val="24"/>
        </w:rPr>
        <w:t xml:space="preserve">be </w:t>
      </w:r>
      <w:r w:rsidR="00823382" w:rsidRPr="0099107D">
        <w:rPr>
          <w:rFonts w:ascii="Arial" w:hAnsi="Arial" w:cs="Arial"/>
          <w:sz w:val="24"/>
          <w:szCs w:val="24"/>
        </w:rPr>
        <w:t xml:space="preserve"> proven</w:t>
      </w:r>
      <w:proofErr w:type="gramEnd"/>
      <w:r w:rsidR="00823382">
        <w:rPr>
          <w:rFonts w:ascii="Arial" w:hAnsi="Arial" w:cs="Arial"/>
          <w:sz w:val="24"/>
          <w:szCs w:val="24"/>
        </w:rPr>
        <w:t xml:space="preserve">. </w:t>
      </w:r>
      <w:r w:rsidR="00823382" w:rsidRPr="0099107D">
        <w:rPr>
          <w:rFonts w:ascii="Arial" w:hAnsi="Arial" w:cs="Arial"/>
          <w:sz w:val="24"/>
          <w:szCs w:val="24"/>
        </w:rPr>
        <w:t xml:space="preserve">Secondly, the standard of care is set at a very low standard as the requirement </w:t>
      </w:r>
      <w:r w:rsidR="00823382">
        <w:rPr>
          <w:rFonts w:ascii="Arial" w:hAnsi="Arial" w:cs="Arial"/>
          <w:sz w:val="24"/>
          <w:szCs w:val="24"/>
        </w:rPr>
        <w:t xml:space="preserve">only </w:t>
      </w:r>
      <w:r w:rsidR="00823382" w:rsidRPr="0099107D">
        <w:rPr>
          <w:rFonts w:ascii="Arial" w:hAnsi="Arial" w:cs="Arial"/>
          <w:sz w:val="24"/>
          <w:szCs w:val="24"/>
        </w:rPr>
        <w:t>to summon an ambulance</w:t>
      </w:r>
      <w:r w:rsidR="005121DD">
        <w:rPr>
          <w:rFonts w:ascii="Arial" w:hAnsi="Arial" w:cs="Arial"/>
          <w:sz w:val="24"/>
          <w:szCs w:val="24"/>
        </w:rPr>
        <w:t xml:space="preserve">. </w:t>
      </w:r>
    </w:p>
    <w:p w:rsidR="009A0933" w:rsidRDefault="009A0933" w:rsidP="003D75CE">
      <w:pPr>
        <w:rPr>
          <w:rFonts w:ascii="Arial" w:hAnsi="Arial" w:cs="Arial"/>
          <w:sz w:val="24"/>
          <w:szCs w:val="24"/>
        </w:rPr>
      </w:pPr>
    </w:p>
    <w:p w:rsidR="009A0933" w:rsidRDefault="00D52C51" w:rsidP="003D75CE">
      <w:pPr>
        <w:rPr>
          <w:rFonts w:ascii="Arial" w:hAnsi="Arial" w:cs="Arial"/>
          <w:sz w:val="24"/>
          <w:szCs w:val="24"/>
        </w:rPr>
      </w:pPr>
      <w:r>
        <w:rPr>
          <w:rFonts w:ascii="Arial" w:hAnsi="Arial" w:cs="Arial"/>
          <w:sz w:val="24"/>
          <w:szCs w:val="24"/>
        </w:rPr>
        <w:t>Aggravation as a sentencing factor</w:t>
      </w:r>
    </w:p>
    <w:p w:rsidR="00D52C51" w:rsidRDefault="00D52C51" w:rsidP="003D75CE">
      <w:pPr>
        <w:rPr>
          <w:rFonts w:ascii="Arial" w:hAnsi="Arial" w:cs="Arial"/>
          <w:sz w:val="24"/>
          <w:szCs w:val="24"/>
        </w:rPr>
      </w:pPr>
    </w:p>
    <w:p w:rsidR="00D52C51" w:rsidRDefault="00D52C51" w:rsidP="003D75CE">
      <w:pPr>
        <w:rPr>
          <w:rFonts w:ascii="Arial" w:hAnsi="Arial" w:cs="Arial"/>
          <w:sz w:val="24"/>
          <w:szCs w:val="24"/>
        </w:rPr>
      </w:pPr>
      <w:r>
        <w:rPr>
          <w:rFonts w:ascii="Arial" w:hAnsi="Arial" w:cs="Arial"/>
          <w:sz w:val="24"/>
          <w:szCs w:val="24"/>
        </w:rPr>
        <w:t xml:space="preserve">A Victim’s age, </w:t>
      </w:r>
      <w:r w:rsidR="00D05447">
        <w:rPr>
          <w:rFonts w:ascii="Arial" w:hAnsi="Arial" w:cs="Arial"/>
          <w:sz w:val="24"/>
          <w:szCs w:val="24"/>
        </w:rPr>
        <w:t xml:space="preserve">and or </w:t>
      </w:r>
      <w:r>
        <w:rPr>
          <w:rFonts w:ascii="Arial" w:hAnsi="Arial" w:cs="Arial"/>
          <w:sz w:val="24"/>
          <w:szCs w:val="24"/>
        </w:rPr>
        <w:t xml:space="preserve">disability status could be become a factor to be considered in sentencing an offender. Currently in Victoria </w:t>
      </w:r>
      <w:r w:rsidR="0036521C">
        <w:rPr>
          <w:rFonts w:ascii="Arial" w:hAnsi="Arial" w:cs="Arial"/>
          <w:sz w:val="24"/>
          <w:szCs w:val="24"/>
        </w:rPr>
        <w:t xml:space="preserve">a summary </w:t>
      </w:r>
      <w:r>
        <w:rPr>
          <w:rFonts w:ascii="Arial" w:hAnsi="Arial" w:cs="Arial"/>
          <w:sz w:val="24"/>
          <w:szCs w:val="24"/>
        </w:rPr>
        <w:t xml:space="preserve">assault </w:t>
      </w:r>
      <w:r w:rsidR="0036521C">
        <w:rPr>
          <w:rStyle w:val="FootnoteReference"/>
          <w:rFonts w:ascii="Arial" w:hAnsi="Arial" w:cs="Arial"/>
          <w:sz w:val="24"/>
          <w:szCs w:val="24"/>
        </w:rPr>
        <w:footnoteReference w:id="37"/>
      </w:r>
      <w:r w:rsidR="0036521C">
        <w:rPr>
          <w:rFonts w:ascii="Arial" w:hAnsi="Arial" w:cs="Arial"/>
          <w:sz w:val="24"/>
          <w:szCs w:val="24"/>
        </w:rPr>
        <w:t xml:space="preserve"> </w:t>
      </w:r>
      <w:r>
        <w:rPr>
          <w:rFonts w:ascii="Arial" w:hAnsi="Arial" w:cs="Arial"/>
          <w:sz w:val="24"/>
          <w:szCs w:val="24"/>
        </w:rPr>
        <w:t xml:space="preserve">can </w:t>
      </w:r>
      <w:proofErr w:type="gramStart"/>
      <w:r>
        <w:rPr>
          <w:rFonts w:ascii="Arial" w:hAnsi="Arial" w:cs="Arial"/>
          <w:sz w:val="24"/>
          <w:szCs w:val="24"/>
        </w:rPr>
        <w:t>considered</w:t>
      </w:r>
      <w:proofErr w:type="gramEnd"/>
      <w:r>
        <w:rPr>
          <w:rFonts w:ascii="Arial" w:hAnsi="Arial" w:cs="Arial"/>
          <w:sz w:val="24"/>
          <w:szCs w:val="24"/>
        </w:rPr>
        <w:t xml:space="preserve"> aggravated </w:t>
      </w:r>
      <w:r w:rsidR="0036521C">
        <w:rPr>
          <w:rFonts w:ascii="Arial" w:hAnsi="Arial" w:cs="Arial"/>
          <w:sz w:val="24"/>
          <w:szCs w:val="24"/>
        </w:rPr>
        <w:t xml:space="preserve">and subject </w:t>
      </w:r>
      <w:r w:rsidR="00DF7513">
        <w:rPr>
          <w:rFonts w:ascii="Arial" w:hAnsi="Arial" w:cs="Arial"/>
          <w:sz w:val="24"/>
          <w:szCs w:val="24"/>
        </w:rPr>
        <w:t>to</w:t>
      </w:r>
      <w:r w:rsidR="0036521C">
        <w:rPr>
          <w:rFonts w:ascii="Arial" w:hAnsi="Arial" w:cs="Arial"/>
          <w:sz w:val="24"/>
          <w:szCs w:val="24"/>
        </w:rPr>
        <w:t xml:space="preserve"> harsher punishment </w:t>
      </w:r>
      <w:r>
        <w:rPr>
          <w:rFonts w:ascii="Arial" w:hAnsi="Arial" w:cs="Arial"/>
          <w:sz w:val="24"/>
          <w:szCs w:val="24"/>
        </w:rPr>
        <w:t>if the victim i</w:t>
      </w:r>
      <w:r w:rsidR="009D614F">
        <w:rPr>
          <w:rFonts w:ascii="Arial" w:hAnsi="Arial" w:cs="Arial"/>
          <w:sz w:val="24"/>
          <w:szCs w:val="24"/>
        </w:rPr>
        <w:t>s</w:t>
      </w:r>
      <w:r>
        <w:rPr>
          <w:rFonts w:ascii="Arial" w:hAnsi="Arial" w:cs="Arial"/>
          <w:sz w:val="24"/>
          <w:szCs w:val="24"/>
        </w:rPr>
        <w:t xml:space="preserve"> female or </w:t>
      </w:r>
      <w:r w:rsidR="0036521C">
        <w:rPr>
          <w:rFonts w:ascii="Arial" w:hAnsi="Arial" w:cs="Arial"/>
          <w:sz w:val="24"/>
          <w:szCs w:val="24"/>
        </w:rPr>
        <w:t xml:space="preserve">a male under the age of 14 years. This could </w:t>
      </w:r>
      <w:r>
        <w:rPr>
          <w:rFonts w:ascii="Arial" w:hAnsi="Arial" w:cs="Arial"/>
          <w:sz w:val="24"/>
          <w:szCs w:val="24"/>
        </w:rPr>
        <w:t>be extended to vict</w:t>
      </w:r>
      <w:r w:rsidR="009D614F">
        <w:rPr>
          <w:rFonts w:ascii="Arial" w:hAnsi="Arial" w:cs="Arial"/>
          <w:sz w:val="24"/>
          <w:szCs w:val="24"/>
        </w:rPr>
        <w:t>i</w:t>
      </w:r>
      <w:r>
        <w:rPr>
          <w:rFonts w:ascii="Arial" w:hAnsi="Arial" w:cs="Arial"/>
          <w:sz w:val="24"/>
          <w:szCs w:val="24"/>
        </w:rPr>
        <w:t>m</w:t>
      </w:r>
      <w:r w:rsidR="009D614F">
        <w:rPr>
          <w:rFonts w:ascii="Arial" w:hAnsi="Arial" w:cs="Arial"/>
          <w:sz w:val="24"/>
          <w:szCs w:val="24"/>
        </w:rPr>
        <w:t>s</w:t>
      </w:r>
      <w:r>
        <w:rPr>
          <w:rFonts w:ascii="Arial" w:hAnsi="Arial" w:cs="Arial"/>
          <w:sz w:val="24"/>
          <w:szCs w:val="24"/>
        </w:rPr>
        <w:t xml:space="preserve"> </w:t>
      </w:r>
      <w:r w:rsidR="009D614F">
        <w:rPr>
          <w:rFonts w:ascii="Arial" w:hAnsi="Arial" w:cs="Arial"/>
          <w:sz w:val="24"/>
          <w:szCs w:val="24"/>
        </w:rPr>
        <w:t xml:space="preserve">who are </w:t>
      </w:r>
      <w:r>
        <w:rPr>
          <w:rFonts w:ascii="Arial" w:hAnsi="Arial" w:cs="Arial"/>
          <w:sz w:val="24"/>
          <w:szCs w:val="24"/>
        </w:rPr>
        <w:t>older per</w:t>
      </w:r>
      <w:r w:rsidR="009D614F">
        <w:rPr>
          <w:rFonts w:ascii="Arial" w:hAnsi="Arial" w:cs="Arial"/>
          <w:sz w:val="24"/>
          <w:szCs w:val="24"/>
        </w:rPr>
        <w:t>sons</w:t>
      </w:r>
      <w:r w:rsidR="0036521C">
        <w:rPr>
          <w:rFonts w:ascii="Arial" w:hAnsi="Arial" w:cs="Arial"/>
          <w:sz w:val="24"/>
          <w:szCs w:val="24"/>
        </w:rPr>
        <w:t>,</w:t>
      </w:r>
      <w:r w:rsidR="009D614F">
        <w:rPr>
          <w:rFonts w:ascii="Arial" w:hAnsi="Arial" w:cs="Arial"/>
          <w:sz w:val="24"/>
          <w:szCs w:val="24"/>
        </w:rPr>
        <w:t xml:space="preserve"> o</w:t>
      </w:r>
      <w:r w:rsidR="0036521C">
        <w:rPr>
          <w:rFonts w:ascii="Arial" w:hAnsi="Arial" w:cs="Arial"/>
          <w:sz w:val="24"/>
          <w:szCs w:val="24"/>
        </w:rPr>
        <w:t>r</w:t>
      </w:r>
      <w:r w:rsidR="009D614F">
        <w:rPr>
          <w:rFonts w:ascii="Arial" w:hAnsi="Arial" w:cs="Arial"/>
          <w:sz w:val="24"/>
          <w:szCs w:val="24"/>
        </w:rPr>
        <w:t xml:space="preserve"> </w:t>
      </w:r>
      <w:r>
        <w:rPr>
          <w:rFonts w:ascii="Arial" w:hAnsi="Arial" w:cs="Arial"/>
          <w:sz w:val="24"/>
          <w:szCs w:val="24"/>
        </w:rPr>
        <w:t>person</w:t>
      </w:r>
      <w:r w:rsidR="009D614F">
        <w:rPr>
          <w:rFonts w:ascii="Arial" w:hAnsi="Arial" w:cs="Arial"/>
          <w:sz w:val="24"/>
          <w:szCs w:val="24"/>
        </w:rPr>
        <w:t>s</w:t>
      </w:r>
      <w:r>
        <w:rPr>
          <w:rFonts w:ascii="Arial" w:hAnsi="Arial" w:cs="Arial"/>
          <w:sz w:val="24"/>
          <w:szCs w:val="24"/>
        </w:rPr>
        <w:t xml:space="preserve"> with a cogniti</w:t>
      </w:r>
      <w:r w:rsidR="009D614F">
        <w:rPr>
          <w:rFonts w:ascii="Arial" w:hAnsi="Arial" w:cs="Arial"/>
          <w:sz w:val="24"/>
          <w:szCs w:val="24"/>
        </w:rPr>
        <w:t>ve</w:t>
      </w:r>
      <w:r>
        <w:rPr>
          <w:rFonts w:ascii="Arial" w:hAnsi="Arial" w:cs="Arial"/>
          <w:sz w:val="24"/>
          <w:szCs w:val="24"/>
        </w:rPr>
        <w:t xml:space="preserve"> </w:t>
      </w:r>
      <w:r w:rsidR="009D614F">
        <w:rPr>
          <w:rFonts w:ascii="Arial" w:hAnsi="Arial" w:cs="Arial"/>
          <w:sz w:val="24"/>
          <w:szCs w:val="24"/>
        </w:rPr>
        <w:t xml:space="preserve">disability. </w:t>
      </w:r>
    </w:p>
    <w:p w:rsidR="00D52C51" w:rsidRDefault="00D52C51" w:rsidP="003D75CE">
      <w:pPr>
        <w:rPr>
          <w:rFonts w:ascii="Arial" w:hAnsi="Arial" w:cs="Arial"/>
          <w:sz w:val="24"/>
          <w:szCs w:val="24"/>
        </w:rPr>
      </w:pPr>
    </w:p>
    <w:p w:rsidR="00D52C51" w:rsidRDefault="00D52C51" w:rsidP="003D75CE">
      <w:pPr>
        <w:rPr>
          <w:rFonts w:ascii="Arial" w:hAnsi="Arial" w:cs="Arial"/>
          <w:sz w:val="24"/>
          <w:szCs w:val="24"/>
        </w:rPr>
      </w:pPr>
      <w:r>
        <w:rPr>
          <w:rFonts w:ascii="Arial" w:hAnsi="Arial" w:cs="Arial"/>
          <w:sz w:val="24"/>
          <w:szCs w:val="24"/>
        </w:rPr>
        <w:t xml:space="preserve">The common law of sentencing in </w:t>
      </w:r>
      <w:r w:rsidR="009D614F">
        <w:rPr>
          <w:rFonts w:ascii="Arial" w:hAnsi="Arial" w:cs="Arial"/>
          <w:sz w:val="24"/>
          <w:szCs w:val="24"/>
        </w:rPr>
        <w:t xml:space="preserve">relation to theft already </w:t>
      </w:r>
      <w:r>
        <w:rPr>
          <w:rFonts w:ascii="Arial" w:hAnsi="Arial" w:cs="Arial"/>
          <w:sz w:val="24"/>
          <w:szCs w:val="24"/>
        </w:rPr>
        <w:t xml:space="preserve">regards the </w:t>
      </w:r>
      <w:r w:rsidR="009D614F">
        <w:rPr>
          <w:rFonts w:ascii="Arial" w:hAnsi="Arial" w:cs="Arial"/>
          <w:sz w:val="24"/>
          <w:szCs w:val="24"/>
        </w:rPr>
        <w:t>circumstance of a breach of trust as an aggravating factor</w:t>
      </w:r>
      <w:r w:rsidR="0036521C">
        <w:rPr>
          <w:rFonts w:ascii="Arial" w:hAnsi="Arial" w:cs="Arial"/>
          <w:sz w:val="24"/>
          <w:szCs w:val="24"/>
        </w:rPr>
        <w:t xml:space="preserve"> but is most commonly seem in cases of theft from employer.</w:t>
      </w:r>
      <w:r w:rsidR="009D614F">
        <w:rPr>
          <w:rFonts w:ascii="Arial" w:hAnsi="Arial" w:cs="Arial"/>
          <w:sz w:val="24"/>
          <w:szCs w:val="24"/>
        </w:rPr>
        <w:t xml:space="preserve"> </w:t>
      </w:r>
      <w:r>
        <w:rPr>
          <w:rFonts w:ascii="Arial" w:hAnsi="Arial" w:cs="Arial"/>
          <w:sz w:val="24"/>
          <w:szCs w:val="24"/>
        </w:rPr>
        <w:t xml:space="preserve"> </w:t>
      </w:r>
    </w:p>
    <w:p w:rsidR="00D52C51" w:rsidRDefault="00D52C51" w:rsidP="003D75CE">
      <w:pPr>
        <w:rPr>
          <w:rFonts w:ascii="Arial" w:hAnsi="Arial" w:cs="Arial"/>
          <w:sz w:val="24"/>
          <w:szCs w:val="24"/>
        </w:rPr>
      </w:pPr>
    </w:p>
    <w:p w:rsidR="003D75CE" w:rsidRPr="003D75CE" w:rsidRDefault="009A0933" w:rsidP="003D75CE">
      <w:pPr>
        <w:rPr>
          <w:rFonts w:ascii="Arial" w:hAnsi="Arial" w:cs="Arial"/>
          <w:sz w:val="24"/>
          <w:szCs w:val="24"/>
        </w:rPr>
      </w:pPr>
      <w:r>
        <w:rPr>
          <w:rFonts w:ascii="Arial" w:hAnsi="Arial" w:cs="Arial"/>
          <w:sz w:val="24"/>
          <w:szCs w:val="24"/>
        </w:rPr>
        <w:t>S</w:t>
      </w:r>
      <w:r w:rsidR="003D75CE" w:rsidRPr="003D75CE">
        <w:rPr>
          <w:rFonts w:ascii="Arial" w:hAnsi="Arial" w:cs="Arial"/>
          <w:sz w:val="24"/>
          <w:szCs w:val="24"/>
        </w:rPr>
        <w:t>urveillance devices</w:t>
      </w:r>
    </w:p>
    <w:p w:rsidR="003D75CE" w:rsidRDefault="003D75CE" w:rsidP="003D75CE">
      <w:pPr>
        <w:rPr>
          <w:rFonts w:ascii="Arial" w:hAnsi="Arial" w:cs="Arial"/>
          <w:sz w:val="24"/>
          <w:szCs w:val="24"/>
        </w:rPr>
      </w:pPr>
    </w:p>
    <w:p w:rsidR="003D75CE" w:rsidRPr="0099107D" w:rsidRDefault="003D75CE" w:rsidP="003D75CE">
      <w:pPr>
        <w:rPr>
          <w:rFonts w:ascii="Arial" w:hAnsi="Arial" w:cs="Arial"/>
          <w:sz w:val="24"/>
          <w:szCs w:val="24"/>
        </w:rPr>
      </w:pPr>
      <w:r>
        <w:rPr>
          <w:rFonts w:ascii="Arial" w:hAnsi="Arial" w:cs="Arial"/>
          <w:sz w:val="24"/>
          <w:szCs w:val="24"/>
        </w:rPr>
        <w:t xml:space="preserve">Legislators should consider permitting </w:t>
      </w:r>
      <w:r w:rsidRPr="0099107D">
        <w:rPr>
          <w:rFonts w:ascii="Arial" w:hAnsi="Arial" w:cs="Arial"/>
          <w:sz w:val="24"/>
          <w:szCs w:val="24"/>
        </w:rPr>
        <w:t xml:space="preserve">independent third-party evidence such as that obtained from surveillance devices. </w:t>
      </w:r>
    </w:p>
    <w:p w:rsidR="003D75CE" w:rsidRPr="0099107D" w:rsidRDefault="003D75CE" w:rsidP="003D75CE">
      <w:pPr>
        <w:rPr>
          <w:rFonts w:ascii="Arial" w:hAnsi="Arial" w:cs="Arial"/>
          <w:sz w:val="24"/>
          <w:szCs w:val="24"/>
        </w:rPr>
      </w:pPr>
    </w:p>
    <w:p w:rsidR="003D75CE" w:rsidRDefault="003D75CE" w:rsidP="003D75CE">
      <w:pPr>
        <w:rPr>
          <w:rFonts w:ascii="Arial" w:hAnsi="Arial" w:cs="Arial"/>
          <w:sz w:val="24"/>
          <w:szCs w:val="24"/>
        </w:rPr>
      </w:pPr>
      <w:r w:rsidRPr="0099107D">
        <w:rPr>
          <w:rFonts w:ascii="Arial" w:hAnsi="Arial" w:cs="Arial"/>
          <w:sz w:val="24"/>
          <w:szCs w:val="24"/>
        </w:rPr>
        <w:t xml:space="preserve">Some </w:t>
      </w:r>
      <w:r>
        <w:rPr>
          <w:rFonts w:ascii="Arial" w:hAnsi="Arial" w:cs="Arial"/>
          <w:sz w:val="24"/>
          <w:szCs w:val="24"/>
        </w:rPr>
        <w:t xml:space="preserve">recent </w:t>
      </w:r>
      <w:r w:rsidRPr="0099107D">
        <w:rPr>
          <w:rFonts w:ascii="Arial" w:hAnsi="Arial" w:cs="Arial"/>
          <w:sz w:val="24"/>
          <w:szCs w:val="24"/>
        </w:rPr>
        <w:t xml:space="preserve">high profile cases involving brave whistle-blowers </w:t>
      </w:r>
      <w:r>
        <w:rPr>
          <w:rFonts w:ascii="Arial" w:hAnsi="Arial" w:cs="Arial"/>
          <w:sz w:val="24"/>
          <w:szCs w:val="24"/>
        </w:rPr>
        <w:t>who have paid a heavy price for employing such devices.  I</w:t>
      </w:r>
      <w:r w:rsidRPr="0099107D">
        <w:rPr>
          <w:rFonts w:ascii="Arial" w:hAnsi="Arial" w:cs="Arial"/>
          <w:sz w:val="24"/>
          <w:szCs w:val="24"/>
        </w:rPr>
        <w:t xml:space="preserve">nstances have resulted in the whistle-blower being threatened with legal action </w:t>
      </w:r>
      <w:r>
        <w:rPr>
          <w:rFonts w:ascii="Arial" w:hAnsi="Arial" w:cs="Arial"/>
          <w:sz w:val="24"/>
          <w:szCs w:val="24"/>
        </w:rPr>
        <w:t xml:space="preserve">for breach of privacy </w:t>
      </w:r>
      <w:r w:rsidRPr="0099107D">
        <w:rPr>
          <w:rFonts w:ascii="Arial" w:hAnsi="Arial" w:cs="Arial"/>
          <w:sz w:val="24"/>
          <w:szCs w:val="24"/>
        </w:rPr>
        <w:t xml:space="preserve">or quietly dismissed from employment for breaching employment guidelines. </w:t>
      </w:r>
    </w:p>
    <w:p w:rsidR="00F725DA" w:rsidRDefault="00F725DA" w:rsidP="003D75CE">
      <w:pPr>
        <w:rPr>
          <w:rFonts w:ascii="Arial" w:hAnsi="Arial" w:cs="Arial"/>
          <w:sz w:val="24"/>
          <w:szCs w:val="24"/>
        </w:rPr>
      </w:pPr>
    </w:p>
    <w:p w:rsidR="003D75CE" w:rsidRDefault="003D75CE" w:rsidP="003D75CE">
      <w:pPr>
        <w:rPr>
          <w:rFonts w:ascii="Arial" w:hAnsi="Arial" w:cs="Arial"/>
          <w:sz w:val="24"/>
          <w:szCs w:val="24"/>
        </w:rPr>
      </w:pPr>
      <w:r w:rsidRPr="0099107D">
        <w:rPr>
          <w:rFonts w:ascii="Arial" w:hAnsi="Arial" w:cs="Arial"/>
          <w:sz w:val="24"/>
          <w:szCs w:val="24"/>
        </w:rPr>
        <w:lastRenderedPageBreak/>
        <w:t xml:space="preserve">Currently in Victoria the </w:t>
      </w:r>
      <w:r w:rsidRPr="0099107D">
        <w:rPr>
          <w:rFonts w:ascii="Arial" w:hAnsi="Arial" w:cs="Arial"/>
          <w:i/>
          <w:iCs/>
          <w:sz w:val="24"/>
          <w:szCs w:val="24"/>
        </w:rPr>
        <w:t>Surveillance</w:t>
      </w:r>
      <w:r>
        <w:rPr>
          <w:rFonts w:ascii="Arial" w:hAnsi="Arial" w:cs="Arial"/>
          <w:i/>
          <w:iCs/>
          <w:sz w:val="24"/>
          <w:szCs w:val="24"/>
        </w:rPr>
        <w:t xml:space="preserve"> Devices </w:t>
      </w:r>
      <w:r w:rsidRPr="0099107D">
        <w:rPr>
          <w:rFonts w:ascii="Arial" w:hAnsi="Arial" w:cs="Arial"/>
          <w:i/>
          <w:iCs/>
          <w:sz w:val="24"/>
          <w:szCs w:val="24"/>
        </w:rPr>
        <w:t>Act</w:t>
      </w:r>
      <w:r w:rsidRPr="0099107D">
        <w:rPr>
          <w:rFonts w:ascii="Arial" w:hAnsi="Arial" w:cs="Arial"/>
          <w:sz w:val="24"/>
          <w:szCs w:val="24"/>
        </w:rPr>
        <w:t xml:space="preserve"> </w:t>
      </w:r>
      <w:r>
        <w:rPr>
          <w:rFonts w:ascii="Arial" w:hAnsi="Arial" w:cs="Arial"/>
          <w:sz w:val="24"/>
          <w:szCs w:val="24"/>
        </w:rPr>
        <w:t>outlines the circumstances where persons who are authorised by warrant may employ them</w:t>
      </w:r>
      <w:r w:rsidR="00E80B0C">
        <w:rPr>
          <w:rStyle w:val="FootnoteReference"/>
          <w:rFonts w:ascii="Arial" w:hAnsi="Arial" w:cs="Arial"/>
          <w:sz w:val="24"/>
          <w:szCs w:val="24"/>
        </w:rPr>
        <w:footnoteReference w:id="38"/>
      </w:r>
      <w:r>
        <w:rPr>
          <w:rFonts w:ascii="Arial" w:hAnsi="Arial" w:cs="Arial"/>
          <w:sz w:val="24"/>
          <w:szCs w:val="24"/>
        </w:rPr>
        <w:t xml:space="preserve"> but </w:t>
      </w:r>
      <w:r w:rsidRPr="0099107D">
        <w:rPr>
          <w:rFonts w:ascii="Arial" w:hAnsi="Arial" w:cs="Arial"/>
          <w:sz w:val="24"/>
          <w:szCs w:val="24"/>
        </w:rPr>
        <w:t>does not provide any exemption for a person operating a device in their own home</w:t>
      </w:r>
      <w:r>
        <w:rPr>
          <w:rFonts w:ascii="Arial" w:hAnsi="Arial" w:cs="Arial"/>
          <w:sz w:val="24"/>
          <w:szCs w:val="24"/>
        </w:rPr>
        <w:t xml:space="preserve">, or for the purpose of gathering evidence to support a report to police or a civil claim for negligence. This legislation lags the technological development and the now widespread use of dashboard cameras said to be relied upon as evidence in the event of a motor vehicle collision.  </w:t>
      </w:r>
    </w:p>
    <w:p w:rsidR="003D75CE" w:rsidRPr="0099107D" w:rsidRDefault="003D75CE" w:rsidP="003D75CE">
      <w:pPr>
        <w:rPr>
          <w:rFonts w:ascii="Arial" w:hAnsi="Arial" w:cs="Arial"/>
          <w:sz w:val="24"/>
          <w:szCs w:val="24"/>
        </w:rPr>
      </w:pPr>
    </w:p>
    <w:p w:rsidR="003D75CE" w:rsidRDefault="003D75CE" w:rsidP="003D75CE">
      <w:pPr>
        <w:rPr>
          <w:rFonts w:ascii="Arial" w:hAnsi="Arial" w:cs="Arial"/>
          <w:sz w:val="24"/>
          <w:szCs w:val="24"/>
        </w:rPr>
      </w:pPr>
      <w:r>
        <w:rPr>
          <w:rFonts w:ascii="Arial" w:hAnsi="Arial" w:cs="Arial"/>
          <w:sz w:val="24"/>
          <w:szCs w:val="24"/>
        </w:rPr>
        <w:t xml:space="preserve">The current Act could be amended to permit the use of devices.  </w:t>
      </w:r>
      <w:r w:rsidRPr="0099107D">
        <w:rPr>
          <w:rFonts w:ascii="Arial" w:hAnsi="Arial" w:cs="Arial"/>
          <w:sz w:val="24"/>
          <w:szCs w:val="24"/>
        </w:rPr>
        <w:t xml:space="preserve">That is to say the </w:t>
      </w:r>
      <w:r>
        <w:rPr>
          <w:rFonts w:ascii="Arial" w:hAnsi="Arial" w:cs="Arial"/>
          <w:sz w:val="24"/>
          <w:szCs w:val="24"/>
        </w:rPr>
        <w:t xml:space="preserve">permission for use of devices </w:t>
      </w:r>
      <w:r w:rsidRPr="0099107D">
        <w:rPr>
          <w:rFonts w:ascii="Arial" w:hAnsi="Arial" w:cs="Arial"/>
          <w:sz w:val="24"/>
          <w:szCs w:val="24"/>
        </w:rPr>
        <w:t>should not be restricted to those who are professional investigators</w:t>
      </w:r>
      <w:r>
        <w:rPr>
          <w:rFonts w:ascii="Arial" w:hAnsi="Arial" w:cs="Arial"/>
          <w:sz w:val="24"/>
          <w:szCs w:val="24"/>
        </w:rPr>
        <w:t xml:space="preserve">, and a defence or exception could be included that referred to obtaining </w:t>
      </w:r>
      <w:r w:rsidRPr="0099107D">
        <w:rPr>
          <w:rFonts w:ascii="Arial" w:hAnsi="Arial" w:cs="Arial"/>
          <w:sz w:val="24"/>
          <w:szCs w:val="24"/>
        </w:rPr>
        <w:t xml:space="preserve"> evidence to support a  complaint</w:t>
      </w:r>
      <w:r>
        <w:rPr>
          <w:rFonts w:ascii="Arial" w:hAnsi="Arial" w:cs="Arial"/>
          <w:sz w:val="24"/>
          <w:szCs w:val="24"/>
        </w:rPr>
        <w:t xml:space="preserve"> in the future </w:t>
      </w:r>
      <w:r w:rsidRPr="0099107D">
        <w:rPr>
          <w:rFonts w:ascii="Arial" w:hAnsi="Arial" w:cs="Arial"/>
          <w:sz w:val="24"/>
          <w:szCs w:val="24"/>
        </w:rPr>
        <w:t xml:space="preserve"> and not just a matter currently </w:t>
      </w:r>
      <w:r>
        <w:rPr>
          <w:rFonts w:ascii="Arial" w:hAnsi="Arial" w:cs="Arial"/>
          <w:sz w:val="24"/>
          <w:szCs w:val="24"/>
        </w:rPr>
        <w:t>being investigated by authorities</w:t>
      </w:r>
      <w:r w:rsidRPr="0099107D">
        <w:rPr>
          <w:rFonts w:ascii="Arial" w:hAnsi="Arial" w:cs="Arial"/>
          <w:sz w:val="24"/>
          <w:szCs w:val="24"/>
        </w:rPr>
        <w:t xml:space="preserve">. </w:t>
      </w:r>
    </w:p>
    <w:p w:rsidR="003D75CE" w:rsidRDefault="003D75CE" w:rsidP="003D75CE">
      <w:pPr>
        <w:rPr>
          <w:rFonts w:ascii="Arial" w:hAnsi="Arial" w:cs="Arial"/>
          <w:sz w:val="24"/>
          <w:szCs w:val="24"/>
        </w:rPr>
      </w:pPr>
    </w:p>
    <w:p w:rsidR="0036521C" w:rsidRDefault="0036521C" w:rsidP="0036521C">
      <w:pPr>
        <w:rPr>
          <w:rFonts w:ascii="Arial" w:hAnsi="Arial" w:cs="Arial"/>
          <w:sz w:val="24"/>
          <w:szCs w:val="24"/>
        </w:rPr>
      </w:pPr>
      <w:r w:rsidRPr="0099107D">
        <w:rPr>
          <w:rFonts w:ascii="Arial" w:hAnsi="Arial" w:cs="Arial"/>
          <w:sz w:val="24"/>
          <w:szCs w:val="24"/>
        </w:rPr>
        <w:t xml:space="preserve">The introduction of surveillance device </w:t>
      </w:r>
      <w:proofErr w:type="gramStart"/>
      <w:r w:rsidRPr="0099107D">
        <w:rPr>
          <w:rFonts w:ascii="Arial" w:hAnsi="Arial" w:cs="Arial"/>
          <w:sz w:val="24"/>
          <w:szCs w:val="24"/>
        </w:rPr>
        <w:t xml:space="preserve">recordings </w:t>
      </w:r>
      <w:r>
        <w:rPr>
          <w:rFonts w:ascii="Arial" w:hAnsi="Arial" w:cs="Arial"/>
          <w:sz w:val="24"/>
          <w:szCs w:val="24"/>
        </w:rPr>
        <w:t xml:space="preserve"> </w:t>
      </w:r>
      <w:r w:rsidRPr="0099107D">
        <w:rPr>
          <w:rFonts w:ascii="Arial" w:hAnsi="Arial" w:cs="Arial"/>
          <w:sz w:val="24"/>
          <w:szCs w:val="24"/>
        </w:rPr>
        <w:t>in</w:t>
      </w:r>
      <w:proofErr w:type="gramEnd"/>
      <w:r w:rsidRPr="0099107D">
        <w:rPr>
          <w:rFonts w:ascii="Arial" w:hAnsi="Arial" w:cs="Arial"/>
          <w:sz w:val="24"/>
          <w:szCs w:val="24"/>
        </w:rPr>
        <w:t xml:space="preserve"> residential care would be fiercely resisted in the industry. Predictably the resistance would be based on the </w:t>
      </w:r>
      <w:r>
        <w:rPr>
          <w:rFonts w:ascii="Arial" w:hAnsi="Arial" w:cs="Arial"/>
          <w:sz w:val="24"/>
          <w:szCs w:val="24"/>
        </w:rPr>
        <w:t xml:space="preserve">claim that it would be a breach of privacy of </w:t>
      </w:r>
      <w:r w:rsidRPr="0099107D">
        <w:rPr>
          <w:rFonts w:ascii="Arial" w:hAnsi="Arial" w:cs="Arial"/>
          <w:sz w:val="24"/>
          <w:szCs w:val="24"/>
        </w:rPr>
        <w:t xml:space="preserve">staff </w:t>
      </w:r>
      <w:r>
        <w:rPr>
          <w:rFonts w:ascii="Arial" w:hAnsi="Arial" w:cs="Arial"/>
          <w:sz w:val="24"/>
          <w:szCs w:val="24"/>
        </w:rPr>
        <w:t xml:space="preserve">and residents, </w:t>
      </w:r>
      <w:r w:rsidRPr="0099107D">
        <w:rPr>
          <w:rFonts w:ascii="Arial" w:hAnsi="Arial" w:cs="Arial"/>
          <w:sz w:val="24"/>
          <w:szCs w:val="24"/>
        </w:rPr>
        <w:t xml:space="preserve">but in my submission </w:t>
      </w:r>
      <w:r>
        <w:rPr>
          <w:rFonts w:ascii="Arial" w:hAnsi="Arial" w:cs="Arial"/>
          <w:sz w:val="24"/>
          <w:szCs w:val="24"/>
        </w:rPr>
        <w:t xml:space="preserve">such claims should be met with the defence that </w:t>
      </w:r>
      <w:r w:rsidRPr="0099107D">
        <w:rPr>
          <w:rFonts w:ascii="Arial" w:hAnsi="Arial" w:cs="Arial"/>
          <w:sz w:val="24"/>
          <w:szCs w:val="24"/>
        </w:rPr>
        <w:t>residential care is intended to be the resident</w:t>
      </w:r>
      <w:r>
        <w:rPr>
          <w:rFonts w:ascii="Arial" w:hAnsi="Arial" w:cs="Arial"/>
          <w:sz w:val="24"/>
          <w:szCs w:val="24"/>
        </w:rPr>
        <w:t>’</w:t>
      </w:r>
      <w:r w:rsidRPr="0099107D">
        <w:rPr>
          <w:rFonts w:ascii="Arial" w:hAnsi="Arial" w:cs="Arial"/>
          <w:sz w:val="24"/>
          <w:szCs w:val="24"/>
        </w:rPr>
        <w:t xml:space="preserve">s home </w:t>
      </w:r>
      <w:r>
        <w:rPr>
          <w:rFonts w:ascii="Arial" w:hAnsi="Arial" w:cs="Arial"/>
          <w:sz w:val="24"/>
          <w:szCs w:val="24"/>
        </w:rPr>
        <w:t>and should be justifiable if it is f</w:t>
      </w:r>
      <w:r w:rsidRPr="0099107D">
        <w:rPr>
          <w:rFonts w:ascii="Arial" w:hAnsi="Arial" w:cs="Arial"/>
          <w:sz w:val="24"/>
          <w:szCs w:val="24"/>
        </w:rPr>
        <w:t>or the purpose of gathering evidence for presenting a brief to the police</w:t>
      </w:r>
      <w:r>
        <w:rPr>
          <w:rFonts w:ascii="Arial" w:hAnsi="Arial" w:cs="Arial"/>
          <w:sz w:val="24"/>
          <w:szCs w:val="24"/>
        </w:rPr>
        <w:t xml:space="preserve"> or preparing for a civil claim</w:t>
      </w:r>
      <w:r w:rsidRPr="0099107D">
        <w:rPr>
          <w:rFonts w:ascii="Arial" w:hAnsi="Arial" w:cs="Arial"/>
          <w:sz w:val="24"/>
          <w:szCs w:val="24"/>
        </w:rPr>
        <w:t xml:space="preserve">. </w:t>
      </w:r>
    </w:p>
    <w:p w:rsidR="003D75CE" w:rsidRPr="0099107D" w:rsidRDefault="003D75CE" w:rsidP="003D75CE">
      <w:pPr>
        <w:rPr>
          <w:rFonts w:ascii="Arial" w:hAnsi="Arial" w:cs="Arial"/>
          <w:sz w:val="24"/>
          <w:szCs w:val="24"/>
        </w:rPr>
      </w:pPr>
      <w:r>
        <w:rPr>
          <w:rFonts w:ascii="Arial" w:hAnsi="Arial" w:cs="Arial"/>
          <w:sz w:val="24"/>
          <w:szCs w:val="24"/>
        </w:rPr>
        <w:t>W</w:t>
      </w:r>
      <w:r w:rsidRPr="0099107D">
        <w:rPr>
          <w:rFonts w:ascii="Arial" w:hAnsi="Arial" w:cs="Arial"/>
          <w:sz w:val="24"/>
          <w:szCs w:val="24"/>
        </w:rPr>
        <w:t xml:space="preserve">histle-blower protection and immunity should be offered to staff </w:t>
      </w:r>
      <w:proofErr w:type="gramStart"/>
      <w:r w:rsidRPr="0099107D">
        <w:rPr>
          <w:rFonts w:ascii="Arial" w:hAnsi="Arial" w:cs="Arial"/>
          <w:sz w:val="24"/>
          <w:szCs w:val="24"/>
        </w:rPr>
        <w:t>who</w:t>
      </w:r>
      <w:proofErr w:type="gramEnd"/>
      <w:r w:rsidRPr="0099107D">
        <w:rPr>
          <w:rFonts w:ascii="Arial" w:hAnsi="Arial" w:cs="Arial"/>
          <w:sz w:val="24"/>
          <w:szCs w:val="24"/>
        </w:rPr>
        <w:t xml:space="preserve"> use surveillance devices </w:t>
      </w:r>
      <w:r>
        <w:rPr>
          <w:rFonts w:ascii="Arial" w:hAnsi="Arial" w:cs="Arial"/>
          <w:sz w:val="24"/>
          <w:szCs w:val="24"/>
        </w:rPr>
        <w:t xml:space="preserve">for the purposes of obtaining evidence of elder abuse </w:t>
      </w:r>
      <w:r w:rsidRPr="0099107D">
        <w:rPr>
          <w:rFonts w:ascii="Arial" w:hAnsi="Arial" w:cs="Arial"/>
          <w:sz w:val="24"/>
          <w:szCs w:val="24"/>
        </w:rPr>
        <w:t xml:space="preserve">and </w:t>
      </w:r>
      <w:r>
        <w:rPr>
          <w:rFonts w:ascii="Arial" w:hAnsi="Arial" w:cs="Arial"/>
          <w:sz w:val="24"/>
          <w:szCs w:val="24"/>
        </w:rPr>
        <w:t>workplace protection</w:t>
      </w:r>
      <w:r w:rsidRPr="0099107D">
        <w:rPr>
          <w:rFonts w:ascii="Arial" w:hAnsi="Arial" w:cs="Arial"/>
          <w:sz w:val="24"/>
          <w:szCs w:val="24"/>
        </w:rPr>
        <w:t xml:space="preserve"> should be </w:t>
      </w:r>
      <w:r>
        <w:rPr>
          <w:rFonts w:ascii="Arial" w:hAnsi="Arial" w:cs="Arial"/>
          <w:sz w:val="24"/>
          <w:szCs w:val="24"/>
        </w:rPr>
        <w:t xml:space="preserve">afforded them </w:t>
      </w:r>
      <w:r w:rsidRPr="0099107D">
        <w:rPr>
          <w:rFonts w:ascii="Arial" w:hAnsi="Arial" w:cs="Arial"/>
          <w:sz w:val="24"/>
          <w:szCs w:val="24"/>
        </w:rPr>
        <w:t>against unlawful termination</w:t>
      </w:r>
      <w:r>
        <w:rPr>
          <w:rFonts w:ascii="Arial" w:hAnsi="Arial" w:cs="Arial"/>
          <w:sz w:val="24"/>
          <w:szCs w:val="24"/>
        </w:rPr>
        <w:t xml:space="preserve"> as a result. </w:t>
      </w:r>
      <w:r w:rsidRPr="0099107D">
        <w:rPr>
          <w:rFonts w:ascii="Arial" w:hAnsi="Arial" w:cs="Arial"/>
          <w:sz w:val="24"/>
          <w:szCs w:val="24"/>
        </w:rPr>
        <w:t xml:space="preserve"> </w:t>
      </w:r>
    </w:p>
    <w:p w:rsidR="00823382" w:rsidRPr="0099107D" w:rsidRDefault="00823382" w:rsidP="00823382">
      <w:pPr>
        <w:rPr>
          <w:rFonts w:ascii="Arial" w:hAnsi="Arial" w:cs="Arial"/>
          <w:sz w:val="24"/>
          <w:szCs w:val="24"/>
        </w:rPr>
      </w:pPr>
    </w:p>
    <w:p w:rsidR="00D52C51" w:rsidRDefault="00D52C51" w:rsidP="00823382">
      <w:pPr>
        <w:rPr>
          <w:rFonts w:ascii="Arial" w:hAnsi="Arial" w:cs="Arial"/>
          <w:b/>
          <w:sz w:val="24"/>
          <w:szCs w:val="24"/>
        </w:rPr>
      </w:pPr>
      <w:r>
        <w:rPr>
          <w:rFonts w:ascii="Arial" w:hAnsi="Arial" w:cs="Arial"/>
          <w:b/>
          <w:sz w:val="24"/>
          <w:szCs w:val="24"/>
        </w:rPr>
        <w:t>Family violence approach</w:t>
      </w:r>
    </w:p>
    <w:p w:rsidR="00ED5B21" w:rsidRDefault="00ED5B21" w:rsidP="00823382">
      <w:pPr>
        <w:rPr>
          <w:rFonts w:ascii="Arial" w:hAnsi="Arial" w:cs="Arial"/>
          <w:b/>
          <w:sz w:val="24"/>
          <w:szCs w:val="24"/>
        </w:rPr>
      </w:pPr>
    </w:p>
    <w:p w:rsidR="002719E8" w:rsidRDefault="002719E8" w:rsidP="002719E8">
      <w:pPr>
        <w:rPr>
          <w:rFonts w:ascii="Arial" w:hAnsi="Arial" w:cs="Arial"/>
          <w:sz w:val="24"/>
          <w:szCs w:val="24"/>
        </w:rPr>
      </w:pPr>
      <w:r>
        <w:rPr>
          <w:rFonts w:ascii="Arial" w:hAnsi="Arial" w:cs="Arial"/>
          <w:sz w:val="24"/>
          <w:szCs w:val="24"/>
        </w:rPr>
        <w:t xml:space="preserve">The writer made a submission to the Victorian </w:t>
      </w:r>
      <w:r w:rsidRPr="0099107D">
        <w:rPr>
          <w:rFonts w:ascii="Arial" w:hAnsi="Arial" w:cs="Arial"/>
          <w:sz w:val="24"/>
          <w:szCs w:val="24"/>
        </w:rPr>
        <w:t>Royal Commission into Family Violence</w:t>
      </w:r>
      <w:r>
        <w:rPr>
          <w:rFonts w:ascii="Arial" w:hAnsi="Arial" w:cs="Arial"/>
          <w:sz w:val="24"/>
          <w:szCs w:val="24"/>
        </w:rPr>
        <w:t xml:space="preserve"> In Victoria in 2015</w:t>
      </w:r>
      <w:r w:rsidRPr="0099107D">
        <w:rPr>
          <w:rFonts w:ascii="Arial" w:hAnsi="Arial" w:cs="Arial"/>
          <w:sz w:val="24"/>
          <w:szCs w:val="24"/>
        </w:rPr>
        <w:t xml:space="preserve"> that </w:t>
      </w:r>
      <w:r>
        <w:rPr>
          <w:rFonts w:ascii="Arial" w:hAnsi="Arial" w:cs="Arial"/>
          <w:sz w:val="24"/>
          <w:szCs w:val="24"/>
        </w:rPr>
        <w:t xml:space="preserve">as </w:t>
      </w:r>
      <w:r w:rsidRPr="0099107D">
        <w:rPr>
          <w:rFonts w:ascii="Arial" w:hAnsi="Arial" w:cs="Arial"/>
          <w:sz w:val="24"/>
          <w:szCs w:val="24"/>
        </w:rPr>
        <w:t xml:space="preserve">neglect </w:t>
      </w:r>
      <w:r>
        <w:rPr>
          <w:rFonts w:ascii="Arial" w:hAnsi="Arial" w:cs="Arial"/>
          <w:sz w:val="24"/>
          <w:szCs w:val="24"/>
        </w:rPr>
        <w:t xml:space="preserve">was not </w:t>
      </w:r>
      <w:proofErr w:type="gramStart"/>
      <w:r>
        <w:rPr>
          <w:rFonts w:ascii="Arial" w:hAnsi="Arial" w:cs="Arial"/>
          <w:sz w:val="24"/>
          <w:szCs w:val="24"/>
        </w:rPr>
        <w:t>currently  part</w:t>
      </w:r>
      <w:proofErr w:type="gramEnd"/>
      <w:r>
        <w:rPr>
          <w:rFonts w:ascii="Arial" w:hAnsi="Arial" w:cs="Arial"/>
          <w:sz w:val="24"/>
          <w:szCs w:val="24"/>
        </w:rPr>
        <w:t xml:space="preserve"> of the definition of “family violence” and </w:t>
      </w:r>
      <w:r w:rsidRPr="0099107D">
        <w:rPr>
          <w:rFonts w:ascii="Arial" w:hAnsi="Arial" w:cs="Arial"/>
          <w:sz w:val="24"/>
          <w:szCs w:val="24"/>
        </w:rPr>
        <w:t xml:space="preserve">unless </w:t>
      </w:r>
      <w:r>
        <w:rPr>
          <w:rFonts w:ascii="Arial" w:hAnsi="Arial" w:cs="Arial"/>
          <w:sz w:val="24"/>
          <w:szCs w:val="24"/>
        </w:rPr>
        <w:t xml:space="preserve">alleged </w:t>
      </w:r>
      <w:r w:rsidRPr="0099107D">
        <w:rPr>
          <w:rFonts w:ascii="Arial" w:hAnsi="Arial" w:cs="Arial"/>
          <w:sz w:val="24"/>
          <w:szCs w:val="24"/>
        </w:rPr>
        <w:t xml:space="preserve">neglect </w:t>
      </w:r>
      <w:r>
        <w:rPr>
          <w:rFonts w:ascii="Arial" w:hAnsi="Arial" w:cs="Arial"/>
          <w:sz w:val="24"/>
          <w:szCs w:val="24"/>
        </w:rPr>
        <w:t xml:space="preserve">could </w:t>
      </w:r>
      <w:r w:rsidRPr="0099107D">
        <w:rPr>
          <w:rFonts w:ascii="Arial" w:hAnsi="Arial" w:cs="Arial"/>
          <w:sz w:val="24"/>
          <w:szCs w:val="24"/>
        </w:rPr>
        <w:t>be linked</w:t>
      </w:r>
      <w:r>
        <w:rPr>
          <w:rFonts w:ascii="Arial" w:hAnsi="Arial" w:cs="Arial"/>
          <w:sz w:val="24"/>
          <w:szCs w:val="24"/>
        </w:rPr>
        <w:t xml:space="preserve"> in some way to financial abuse it could not alone form a ground for </w:t>
      </w:r>
      <w:r w:rsidRPr="0099107D">
        <w:rPr>
          <w:rFonts w:ascii="Arial" w:hAnsi="Arial" w:cs="Arial"/>
          <w:sz w:val="24"/>
          <w:szCs w:val="24"/>
        </w:rPr>
        <w:t xml:space="preserve"> obtaining an intervention </w:t>
      </w:r>
      <w:r>
        <w:rPr>
          <w:rFonts w:ascii="Arial" w:hAnsi="Arial" w:cs="Arial"/>
          <w:sz w:val="24"/>
          <w:szCs w:val="24"/>
        </w:rPr>
        <w:t>order. The Act currently states:</w:t>
      </w:r>
    </w:p>
    <w:p w:rsidR="002719E8" w:rsidRDefault="002719E8" w:rsidP="00823382">
      <w:pPr>
        <w:rPr>
          <w:rFonts w:ascii="Arial" w:hAnsi="Arial" w:cs="Arial"/>
          <w:b/>
          <w:sz w:val="24"/>
          <w:szCs w:val="24"/>
        </w:rPr>
      </w:pPr>
    </w:p>
    <w:p w:rsidR="002719E8" w:rsidRPr="002719E8" w:rsidRDefault="002719E8" w:rsidP="002719E8">
      <w:pPr>
        <w:spacing w:before="100" w:beforeAutospacing="1" w:after="100" w:afterAutospacing="1"/>
        <w:outlineLvl w:val="2"/>
        <w:rPr>
          <w:rFonts w:ascii="Arial" w:eastAsia="Times New Roman" w:hAnsi="Arial" w:cs="Arial"/>
          <w:sz w:val="16"/>
          <w:szCs w:val="16"/>
          <w:lang w:eastAsia="en-AU"/>
        </w:rPr>
      </w:pPr>
      <w:r>
        <w:rPr>
          <w:rFonts w:ascii="Arial" w:eastAsia="Times New Roman" w:hAnsi="Arial" w:cs="Arial"/>
          <w:b/>
          <w:bCs/>
          <w:color w:val="000000"/>
          <w:sz w:val="16"/>
          <w:szCs w:val="16"/>
          <w:lang w:eastAsia="en-AU"/>
        </w:rPr>
        <w:t xml:space="preserve">     </w:t>
      </w:r>
      <w:r>
        <w:rPr>
          <w:rFonts w:ascii="Arial" w:eastAsia="Times New Roman" w:hAnsi="Arial" w:cs="Arial"/>
          <w:b/>
          <w:bCs/>
          <w:color w:val="000000"/>
          <w:sz w:val="16"/>
          <w:szCs w:val="16"/>
          <w:lang w:eastAsia="en-AU"/>
        </w:rPr>
        <w:tab/>
        <w:t xml:space="preserve">  </w:t>
      </w:r>
      <w:r w:rsidRPr="002719E8">
        <w:rPr>
          <w:rFonts w:ascii="Arial" w:eastAsia="Times New Roman" w:hAnsi="Arial" w:cs="Arial"/>
          <w:b/>
          <w:bCs/>
          <w:color w:val="000000"/>
          <w:sz w:val="16"/>
          <w:szCs w:val="16"/>
          <w:lang w:eastAsia="en-AU"/>
        </w:rPr>
        <w:t xml:space="preserve">FAMILY VIOLENCE PROTECTION ACT 2008 - SECT </w:t>
      </w:r>
      <w:proofErr w:type="gramStart"/>
      <w:r w:rsidRPr="002719E8">
        <w:rPr>
          <w:rFonts w:ascii="Arial" w:eastAsia="Times New Roman" w:hAnsi="Arial" w:cs="Arial"/>
          <w:b/>
          <w:bCs/>
          <w:color w:val="000000"/>
          <w:sz w:val="16"/>
          <w:szCs w:val="16"/>
          <w:lang w:eastAsia="en-AU"/>
        </w:rPr>
        <w:t>5</w:t>
      </w:r>
      <w:r>
        <w:rPr>
          <w:rFonts w:ascii="Arial" w:eastAsia="Times New Roman" w:hAnsi="Arial" w:cs="Arial"/>
          <w:b/>
          <w:bCs/>
          <w:color w:val="000000"/>
          <w:sz w:val="16"/>
          <w:szCs w:val="16"/>
          <w:lang w:eastAsia="en-AU"/>
        </w:rPr>
        <w:t xml:space="preserve">  </w:t>
      </w:r>
      <w:r w:rsidRPr="002719E8">
        <w:rPr>
          <w:rFonts w:ascii="Arial" w:eastAsia="Times New Roman" w:hAnsi="Arial" w:cs="Arial"/>
          <w:b/>
          <w:bCs/>
          <w:color w:val="000000"/>
          <w:sz w:val="16"/>
          <w:szCs w:val="16"/>
          <w:lang w:eastAsia="en-AU"/>
        </w:rPr>
        <w:t>Meaning</w:t>
      </w:r>
      <w:proofErr w:type="gramEnd"/>
      <w:r w:rsidRPr="002719E8">
        <w:rPr>
          <w:rFonts w:ascii="Arial" w:eastAsia="Times New Roman" w:hAnsi="Arial" w:cs="Arial"/>
          <w:b/>
          <w:bCs/>
          <w:color w:val="000000"/>
          <w:sz w:val="16"/>
          <w:szCs w:val="16"/>
          <w:lang w:eastAsia="en-AU"/>
        </w:rPr>
        <w:t xml:space="preserve"> of family violence</w:t>
      </w:r>
    </w:p>
    <w:p w:rsidR="002719E8" w:rsidRPr="002719E8" w:rsidRDefault="002719E8" w:rsidP="002719E8">
      <w:pPr>
        <w:spacing w:before="100" w:beforeAutospacing="1" w:after="100" w:afterAutospacing="1"/>
        <w:rPr>
          <w:rFonts w:ascii="Arial" w:eastAsia="Times New Roman" w:hAnsi="Arial" w:cs="Arial"/>
          <w:color w:val="000000"/>
          <w:sz w:val="16"/>
          <w:szCs w:val="16"/>
          <w:lang w:eastAsia="en-AU"/>
        </w:rPr>
      </w:pPr>
      <w:r w:rsidRPr="002719E8">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ab/>
      </w:r>
      <w:r w:rsidRPr="002719E8">
        <w:rPr>
          <w:rFonts w:ascii="Arial" w:eastAsia="Times New Roman" w:hAnsi="Arial" w:cs="Arial"/>
          <w:color w:val="000000"/>
          <w:sz w:val="16"/>
          <w:szCs w:val="16"/>
          <w:lang w:eastAsia="en-AU"/>
        </w:rPr>
        <w:t xml:space="preserve"> (1)     For the purposes of this Act, </w:t>
      </w:r>
      <w:r w:rsidRPr="002719E8">
        <w:rPr>
          <w:rFonts w:ascii="Arial" w:eastAsia="Times New Roman" w:hAnsi="Arial" w:cs="Arial"/>
          <w:b/>
          <w:bCs/>
          <w:i/>
          <w:iCs/>
          <w:color w:val="000000"/>
          <w:sz w:val="16"/>
          <w:szCs w:val="16"/>
          <w:lang w:eastAsia="en-AU"/>
        </w:rPr>
        <w:t>family violence </w:t>
      </w:r>
      <w:r w:rsidRPr="002719E8">
        <w:rPr>
          <w:rFonts w:ascii="Arial" w:eastAsia="Times New Roman" w:hAnsi="Arial" w:cs="Arial"/>
          <w:color w:val="000000"/>
          <w:sz w:val="16"/>
          <w:szCs w:val="16"/>
          <w:lang w:eastAsia="en-AU"/>
        </w:rPr>
        <w:t>is—</w:t>
      </w:r>
    </w:p>
    <w:p w:rsidR="002719E8" w:rsidRPr="002719E8" w:rsidRDefault="002719E8" w:rsidP="002719E8">
      <w:pPr>
        <w:spacing w:before="100" w:beforeAutospacing="1" w:after="100" w:afterAutospacing="1"/>
        <w:rPr>
          <w:rFonts w:ascii="Arial" w:eastAsia="Times New Roman" w:hAnsi="Arial" w:cs="Arial"/>
          <w:color w:val="000000"/>
          <w:sz w:val="16"/>
          <w:szCs w:val="16"/>
          <w:lang w:eastAsia="en-AU"/>
        </w:rPr>
      </w:pPr>
      <w:r w:rsidRPr="002719E8">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ab/>
      </w:r>
      <w:r w:rsidRPr="002719E8">
        <w:rPr>
          <w:rFonts w:ascii="Arial" w:eastAsia="Times New Roman" w:hAnsi="Arial" w:cs="Arial"/>
          <w:color w:val="000000"/>
          <w:sz w:val="16"/>
          <w:szCs w:val="16"/>
          <w:lang w:eastAsia="en-AU"/>
        </w:rPr>
        <w:t xml:space="preserve">  (a)     </w:t>
      </w:r>
      <w:proofErr w:type="gramStart"/>
      <w:r w:rsidRPr="002719E8">
        <w:rPr>
          <w:rFonts w:ascii="Arial" w:eastAsia="Times New Roman" w:hAnsi="Arial" w:cs="Arial"/>
          <w:color w:val="000000"/>
          <w:sz w:val="16"/>
          <w:szCs w:val="16"/>
          <w:lang w:eastAsia="en-AU"/>
        </w:rPr>
        <w:t>behaviour</w:t>
      </w:r>
      <w:proofErr w:type="gramEnd"/>
      <w:r w:rsidRPr="002719E8">
        <w:rPr>
          <w:rFonts w:ascii="Arial" w:eastAsia="Times New Roman" w:hAnsi="Arial" w:cs="Arial"/>
          <w:color w:val="000000"/>
          <w:sz w:val="16"/>
          <w:szCs w:val="16"/>
          <w:lang w:eastAsia="en-AU"/>
        </w:rPr>
        <w:t xml:space="preserve"> by a person towards a family member of that person if that behaviour—</w:t>
      </w:r>
    </w:p>
    <w:p w:rsidR="002719E8" w:rsidRPr="002719E8" w:rsidRDefault="002719E8" w:rsidP="002719E8">
      <w:pPr>
        <w:spacing w:before="100" w:beforeAutospacing="1" w:after="100" w:afterAutospacing="1"/>
        <w:rPr>
          <w:rFonts w:ascii="Arial" w:eastAsia="Times New Roman" w:hAnsi="Arial" w:cs="Arial"/>
          <w:color w:val="000000"/>
          <w:sz w:val="16"/>
          <w:szCs w:val="16"/>
          <w:lang w:eastAsia="en-AU"/>
        </w:rPr>
      </w:pPr>
      <w:r w:rsidRPr="002719E8">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ab/>
      </w:r>
      <w:r>
        <w:rPr>
          <w:rFonts w:ascii="Arial" w:eastAsia="Times New Roman" w:hAnsi="Arial" w:cs="Arial"/>
          <w:color w:val="000000"/>
          <w:sz w:val="16"/>
          <w:szCs w:val="16"/>
          <w:lang w:eastAsia="en-AU"/>
        </w:rPr>
        <w:tab/>
      </w:r>
      <w:r w:rsidRPr="002719E8">
        <w:rPr>
          <w:rFonts w:ascii="Arial" w:eastAsia="Times New Roman" w:hAnsi="Arial" w:cs="Arial"/>
          <w:color w:val="000000"/>
          <w:sz w:val="16"/>
          <w:szCs w:val="16"/>
          <w:lang w:eastAsia="en-AU"/>
        </w:rPr>
        <w:t xml:space="preserve"> (</w:t>
      </w:r>
      <w:proofErr w:type="spellStart"/>
      <w:proofErr w:type="gramStart"/>
      <w:r w:rsidRPr="002719E8">
        <w:rPr>
          <w:rFonts w:ascii="Arial" w:eastAsia="Times New Roman" w:hAnsi="Arial" w:cs="Arial"/>
          <w:color w:val="000000"/>
          <w:sz w:val="16"/>
          <w:szCs w:val="16"/>
          <w:lang w:eastAsia="en-AU"/>
        </w:rPr>
        <w:t>i</w:t>
      </w:r>
      <w:proofErr w:type="spellEnd"/>
      <w:proofErr w:type="gramEnd"/>
      <w:r w:rsidRPr="002719E8">
        <w:rPr>
          <w:rFonts w:ascii="Arial" w:eastAsia="Times New Roman" w:hAnsi="Arial" w:cs="Arial"/>
          <w:color w:val="000000"/>
          <w:sz w:val="16"/>
          <w:szCs w:val="16"/>
          <w:lang w:eastAsia="en-AU"/>
        </w:rPr>
        <w:t>)     is physically or sexually abusive; or</w:t>
      </w:r>
    </w:p>
    <w:p w:rsidR="002719E8" w:rsidRPr="002719E8" w:rsidRDefault="002719E8" w:rsidP="002719E8">
      <w:pPr>
        <w:spacing w:before="100" w:beforeAutospacing="1" w:after="100" w:afterAutospacing="1"/>
        <w:rPr>
          <w:rFonts w:ascii="Arial" w:eastAsia="Times New Roman" w:hAnsi="Arial" w:cs="Arial"/>
          <w:color w:val="000000"/>
          <w:sz w:val="16"/>
          <w:szCs w:val="16"/>
          <w:lang w:eastAsia="en-AU"/>
        </w:rPr>
      </w:pPr>
      <w:r w:rsidRPr="002719E8">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ab/>
      </w:r>
      <w:r>
        <w:rPr>
          <w:rFonts w:ascii="Arial" w:eastAsia="Times New Roman" w:hAnsi="Arial" w:cs="Arial"/>
          <w:color w:val="000000"/>
          <w:sz w:val="16"/>
          <w:szCs w:val="16"/>
          <w:lang w:eastAsia="en-AU"/>
        </w:rPr>
        <w:tab/>
      </w:r>
      <w:r w:rsidRPr="002719E8">
        <w:rPr>
          <w:rFonts w:ascii="Arial" w:eastAsia="Times New Roman" w:hAnsi="Arial" w:cs="Arial"/>
          <w:color w:val="000000"/>
          <w:sz w:val="16"/>
          <w:szCs w:val="16"/>
          <w:lang w:eastAsia="en-AU"/>
        </w:rPr>
        <w:t xml:space="preserve"> (</w:t>
      </w:r>
      <w:proofErr w:type="gramStart"/>
      <w:r w:rsidRPr="002719E8">
        <w:rPr>
          <w:rFonts w:ascii="Arial" w:eastAsia="Times New Roman" w:hAnsi="Arial" w:cs="Arial"/>
          <w:color w:val="000000"/>
          <w:sz w:val="16"/>
          <w:szCs w:val="16"/>
          <w:lang w:eastAsia="en-AU"/>
        </w:rPr>
        <w:t>ii</w:t>
      </w:r>
      <w:proofErr w:type="gramEnd"/>
      <w:r w:rsidRPr="002719E8">
        <w:rPr>
          <w:rFonts w:ascii="Arial" w:eastAsia="Times New Roman" w:hAnsi="Arial" w:cs="Arial"/>
          <w:color w:val="000000"/>
          <w:sz w:val="16"/>
          <w:szCs w:val="16"/>
          <w:lang w:eastAsia="en-AU"/>
        </w:rPr>
        <w:t>)     is emotionally or psychologically abusive; or</w:t>
      </w:r>
    </w:p>
    <w:p w:rsidR="002719E8" w:rsidRPr="002719E8" w:rsidRDefault="002719E8" w:rsidP="002719E8">
      <w:pPr>
        <w:spacing w:before="100" w:beforeAutospacing="1" w:after="100" w:afterAutospacing="1"/>
        <w:rPr>
          <w:rFonts w:ascii="Arial" w:eastAsia="Times New Roman" w:hAnsi="Arial" w:cs="Arial"/>
          <w:color w:val="000000"/>
          <w:sz w:val="16"/>
          <w:szCs w:val="16"/>
          <w:lang w:eastAsia="en-AU"/>
        </w:rPr>
      </w:pPr>
      <w:r w:rsidRPr="002719E8">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ab/>
      </w:r>
      <w:r>
        <w:rPr>
          <w:rFonts w:ascii="Arial" w:eastAsia="Times New Roman" w:hAnsi="Arial" w:cs="Arial"/>
          <w:color w:val="000000"/>
          <w:sz w:val="16"/>
          <w:szCs w:val="16"/>
          <w:lang w:eastAsia="en-AU"/>
        </w:rPr>
        <w:tab/>
      </w:r>
      <w:r w:rsidRPr="002719E8">
        <w:rPr>
          <w:rFonts w:ascii="Arial" w:eastAsia="Times New Roman" w:hAnsi="Arial" w:cs="Arial"/>
          <w:color w:val="000000"/>
          <w:sz w:val="16"/>
          <w:szCs w:val="16"/>
          <w:lang w:eastAsia="en-AU"/>
        </w:rPr>
        <w:t xml:space="preserve"> (</w:t>
      </w:r>
      <w:proofErr w:type="gramStart"/>
      <w:r w:rsidRPr="002719E8">
        <w:rPr>
          <w:rFonts w:ascii="Arial" w:eastAsia="Times New Roman" w:hAnsi="Arial" w:cs="Arial"/>
          <w:color w:val="000000"/>
          <w:sz w:val="16"/>
          <w:szCs w:val="16"/>
          <w:lang w:eastAsia="en-AU"/>
        </w:rPr>
        <w:t>iii</w:t>
      </w:r>
      <w:proofErr w:type="gramEnd"/>
      <w:r w:rsidRPr="002719E8">
        <w:rPr>
          <w:rFonts w:ascii="Arial" w:eastAsia="Times New Roman" w:hAnsi="Arial" w:cs="Arial"/>
          <w:color w:val="000000"/>
          <w:sz w:val="16"/>
          <w:szCs w:val="16"/>
          <w:lang w:eastAsia="en-AU"/>
        </w:rPr>
        <w:t>)     is economically abusive; or</w:t>
      </w:r>
    </w:p>
    <w:p w:rsidR="002719E8" w:rsidRPr="002719E8" w:rsidRDefault="002719E8" w:rsidP="002719E8">
      <w:pPr>
        <w:spacing w:before="100" w:beforeAutospacing="1" w:after="100" w:afterAutospacing="1"/>
        <w:rPr>
          <w:rFonts w:ascii="Arial" w:eastAsia="Times New Roman" w:hAnsi="Arial" w:cs="Arial"/>
          <w:color w:val="000000"/>
          <w:sz w:val="16"/>
          <w:szCs w:val="16"/>
          <w:lang w:eastAsia="en-AU"/>
        </w:rPr>
      </w:pPr>
      <w:r w:rsidRPr="002719E8">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ab/>
      </w:r>
      <w:r>
        <w:rPr>
          <w:rFonts w:ascii="Arial" w:eastAsia="Times New Roman" w:hAnsi="Arial" w:cs="Arial"/>
          <w:color w:val="000000"/>
          <w:sz w:val="16"/>
          <w:szCs w:val="16"/>
          <w:lang w:eastAsia="en-AU"/>
        </w:rPr>
        <w:tab/>
      </w:r>
      <w:r w:rsidRPr="002719E8">
        <w:rPr>
          <w:rFonts w:ascii="Arial" w:eastAsia="Times New Roman" w:hAnsi="Arial" w:cs="Arial"/>
          <w:color w:val="000000"/>
          <w:sz w:val="16"/>
          <w:szCs w:val="16"/>
          <w:lang w:eastAsia="en-AU"/>
        </w:rPr>
        <w:t xml:space="preserve">(iv)     </w:t>
      </w:r>
      <w:proofErr w:type="gramStart"/>
      <w:r w:rsidRPr="002719E8">
        <w:rPr>
          <w:rFonts w:ascii="Arial" w:eastAsia="Times New Roman" w:hAnsi="Arial" w:cs="Arial"/>
          <w:color w:val="000000"/>
          <w:sz w:val="16"/>
          <w:szCs w:val="16"/>
          <w:lang w:eastAsia="en-AU"/>
        </w:rPr>
        <w:t>is</w:t>
      </w:r>
      <w:proofErr w:type="gramEnd"/>
      <w:r w:rsidRPr="002719E8">
        <w:rPr>
          <w:rFonts w:ascii="Arial" w:eastAsia="Times New Roman" w:hAnsi="Arial" w:cs="Arial"/>
          <w:color w:val="000000"/>
          <w:sz w:val="16"/>
          <w:szCs w:val="16"/>
          <w:lang w:eastAsia="en-AU"/>
        </w:rPr>
        <w:t xml:space="preserve"> threatening; or</w:t>
      </w:r>
    </w:p>
    <w:p w:rsidR="002719E8" w:rsidRPr="002719E8" w:rsidRDefault="002719E8" w:rsidP="002719E8">
      <w:pPr>
        <w:spacing w:before="100" w:beforeAutospacing="1" w:after="100" w:afterAutospacing="1"/>
        <w:rPr>
          <w:rFonts w:ascii="Arial" w:eastAsia="Times New Roman" w:hAnsi="Arial" w:cs="Arial"/>
          <w:color w:val="000000"/>
          <w:sz w:val="16"/>
          <w:szCs w:val="16"/>
          <w:lang w:eastAsia="en-AU"/>
        </w:rPr>
      </w:pPr>
      <w:r w:rsidRPr="002719E8">
        <w:rPr>
          <w:rFonts w:ascii="Arial" w:eastAsia="Times New Roman" w:hAnsi="Arial" w:cs="Arial"/>
          <w:color w:val="000000"/>
          <w:sz w:val="16"/>
          <w:szCs w:val="16"/>
          <w:lang w:eastAsia="en-AU"/>
        </w:rPr>
        <w:t>             </w:t>
      </w:r>
      <w:r>
        <w:rPr>
          <w:rFonts w:ascii="Arial" w:eastAsia="Times New Roman" w:hAnsi="Arial" w:cs="Arial"/>
          <w:color w:val="000000"/>
          <w:sz w:val="16"/>
          <w:szCs w:val="16"/>
          <w:lang w:eastAsia="en-AU"/>
        </w:rPr>
        <w:t xml:space="preserve"> </w:t>
      </w:r>
      <w:r>
        <w:rPr>
          <w:rFonts w:ascii="Arial" w:eastAsia="Times New Roman" w:hAnsi="Arial" w:cs="Arial"/>
          <w:color w:val="000000"/>
          <w:sz w:val="16"/>
          <w:szCs w:val="16"/>
          <w:lang w:eastAsia="en-AU"/>
        </w:rPr>
        <w:tab/>
      </w:r>
      <w:r>
        <w:rPr>
          <w:rFonts w:ascii="Arial" w:eastAsia="Times New Roman" w:hAnsi="Arial" w:cs="Arial"/>
          <w:color w:val="000000"/>
          <w:sz w:val="16"/>
          <w:szCs w:val="16"/>
          <w:lang w:eastAsia="en-AU"/>
        </w:rPr>
        <w:tab/>
      </w:r>
      <w:r w:rsidRPr="002719E8">
        <w:rPr>
          <w:rFonts w:ascii="Arial" w:eastAsia="Times New Roman" w:hAnsi="Arial" w:cs="Arial"/>
          <w:color w:val="000000"/>
          <w:sz w:val="16"/>
          <w:szCs w:val="16"/>
          <w:lang w:eastAsia="en-AU"/>
        </w:rPr>
        <w:t xml:space="preserve"> (</w:t>
      </w:r>
      <w:proofErr w:type="gramStart"/>
      <w:r w:rsidRPr="002719E8">
        <w:rPr>
          <w:rFonts w:ascii="Arial" w:eastAsia="Times New Roman" w:hAnsi="Arial" w:cs="Arial"/>
          <w:color w:val="000000"/>
          <w:sz w:val="16"/>
          <w:szCs w:val="16"/>
          <w:lang w:eastAsia="en-AU"/>
        </w:rPr>
        <w:t>v</w:t>
      </w:r>
      <w:proofErr w:type="gramEnd"/>
      <w:r w:rsidRPr="002719E8">
        <w:rPr>
          <w:rFonts w:ascii="Arial" w:eastAsia="Times New Roman" w:hAnsi="Arial" w:cs="Arial"/>
          <w:color w:val="000000"/>
          <w:sz w:val="16"/>
          <w:szCs w:val="16"/>
          <w:lang w:eastAsia="en-AU"/>
        </w:rPr>
        <w:t>)     is coercive; or</w:t>
      </w:r>
    </w:p>
    <w:p w:rsidR="002719E8" w:rsidRPr="002719E8" w:rsidRDefault="002719E8" w:rsidP="002719E8">
      <w:pPr>
        <w:spacing w:before="100" w:beforeAutospacing="1" w:after="100" w:afterAutospacing="1"/>
        <w:ind w:left="1440"/>
        <w:rPr>
          <w:rFonts w:ascii="Arial" w:eastAsia="Times New Roman" w:hAnsi="Arial" w:cs="Arial"/>
          <w:color w:val="000000"/>
          <w:sz w:val="16"/>
          <w:szCs w:val="16"/>
          <w:lang w:eastAsia="en-AU"/>
        </w:rPr>
      </w:pPr>
      <w:r w:rsidRPr="002719E8">
        <w:rPr>
          <w:rFonts w:ascii="Arial" w:eastAsia="Times New Roman" w:hAnsi="Arial" w:cs="Arial"/>
          <w:color w:val="000000"/>
          <w:sz w:val="16"/>
          <w:szCs w:val="16"/>
          <w:lang w:eastAsia="en-AU"/>
        </w:rPr>
        <w:lastRenderedPageBreak/>
        <w:t xml:space="preserve">(vi)     </w:t>
      </w:r>
      <w:proofErr w:type="gramStart"/>
      <w:r w:rsidRPr="002719E8">
        <w:rPr>
          <w:rFonts w:ascii="Arial" w:eastAsia="Times New Roman" w:hAnsi="Arial" w:cs="Arial"/>
          <w:color w:val="000000"/>
          <w:sz w:val="16"/>
          <w:szCs w:val="16"/>
          <w:lang w:eastAsia="en-AU"/>
        </w:rPr>
        <w:t>in</w:t>
      </w:r>
      <w:proofErr w:type="gramEnd"/>
      <w:r w:rsidRPr="002719E8">
        <w:rPr>
          <w:rFonts w:ascii="Arial" w:eastAsia="Times New Roman" w:hAnsi="Arial" w:cs="Arial"/>
          <w:color w:val="000000"/>
          <w:sz w:val="16"/>
          <w:szCs w:val="16"/>
          <w:lang w:eastAsia="en-AU"/>
        </w:rPr>
        <w:t xml:space="preserve"> any other way controls or dominates the family member and causes that family member to feel </w:t>
      </w:r>
      <w:r>
        <w:rPr>
          <w:rFonts w:ascii="Arial" w:eastAsia="Times New Roman" w:hAnsi="Arial" w:cs="Arial"/>
          <w:color w:val="000000"/>
          <w:sz w:val="16"/>
          <w:szCs w:val="16"/>
          <w:lang w:eastAsia="en-AU"/>
        </w:rPr>
        <w:t xml:space="preserve">   </w:t>
      </w:r>
      <w:r w:rsidRPr="002719E8">
        <w:rPr>
          <w:rFonts w:ascii="Arial" w:eastAsia="Times New Roman" w:hAnsi="Arial" w:cs="Arial"/>
          <w:color w:val="000000"/>
          <w:sz w:val="16"/>
          <w:szCs w:val="16"/>
          <w:lang w:eastAsia="en-AU"/>
        </w:rPr>
        <w:t>fear for the safety or wellbeing of that family member or another person; or</w:t>
      </w:r>
    </w:p>
    <w:p w:rsidR="002719E8" w:rsidRPr="002719E8" w:rsidRDefault="002719E8" w:rsidP="002719E8">
      <w:pPr>
        <w:spacing w:before="100" w:beforeAutospacing="1" w:after="100" w:afterAutospacing="1"/>
        <w:ind w:left="1440"/>
        <w:rPr>
          <w:rFonts w:ascii="Arial" w:eastAsia="Times New Roman" w:hAnsi="Arial" w:cs="Arial"/>
          <w:color w:val="000000"/>
          <w:sz w:val="16"/>
          <w:szCs w:val="16"/>
          <w:lang w:eastAsia="en-AU"/>
        </w:rPr>
      </w:pPr>
      <w:r w:rsidRPr="002719E8">
        <w:rPr>
          <w:rFonts w:ascii="Arial" w:eastAsia="Times New Roman" w:hAnsi="Arial" w:cs="Arial"/>
          <w:color w:val="000000"/>
          <w:sz w:val="16"/>
          <w:szCs w:val="16"/>
          <w:lang w:eastAsia="en-AU"/>
        </w:rPr>
        <w:t xml:space="preserve">(b)     </w:t>
      </w:r>
      <w:proofErr w:type="gramStart"/>
      <w:r w:rsidRPr="002719E8">
        <w:rPr>
          <w:rFonts w:ascii="Arial" w:eastAsia="Times New Roman" w:hAnsi="Arial" w:cs="Arial"/>
          <w:color w:val="000000"/>
          <w:sz w:val="16"/>
          <w:szCs w:val="16"/>
          <w:lang w:eastAsia="en-AU"/>
        </w:rPr>
        <w:t>behaviour</w:t>
      </w:r>
      <w:proofErr w:type="gramEnd"/>
      <w:r w:rsidRPr="002719E8">
        <w:rPr>
          <w:rFonts w:ascii="Arial" w:eastAsia="Times New Roman" w:hAnsi="Arial" w:cs="Arial"/>
          <w:color w:val="000000"/>
          <w:sz w:val="16"/>
          <w:szCs w:val="16"/>
          <w:lang w:eastAsia="en-AU"/>
        </w:rPr>
        <w:t xml:space="preserve"> by a person that causes a child to hear or witness, or otherwise be exposed to the effects of, </w:t>
      </w:r>
      <w:r>
        <w:rPr>
          <w:rFonts w:ascii="Arial" w:eastAsia="Times New Roman" w:hAnsi="Arial" w:cs="Arial"/>
          <w:color w:val="000000"/>
          <w:sz w:val="16"/>
          <w:szCs w:val="16"/>
          <w:lang w:eastAsia="en-AU"/>
        </w:rPr>
        <w:t xml:space="preserve">     </w:t>
      </w:r>
      <w:r w:rsidRPr="002719E8">
        <w:rPr>
          <w:rFonts w:ascii="Arial" w:eastAsia="Times New Roman" w:hAnsi="Arial" w:cs="Arial"/>
          <w:color w:val="000000"/>
          <w:sz w:val="16"/>
          <w:szCs w:val="16"/>
          <w:lang w:eastAsia="en-AU"/>
        </w:rPr>
        <w:t>behaviour referred to in paragraph (a).</w:t>
      </w:r>
    </w:p>
    <w:p w:rsidR="002719E8" w:rsidRDefault="002719E8" w:rsidP="002719E8">
      <w:pPr>
        <w:rPr>
          <w:rFonts w:ascii="Arial" w:hAnsi="Arial" w:cs="Arial"/>
          <w:sz w:val="24"/>
          <w:szCs w:val="24"/>
        </w:rPr>
      </w:pPr>
      <w:r w:rsidRPr="002719E8">
        <w:rPr>
          <w:rFonts w:ascii="Arial" w:hAnsi="Arial" w:cs="Arial"/>
          <w:sz w:val="24"/>
          <w:szCs w:val="24"/>
        </w:rPr>
        <w:t>The submission</w:t>
      </w:r>
      <w:r>
        <w:rPr>
          <w:rStyle w:val="FootnoteReference"/>
          <w:rFonts w:ascii="Arial" w:hAnsi="Arial" w:cs="Arial"/>
          <w:sz w:val="24"/>
          <w:szCs w:val="24"/>
        </w:rPr>
        <w:footnoteReference w:id="39"/>
      </w:r>
      <w:r w:rsidRPr="002719E8">
        <w:rPr>
          <w:rFonts w:ascii="Arial" w:hAnsi="Arial" w:cs="Arial"/>
          <w:sz w:val="24"/>
          <w:szCs w:val="24"/>
        </w:rPr>
        <w:t xml:space="preserve"> was made that</w:t>
      </w:r>
      <w:r>
        <w:rPr>
          <w:rFonts w:ascii="Arial" w:hAnsi="Arial" w:cs="Arial"/>
          <w:sz w:val="24"/>
          <w:szCs w:val="24"/>
        </w:rPr>
        <w:t xml:space="preserve">: </w:t>
      </w:r>
    </w:p>
    <w:p w:rsidR="002719E8" w:rsidRPr="002719E8" w:rsidRDefault="002719E8" w:rsidP="002719E8">
      <w:pPr>
        <w:rPr>
          <w:rFonts w:ascii="Arial" w:hAnsi="Arial" w:cs="Arial"/>
          <w:sz w:val="24"/>
          <w:szCs w:val="24"/>
        </w:rPr>
      </w:pPr>
      <w:r w:rsidRPr="002719E8">
        <w:rPr>
          <w:rFonts w:ascii="Arial" w:hAnsi="Arial" w:cs="Arial"/>
          <w:sz w:val="24"/>
          <w:szCs w:val="24"/>
        </w:rPr>
        <w:t xml:space="preserve"> </w:t>
      </w:r>
    </w:p>
    <w:p w:rsidR="002719E8" w:rsidRPr="002719E8" w:rsidRDefault="002719E8" w:rsidP="002719E8">
      <w:pPr>
        <w:ind w:left="720"/>
        <w:rPr>
          <w:rFonts w:ascii="Arial" w:hAnsi="Arial" w:cs="Arial"/>
          <w:sz w:val="20"/>
          <w:szCs w:val="20"/>
        </w:rPr>
      </w:pPr>
      <w:r w:rsidRPr="002719E8">
        <w:rPr>
          <w:rFonts w:ascii="Arial" w:hAnsi="Arial" w:cs="Arial"/>
          <w:sz w:val="20"/>
          <w:szCs w:val="20"/>
        </w:rPr>
        <w:t>there can be no doubt that there is an expectation that people in a marriage-like relationship have an obligation to care and support each other and so a failure to meet the standard should be properly described as family violence. In a similar way, it could be argued that if adult children live with parents, they thereby assume the obligations of support and care of a close relationship, and that falling short of the standard of support and care should also be defined as family violence.</w:t>
      </w:r>
    </w:p>
    <w:p w:rsidR="002719E8" w:rsidRPr="002719E8" w:rsidRDefault="002719E8" w:rsidP="002719E8">
      <w:pPr>
        <w:rPr>
          <w:rFonts w:ascii="Arial" w:hAnsi="Arial" w:cs="Arial"/>
          <w:sz w:val="20"/>
          <w:szCs w:val="20"/>
        </w:rPr>
      </w:pPr>
    </w:p>
    <w:p w:rsidR="00D52C51" w:rsidRDefault="00D52C51" w:rsidP="00D52C51">
      <w:pPr>
        <w:rPr>
          <w:rFonts w:ascii="Arial" w:hAnsi="Arial" w:cs="Arial"/>
          <w:sz w:val="24"/>
          <w:szCs w:val="24"/>
        </w:rPr>
      </w:pPr>
    </w:p>
    <w:p w:rsidR="002719E8" w:rsidRDefault="00D52C51" w:rsidP="002719E8">
      <w:pPr>
        <w:rPr>
          <w:rFonts w:ascii="Arial" w:hAnsi="Arial" w:cs="Arial"/>
          <w:sz w:val="24"/>
          <w:szCs w:val="24"/>
        </w:rPr>
      </w:pPr>
      <w:r>
        <w:rPr>
          <w:rFonts w:ascii="Arial" w:hAnsi="Arial" w:cs="Arial"/>
          <w:sz w:val="24"/>
          <w:szCs w:val="24"/>
        </w:rPr>
        <w:t xml:space="preserve">The </w:t>
      </w:r>
      <w:r w:rsidR="002719E8">
        <w:rPr>
          <w:rFonts w:ascii="Arial" w:hAnsi="Arial" w:cs="Arial"/>
          <w:sz w:val="24"/>
          <w:szCs w:val="24"/>
        </w:rPr>
        <w:t xml:space="preserve">RCFV commission declined to recommend any expansion of the definition of family violence because: </w:t>
      </w:r>
    </w:p>
    <w:p w:rsidR="002719E8" w:rsidRDefault="002719E8" w:rsidP="002719E8">
      <w:pPr>
        <w:rPr>
          <w:rFonts w:ascii="Arial" w:hAnsi="Arial" w:cs="Arial"/>
          <w:sz w:val="24"/>
          <w:szCs w:val="24"/>
        </w:rPr>
      </w:pPr>
    </w:p>
    <w:p w:rsidR="002719E8" w:rsidRPr="002719E8" w:rsidRDefault="002719E8" w:rsidP="002719E8">
      <w:pPr>
        <w:ind w:left="720"/>
        <w:rPr>
          <w:rFonts w:ascii="Arial" w:hAnsi="Arial" w:cs="Arial"/>
          <w:sz w:val="20"/>
          <w:szCs w:val="20"/>
        </w:rPr>
      </w:pPr>
      <w:r w:rsidRPr="002719E8">
        <w:rPr>
          <w:rFonts w:ascii="Arial" w:hAnsi="Arial" w:cs="Arial"/>
          <w:sz w:val="20"/>
          <w:szCs w:val="20"/>
        </w:rPr>
        <w:t>While neglect can be a form of family violence, we do not consider that the Family Violence Protection Act needs to expressly refer to it. Many forms of neglect, such as withholding an older person’s medication or restricting their mobility, would be caught by the current definition of family violence (which includes behaviour that is physically abusive, coercive or in any other way controls or dominates a family member). Such behaviour may also be covered by the criminal law; for example, offences of causing injury intentionally or recklessly.</w:t>
      </w:r>
      <w:r>
        <w:rPr>
          <w:rFonts w:ascii="Arial" w:hAnsi="Arial" w:cs="Arial"/>
          <w:sz w:val="20"/>
          <w:szCs w:val="20"/>
        </w:rPr>
        <w:t xml:space="preserve"> </w:t>
      </w:r>
      <w:r w:rsidRPr="002719E8">
        <w:rPr>
          <w:rFonts w:ascii="Arial" w:hAnsi="Arial" w:cs="Arial"/>
          <w:sz w:val="20"/>
          <w:szCs w:val="20"/>
        </w:rPr>
        <w:t>In our view, making explicit reference to neglect in the Act is not necessary</w:t>
      </w:r>
      <w:r>
        <w:rPr>
          <w:rFonts w:ascii="Arial" w:hAnsi="Arial" w:cs="Arial"/>
          <w:sz w:val="20"/>
          <w:szCs w:val="20"/>
        </w:rPr>
        <w:t>’</w:t>
      </w:r>
      <w:r>
        <w:rPr>
          <w:rStyle w:val="FootnoteReference"/>
          <w:rFonts w:ascii="Arial" w:hAnsi="Arial" w:cs="Arial"/>
          <w:sz w:val="20"/>
          <w:szCs w:val="20"/>
        </w:rPr>
        <w:footnoteReference w:id="40"/>
      </w:r>
    </w:p>
    <w:p w:rsidR="00D52C51" w:rsidRDefault="00D52C51" w:rsidP="00D52C51">
      <w:pPr>
        <w:rPr>
          <w:rFonts w:ascii="Arial" w:hAnsi="Arial" w:cs="Arial"/>
          <w:sz w:val="24"/>
          <w:szCs w:val="24"/>
        </w:rPr>
      </w:pPr>
    </w:p>
    <w:p w:rsidR="00D52C51" w:rsidRDefault="00D52C51" w:rsidP="00D52C51">
      <w:pPr>
        <w:rPr>
          <w:rFonts w:ascii="Arial" w:hAnsi="Arial" w:cs="Arial"/>
          <w:sz w:val="24"/>
          <w:szCs w:val="24"/>
        </w:rPr>
      </w:pPr>
      <w:r>
        <w:rPr>
          <w:rFonts w:ascii="Arial" w:hAnsi="Arial" w:cs="Arial"/>
          <w:sz w:val="24"/>
          <w:szCs w:val="24"/>
        </w:rPr>
        <w:t>With respect to the Royal Commission</w:t>
      </w:r>
      <w:r w:rsidR="002719E8">
        <w:rPr>
          <w:rFonts w:ascii="Arial" w:hAnsi="Arial" w:cs="Arial"/>
          <w:sz w:val="24"/>
          <w:szCs w:val="24"/>
        </w:rPr>
        <w:t xml:space="preserve"> on Family Violence </w:t>
      </w:r>
      <w:r>
        <w:rPr>
          <w:rFonts w:ascii="Arial" w:hAnsi="Arial" w:cs="Arial"/>
          <w:sz w:val="24"/>
          <w:szCs w:val="24"/>
        </w:rPr>
        <w:t xml:space="preserve"> this  simply</w:t>
      </w:r>
      <w:r w:rsidR="002719E8">
        <w:rPr>
          <w:rFonts w:ascii="Arial" w:hAnsi="Arial" w:cs="Arial"/>
          <w:sz w:val="24"/>
          <w:szCs w:val="24"/>
        </w:rPr>
        <w:t xml:space="preserve"> fails to acknowledge the difficulty</w:t>
      </w:r>
      <w:r>
        <w:rPr>
          <w:rFonts w:ascii="Arial" w:hAnsi="Arial" w:cs="Arial"/>
          <w:sz w:val="24"/>
          <w:szCs w:val="24"/>
        </w:rPr>
        <w:t xml:space="preserve"> </w:t>
      </w:r>
      <w:r w:rsidR="00821907">
        <w:rPr>
          <w:rFonts w:ascii="Arial" w:hAnsi="Arial" w:cs="Arial"/>
          <w:sz w:val="24"/>
          <w:szCs w:val="24"/>
        </w:rPr>
        <w:t xml:space="preserve">in making a Court recognise those forms of elder abuse  as being worthy of court intervention. The difficulty of employing the criminal law is referred to above. </w:t>
      </w:r>
    </w:p>
    <w:p w:rsidR="009D614F" w:rsidRDefault="009D614F" w:rsidP="009D614F">
      <w:pPr>
        <w:rPr>
          <w:rFonts w:ascii="Arial" w:hAnsi="Arial" w:cs="Arial"/>
          <w:sz w:val="24"/>
          <w:szCs w:val="24"/>
        </w:rPr>
      </w:pPr>
    </w:p>
    <w:p w:rsidR="00ED5B21" w:rsidRDefault="00ED5B21" w:rsidP="009D614F">
      <w:pPr>
        <w:rPr>
          <w:rFonts w:ascii="Arial" w:hAnsi="Arial" w:cs="Arial"/>
          <w:sz w:val="24"/>
          <w:szCs w:val="24"/>
        </w:rPr>
      </w:pPr>
      <w:r>
        <w:rPr>
          <w:rFonts w:ascii="Arial" w:hAnsi="Arial" w:cs="Arial"/>
          <w:sz w:val="24"/>
          <w:szCs w:val="24"/>
        </w:rPr>
        <w:t>Third party applications for family violence protection orders</w:t>
      </w:r>
    </w:p>
    <w:p w:rsidR="00ED5B21" w:rsidRDefault="00ED5B21" w:rsidP="009D614F">
      <w:pPr>
        <w:rPr>
          <w:rFonts w:ascii="Arial" w:hAnsi="Arial" w:cs="Arial"/>
          <w:sz w:val="24"/>
          <w:szCs w:val="24"/>
        </w:rPr>
      </w:pPr>
      <w:r>
        <w:rPr>
          <w:rFonts w:ascii="Arial" w:hAnsi="Arial" w:cs="Arial"/>
          <w:sz w:val="24"/>
          <w:szCs w:val="24"/>
        </w:rPr>
        <w:t xml:space="preserve"> </w:t>
      </w:r>
    </w:p>
    <w:p w:rsidR="009D614F" w:rsidRDefault="00821907" w:rsidP="009D614F">
      <w:pPr>
        <w:rPr>
          <w:rFonts w:ascii="Arial" w:hAnsi="Arial" w:cs="Arial"/>
          <w:sz w:val="24"/>
          <w:szCs w:val="24"/>
        </w:rPr>
      </w:pPr>
      <w:r>
        <w:rPr>
          <w:rFonts w:ascii="Arial" w:hAnsi="Arial" w:cs="Arial"/>
          <w:sz w:val="24"/>
          <w:szCs w:val="24"/>
        </w:rPr>
        <w:t>Another practical difficulty that presents is that t</w:t>
      </w:r>
      <w:r w:rsidR="009D614F" w:rsidRPr="0099107D">
        <w:rPr>
          <w:rFonts w:ascii="Arial" w:hAnsi="Arial" w:cs="Arial"/>
          <w:sz w:val="24"/>
          <w:szCs w:val="24"/>
        </w:rPr>
        <w:t xml:space="preserve">he courts are reluctant to accept </w:t>
      </w:r>
      <w:r>
        <w:rPr>
          <w:rFonts w:ascii="Arial" w:hAnsi="Arial" w:cs="Arial"/>
          <w:sz w:val="24"/>
          <w:szCs w:val="24"/>
        </w:rPr>
        <w:t xml:space="preserve">applications </w:t>
      </w:r>
      <w:r w:rsidR="009D614F" w:rsidRPr="0099107D">
        <w:rPr>
          <w:rFonts w:ascii="Arial" w:hAnsi="Arial" w:cs="Arial"/>
          <w:sz w:val="24"/>
          <w:szCs w:val="24"/>
        </w:rPr>
        <w:t>from third parties</w:t>
      </w:r>
      <w:r w:rsidR="0036521C">
        <w:rPr>
          <w:rFonts w:ascii="Arial" w:hAnsi="Arial" w:cs="Arial"/>
          <w:sz w:val="24"/>
          <w:szCs w:val="24"/>
        </w:rPr>
        <w:t>,</w:t>
      </w:r>
      <w:r w:rsidR="0036521C" w:rsidRPr="0036521C">
        <w:rPr>
          <w:rFonts w:ascii="Arial" w:hAnsi="Arial" w:cs="Arial"/>
          <w:sz w:val="24"/>
          <w:szCs w:val="24"/>
        </w:rPr>
        <w:t xml:space="preserve"> </w:t>
      </w:r>
      <w:r w:rsidR="0036521C" w:rsidRPr="0099107D">
        <w:rPr>
          <w:rFonts w:ascii="Arial" w:hAnsi="Arial" w:cs="Arial"/>
          <w:sz w:val="24"/>
          <w:szCs w:val="24"/>
        </w:rPr>
        <w:t xml:space="preserve">although they </w:t>
      </w:r>
      <w:proofErr w:type="gramStart"/>
      <w:r w:rsidR="0036521C" w:rsidRPr="0099107D">
        <w:rPr>
          <w:rFonts w:ascii="Arial" w:hAnsi="Arial" w:cs="Arial"/>
          <w:sz w:val="24"/>
          <w:szCs w:val="24"/>
        </w:rPr>
        <w:t xml:space="preserve">have  </w:t>
      </w:r>
      <w:r>
        <w:rPr>
          <w:rFonts w:ascii="Arial" w:hAnsi="Arial" w:cs="Arial"/>
          <w:sz w:val="24"/>
          <w:szCs w:val="24"/>
        </w:rPr>
        <w:t>some</w:t>
      </w:r>
      <w:proofErr w:type="gramEnd"/>
      <w:r>
        <w:rPr>
          <w:rFonts w:ascii="Arial" w:hAnsi="Arial" w:cs="Arial"/>
          <w:sz w:val="24"/>
          <w:szCs w:val="24"/>
        </w:rPr>
        <w:t xml:space="preserve"> </w:t>
      </w:r>
      <w:r w:rsidR="00ED5B21">
        <w:rPr>
          <w:rFonts w:ascii="Arial" w:hAnsi="Arial" w:cs="Arial"/>
          <w:sz w:val="24"/>
          <w:szCs w:val="24"/>
        </w:rPr>
        <w:t>jurisdiction.</w:t>
      </w:r>
      <w:r w:rsidR="009D614F" w:rsidRPr="0099107D">
        <w:rPr>
          <w:rFonts w:ascii="Arial" w:hAnsi="Arial" w:cs="Arial"/>
          <w:sz w:val="24"/>
          <w:szCs w:val="24"/>
        </w:rPr>
        <w:t xml:space="preserve"> </w:t>
      </w:r>
      <w:r w:rsidR="0036521C">
        <w:rPr>
          <w:rFonts w:ascii="Arial" w:hAnsi="Arial" w:cs="Arial"/>
          <w:sz w:val="24"/>
          <w:szCs w:val="24"/>
        </w:rPr>
        <w:t>T</w:t>
      </w:r>
      <w:r w:rsidR="009D614F" w:rsidRPr="0099107D">
        <w:rPr>
          <w:rFonts w:ascii="Arial" w:hAnsi="Arial" w:cs="Arial"/>
          <w:sz w:val="24"/>
          <w:szCs w:val="24"/>
        </w:rPr>
        <w:t>hird party</w:t>
      </w:r>
      <w:r>
        <w:rPr>
          <w:rFonts w:ascii="Arial" w:hAnsi="Arial" w:cs="Arial"/>
          <w:sz w:val="24"/>
          <w:szCs w:val="24"/>
        </w:rPr>
        <w:t xml:space="preserve"> applications can only result in limited orders </w:t>
      </w:r>
      <w:r w:rsidR="009D614F" w:rsidRPr="0099107D">
        <w:rPr>
          <w:rFonts w:ascii="Arial" w:hAnsi="Arial" w:cs="Arial"/>
          <w:sz w:val="24"/>
          <w:szCs w:val="24"/>
        </w:rPr>
        <w:t xml:space="preserve">unless they’re made by </w:t>
      </w:r>
      <w:r w:rsidR="00ED5B21">
        <w:rPr>
          <w:rFonts w:ascii="Arial" w:hAnsi="Arial" w:cs="Arial"/>
          <w:sz w:val="24"/>
          <w:szCs w:val="24"/>
        </w:rPr>
        <w:t>P</w:t>
      </w:r>
      <w:r w:rsidR="009D614F" w:rsidRPr="0099107D">
        <w:rPr>
          <w:rFonts w:ascii="Arial" w:hAnsi="Arial" w:cs="Arial"/>
          <w:sz w:val="24"/>
          <w:szCs w:val="24"/>
        </w:rPr>
        <w:t xml:space="preserve">olice. </w:t>
      </w:r>
      <w:r w:rsidR="00ED5B21">
        <w:rPr>
          <w:rFonts w:ascii="Arial" w:hAnsi="Arial" w:cs="Arial"/>
          <w:sz w:val="24"/>
          <w:szCs w:val="24"/>
        </w:rPr>
        <w:t xml:space="preserve"> </w:t>
      </w:r>
      <w:r w:rsidR="009D614F">
        <w:rPr>
          <w:rFonts w:ascii="Arial" w:hAnsi="Arial" w:cs="Arial"/>
          <w:sz w:val="24"/>
          <w:szCs w:val="24"/>
        </w:rPr>
        <w:t>P</w:t>
      </w:r>
      <w:r w:rsidR="009D614F" w:rsidRPr="0099107D">
        <w:rPr>
          <w:rFonts w:ascii="Arial" w:hAnsi="Arial" w:cs="Arial"/>
          <w:sz w:val="24"/>
          <w:szCs w:val="24"/>
        </w:rPr>
        <w:t>ol</w:t>
      </w:r>
      <w:r w:rsidR="009D614F">
        <w:rPr>
          <w:rFonts w:ascii="Arial" w:hAnsi="Arial" w:cs="Arial"/>
          <w:sz w:val="24"/>
          <w:szCs w:val="24"/>
        </w:rPr>
        <w:t xml:space="preserve">ice are </w:t>
      </w:r>
      <w:r w:rsidR="00ED5B21">
        <w:rPr>
          <w:rFonts w:ascii="Arial" w:hAnsi="Arial" w:cs="Arial"/>
          <w:sz w:val="24"/>
          <w:szCs w:val="24"/>
        </w:rPr>
        <w:t xml:space="preserve">also </w:t>
      </w:r>
      <w:r w:rsidR="009D614F">
        <w:rPr>
          <w:rFonts w:ascii="Arial" w:hAnsi="Arial" w:cs="Arial"/>
          <w:sz w:val="24"/>
          <w:szCs w:val="24"/>
        </w:rPr>
        <w:t xml:space="preserve">reluctant to intervene to </w:t>
      </w:r>
      <w:r w:rsidR="009D614F" w:rsidRPr="0099107D">
        <w:rPr>
          <w:rFonts w:ascii="Arial" w:hAnsi="Arial" w:cs="Arial"/>
          <w:sz w:val="24"/>
          <w:szCs w:val="24"/>
        </w:rPr>
        <w:t xml:space="preserve">make </w:t>
      </w:r>
      <w:r w:rsidR="0036521C">
        <w:rPr>
          <w:rFonts w:ascii="Arial" w:hAnsi="Arial" w:cs="Arial"/>
          <w:sz w:val="24"/>
          <w:szCs w:val="24"/>
        </w:rPr>
        <w:t xml:space="preserve">family violence </w:t>
      </w:r>
      <w:r w:rsidR="009D614F" w:rsidRPr="0099107D">
        <w:rPr>
          <w:rFonts w:ascii="Arial" w:hAnsi="Arial" w:cs="Arial"/>
          <w:sz w:val="24"/>
          <w:szCs w:val="24"/>
        </w:rPr>
        <w:t xml:space="preserve">applications on behalf of older persons and </w:t>
      </w:r>
      <w:r w:rsidR="0036521C">
        <w:rPr>
          <w:rFonts w:ascii="Arial" w:hAnsi="Arial" w:cs="Arial"/>
          <w:sz w:val="24"/>
          <w:szCs w:val="24"/>
        </w:rPr>
        <w:t xml:space="preserve">when asked </w:t>
      </w:r>
      <w:r>
        <w:rPr>
          <w:rFonts w:ascii="Arial" w:hAnsi="Arial" w:cs="Arial"/>
          <w:sz w:val="24"/>
          <w:szCs w:val="24"/>
        </w:rPr>
        <w:t xml:space="preserve">to do so </w:t>
      </w:r>
      <w:r w:rsidR="009D614F" w:rsidRPr="0099107D">
        <w:rPr>
          <w:rFonts w:ascii="Arial" w:hAnsi="Arial" w:cs="Arial"/>
          <w:sz w:val="24"/>
          <w:szCs w:val="24"/>
        </w:rPr>
        <w:t>will make the</w:t>
      </w:r>
      <w:r w:rsidR="009D614F">
        <w:rPr>
          <w:rFonts w:ascii="Arial" w:hAnsi="Arial" w:cs="Arial"/>
          <w:sz w:val="24"/>
          <w:szCs w:val="24"/>
        </w:rPr>
        <w:t xml:space="preserve"> usual</w:t>
      </w:r>
      <w:r w:rsidR="0036521C">
        <w:rPr>
          <w:rFonts w:ascii="Arial" w:hAnsi="Arial" w:cs="Arial"/>
          <w:sz w:val="24"/>
          <w:szCs w:val="24"/>
        </w:rPr>
        <w:t xml:space="preserve"> merry-go-round of referrals. </w:t>
      </w:r>
    </w:p>
    <w:p w:rsidR="009D614F" w:rsidRDefault="009D614F" w:rsidP="009D614F">
      <w:pPr>
        <w:rPr>
          <w:rFonts w:ascii="Arial" w:hAnsi="Arial" w:cs="Arial"/>
          <w:sz w:val="24"/>
          <w:szCs w:val="24"/>
        </w:rPr>
      </w:pPr>
    </w:p>
    <w:p w:rsidR="00B03F2D" w:rsidRDefault="00B03F2D" w:rsidP="00823382">
      <w:pPr>
        <w:rPr>
          <w:rFonts w:ascii="Arial" w:hAnsi="Arial" w:cs="Arial"/>
          <w:b/>
          <w:sz w:val="24"/>
          <w:szCs w:val="24"/>
        </w:rPr>
      </w:pPr>
    </w:p>
    <w:p w:rsidR="00ED5B21" w:rsidRDefault="00ED5B21" w:rsidP="00823382">
      <w:pPr>
        <w:rPr>
          <w:rFonts w:ascii="Arial" w:hAnsi="Arial" w:cs="Arial"/>
          <w:b/>
          <w:sz w:val="24"/>
          <w:szCs w:val="24"/>
        </w:rPr>
      </w:pPr>
      <w:r>
        <w:rPr>
          <w:rFonts w:ascii="Arial" w:hAnsi="Arial" w:cs="Arial"/>
          <w:b/>
          <w:sz w:val="24"/>
          <w:szCs w:val="24"/>
        </w:rPr>
        <w:t>Negligence</w:t>
      </w:r>
    </w:p>
    <w:p w:rsidR="00ED5B21" w:rsidRDefault="00ED5B21" w:rsidP="00823382">
      <w:pPr>
        <w:rPr>
          <w:rFonts w:ascii="Arial" w:hAnsi="Arial" w:cs="Arial"/>
          <w:b/>
          <w:sz w:val="24"/>
          <w:szCs w:val="24"/>
        </w:rPr>
      </w:pPr>
    </w:p>
    <w:p w:rsidR="00ED5B21" w:rsidRDefault="00ED5B21" w:rsidP="00823382">
      <w:pPr>
        <w:rPr>
          <w:rFonts w:ascii="Arial" w:hAnsi="Arial" w:cs="Arial"/>
          <w:sz w:val="24"/>
          <w:szCs w:val="24"/>
        </w:rPr>
      </w:pPr>
      <w:r>
        <w:rPr>
          <w:rFonts w:ascii="Arial" w:hAnsi="Arial" w:cs="Arial"/>
          <w:sz w:val="24"/>
          <w:szCs w:val="24"/>
        </w:rPr>
        <w:t>Currently the</w:t>
      </w:r>
      <w:r w:rsidR="00B05D92">
        <w:rPr>
          <w:rFonts w:ascii="Arial" w:hAnsi="Arial" w:cs="Arial"/>
          <w:sz w:val="24"/>
          <w:szCs w:val="24"/>
        </w:rPr>
        <w:t xml:space="preserve"> civil </w:t>
      </w:r>
      <w:r>
        <w:rPr>
          <w:rFonts w:ascii="Arial" w:hAnsi="Arial" w:cs="Arial"/>
          <w:sz w:val="24"/>
          <w:szCs w:val="24"/>
        </w:rPr>
        <w:t>law of negligence does not recognise a duty of care owed to older family members.</w:t>
      </w:r>
    </w:p>
    <w:p w:rsidR="00ED5B21" w:rsidRDefault="00ED5B21" w:rsidP="00823382">
      <w:pPr>
        <w:rPr>
          <w:rFonts w:ascii="Arial" w:hAnsi="Arial" w:cs="Arial"/>
          <w:sz w:val="24"/>
          <w:szCs w:val="24"/>
        </w:rPr>
      </w:pPr>
    </w:p>
    <w:p w:rsidR="00B05D92" w:rsidRDefault="00B05D92" w:rsidP="00B05D92">
      <w:pPr>
        <w:spacing w:line="276" w:lineRule="auto"/>
        <w:rPr>
          <w:rFonts w:ascii="Arial" w:hAnsi="Arial" w:cs="Arial"/>
          <w:sz w:val="24"/>
          <w:szCs w:val="24"/>
        </w:rPr>
      </w:pPr>
      <w:r>
        <w:rPr>
          <w:rFonts w:ascii="Arial" w:hAnsi="Arial" w:cs="Arial"/>
          <w:sz w:val="24"/>
          <w:szCs w:val="24"/>
        </w:rPr>
        <w:t>Neither does t</w:t>
      </w:r>
      <w:r w:rsidR="00ED5B21">
        <w:rPr>
          <w:rFonts w:ascii="Arial" w:hAnsi="Arial" w:cs="Arial"/>
          <w:sz w:val="24"/>
          <w:szCs w:val="24"/>
        </w:rPr>
        <w:t>he law does not recognise th</w:t>
      </w:r>
      <w:r>
        <w:rPr>
          <w:rFonts w:ascii="Arial" w:hAnsi="Arial" w:cs="Arial"/>
          <w:sz w:val="24"/>
          <w:szCs w:val="24"/>
        </w:rPr>
        <w:t xml:space="preserve">e </w:t>
      </w:r>
      <w:r w:rsidRPr="00AB31FD">
        <w:rPr>
          <w:rFonts w:ascii="Arial" w:hAnsi="Arial" w:cs="Arial"/>
          <w:sz w:val="24"/>
          <w:szCs w:val="24"/>
        </w:rPr>
        <w:t xml:space="preserve">standards contained in the quality of care principles </w:t>
      </w:r>
      <w:r>
        <w:rPr>
          <w:rFonts w:ascii="Arial" w:hAnsi="Arial" w:cs="Arial"/>
          <w:sz w:val="24"/>
          <w:szCs w:val="24"/>
        </w:rPr>
        <w:t>as being i</w:t>
      </w:r>
      <w:r w:rsidRPr="00AB31FD">
        <w:rPr>
          <w:rFonts w:ascii="Arial" w:hAnsi="Arial" w:cs="Arial"/>
          <w:sz w:val="24"/>
          <w:szCs w:val="24"/>
        </w:rPr>
        <w:t xml:space="preserve">ncorporated in the standard of care component of the </w:t>
      </w:r>
      <w:r w:rsidRPr="00AB31FD">
        <w:rPr>
          <w:rFonts w:ascii="Arial" w:hAnsi="Arial" w:cs="Arial"/>
          <w:sz w:val="24"/>
          <w:szCs w:val="24"/>
        </w:rPr>
        <w:lastRenderedPageBreak/>
        <w:t>general law of negligence as they are not viewed as ascribing rights to any other person.</w:t>
      </w:r>
      <w:r>
        <w:rPr>
          <w:rStyle w:val="FootnoteReference"/>
          <w:rFonts w:ascii="Arial" w:hAnsi="Arial" w:cs="Arial"/>
          <w:sz w:val="24"/>
          <w:szCs w:val="24"/>
        </w:rPr>
        <w:footnoteReference w:id="41"/>
      </w:r>
      <w:r w:rsidRPr="00AB31FD">
        <w:rPr>
          <w:rFonts w:ascii="Arial" w:hAnsi="Arial" w:cs="Arial"/>
          <w:sz w:val="24"/>
          <w:szCs w:val="24"/>
        </w:rPr>
        <w:t xml:space="preserve"> </w:t>
      </w:r>
    </w:p>
    <w:p w:rsidR="00B05D92" w:rsidRPr="00AB31FD" w:rsidRDefault="00B05D92" w:rsidP="00B05D92">
      <w:pPr>
        <w:spacing w:line="276" w:lineRule="auto"/>
        <w:ind w:left="720"/>
        <w:rPr>
          <w:rFonts w:ascii="Arial" w:hAnsi="Arial" w:cs="Arial"/>
          <w:sz w:val="24"/>
          <w:szCs w:val="24"/>
        </w:rPr>
      </w:pPr>
      <w:r w:rsidRPr="00AB31FD">
        <w:rPr>
          <w:rFonts w:ascii="Arial" w:hAnsi="Arial" w:cs="Arial"/>
          <w:sz w:val="24"/>
          <w:szCs w:val="24"/>
        </w:rPr>
        <w:t>“</w:t>
      </w:r>
      <w:proofErr w:type="gramStart"/>
      <w:r w:rsidRPr="00AB31FD">
        <w:rPr>
          <w:rFonts w:ascii="Arial" w:hAnsi="Arial" w:cs="Arial"/>
          <w:sz w:val="24"/>
          <w:szCs w:val="24"/>
        </w:rPr>
        <w:t>a</w:t>
      </w:r>
      <w:proofErr w:type="gramEnd"/>
      <w:r w:rsidRPr="00AB31FD">
        <w:rPr>
          <w:rFonts w:ascii="Arial" w:hAnsi="Arial" w:cs="Arial"/>
          <w:sz w:val="24"/>
          <w:szCs w:val="24"/>
        </w:rPr>
        <w:t xml:space="preserve"> standard is not a law that creates a legal duty or creates a right. It merely sets out minimum requirements for a body to retain its licence or to retain Commonwealth funding.” </w:t>
      </w:r>
      <w:r>
        <w:rPr>
          <w:rFonts w:ascii="Arial" w:hAnsi="Arial" w:cs="Arial"/>
          <w:sz w:val="24"/>
          <w:szCs w:val="24"/>
        </w:rPr>
        <w:t xml:space="preserve"> And </w:t>
      </w:r>
      <w:r w:rsidRPr="00AB31FD">
        <w:rPr>
          <w:rFonts w:ascii="Arial" w:hAnsi="Arial" w:cs="Arial"/>
          <w:sz w:val="24"/>
          <w:szCs w:val="24"/>
        </w:rPr>
        <w:t>“it is abundantly clear then, whatever else the law may provide by way of relief to claimants…. It is of little assistance to complain about a breach of standards.”</w:t>
      </w:r>
    </w:p>
    <w:p w:rsidR="00B05D92" w:rsidRDefault="00B05D92" w:rsidP="00B05D92">
      <w:pPr>
        <w:spacing w:line="276" w:lineRule="auto"/>
        <w:rPr>
          <w:rFonts w:ascii="Arial" w:hAnsi="Arial" w:cs="Arial"/>
          <w:sz w:val="24"/>
          <w:szCs w:val="24"/>
        </w:rPr>
      </w:pPr>
    </w:p>
    <w:p w:rsidR="00B05D92" w:rsidRDefault="00B05D92" w:rsidP="00B05D92">
      <w:pPr>
        <w:spacing w:line="276" w:lineRule="auto"/>
        <w:rPr>
          <w:rFonts w:ascii="Arial" w:hAnsi="Arial" w:cs="Arial"/>
          <w:sz w:val="24"/>
          <w:szCs w:val="24"/>
        </w:rPr>
      </w:pPr>
      <w:r>
        <w:rPr>
          <w:rFonts w:ascii="Arial" w:hAnsi="Arial" w:cs="Arial"/>
          <w:sz w:val="24"/>
          <w:szCs w:val="24"/>
        </w:rPr>
        <w:t xml:space="preserve">The law of negligence in </w:t>
      </w:r>
      <w:proofErr w:type="gramStart"/>
      <w:r>
        <w:rPr>
          <w:rFonts w:ascii="Arial" w:hAnsi="Arial" w:cs="Arial"/>
          <w:sz w:val="24"/>
          <w:szCs w:val="24"/>
        </w:rPr>
        <w:t>Victoria  is</w:t>
      </w:r>
      <w:proofErr w:type="gramEnd"/>
      <w:r>
        <w:rPr>
          <w:rFonts w:ascii="Arial" w:hAnsi="Arial" w:cs="Arial"/>
          <w:sz w:val="24"/>
          <w:szCs w:val="24"/>
        </w:rPr>
        <w:t xml:space="preserve"> statutory and could be amended to include recognition of a duty of care towards older  family members and could establish a set of standards</w:t>
      </w:r>
      <w:r w:rsidR="006F2FAF">
        <w:rPr>
          <w:rFonts w:ascii="Arial" w:hAnsi="Arial" w:cs="Arial"/>
          <w:sz w:val="24"/>
          <w:szCs w:val="24"/>
        </w:rPr>
        <w:t xml:space="preserve"> for the purpose of establishing a breach of the duty of care in any case involving an allegation of negligence by a care provider</w:t>
      </w:r>
      <w:r>
        <w:rPr>
          <w:rFonts w:ascii="Arial" w:hAnsi="Arial" w:cs="Arial"/>
          <w:sz w:val="24"/>
          <w:szCs w:val="24"/>
        </w:rPr>
        <w:t>.</w:t>
      </w:r>
    </w:p>
    <w:p w:rsidR="00B05D92" w:rsidRPr="00AB31FD" w:rsidRDefault="00B05D92" w:rsidP="00B05D92">
      <w:pPr>
        <w:spacing w:line="276" w:lineRule="auto"/>
        <w:rPr>
          <w:rFonts w:ascii="Arial" w:hAnsi="Arial" w:cs="Arial"/>
          <w:sz w:val="24"/>
          <w:szCs w:val="24"/>
        </w:rPr>
      </w:pPr>
      <w:r>
        <w:rPr>
          <w:rFonts w:ascii="Arial" w:hAnsi="Arial" w:cs="Arial"/>
          <w:sz w:val="24"/>
          <w:szCs w:val="24"/>
        </w:rPr>
        <w:t xml:space="preserve">  </w:t>
      </w:r>
    </w:p>
    <w:p w:rsidR="00ED5B21" w:rsidRDefault="00ED5B21" w:rsidP="00823382">
      <w:pPr>
        <w:rPr>
          <w:rFonts w:ascii="Arial" w:hAnsi="Arial" w:cs="Arial"/>
          <w:b/>
          <w:sz w:val="24"/>
          <w:szCs w:val="24"/>
        </w:rPr>
      </w:pPr>
      <w:r>
        <w:rPr>
          <w:rFonts w:ascii="Arial" w:hAnsi="Arial" w:cs="Arial"/>
          <w:b/>
          <w:sz w:val="24"/>
          <w:szCs w:val="24"/>
        </w:rPr>
        <w:t>Family Law</w:t>
      </w:r>
    </w:p>
    <w:p w:rsidR="006F2FAF" w:rsidRDefault="006F2FAF" w:rsidP="00823382">
      <w:pPr>
        <w:rPr>
          <w:rFonts w:ascii="Arial" w:hAnsi="Arial" w:cs="Arial"/>
          <w:sz w:val="24"/>
          <w:szCs w:val="24"/>
        </w:rPr>
      </w:pPr>
    </w:p>
    <w:p w:rsidR="00ED5B21" w:rsidRDefault="00B05D92" w:rsidP="00823382">
      <w:pPr>
        <w:rPr>
          <w:rFonts w:ascii="Arial" w:hAnsi="Arial" w:cs="Arial"/>
          <w:sz w:val="24"/>
          <w:szCs w:val="24"/>
        </w:rPr>
      </w:pPr>
      <w:r>
        <w:rPr>
          <w:rFonts w:ascii="Arial" w:hAnsi="Arial" w:cs="Arial"/>
          <w:sz w:val="24"/>
          <w:szCs w:val="24"/>
        </w:rPr>
        <w:t xml:space="preserve">The Family law </w:t>
      </w:r>
      <w:proofErr w:type="gramStart"/>
      <w:r>
        <w:rPr>
          <w:rFonts w:ascii="Arial" w:hAnsi="Arial" w:cs="Arial"/>
          <w:sz w:val="24"/>
          <w:szCs w:val="24"/>
        </w:rPr>
        <w:t xml:space="preserve">Act </w:t>
      </w:r>
      <w:r w:rsidR="006F2FAF">
        <w:rPr>
          <w:rFonts w:ascii="Arial" w:hAnsi="Arial" w:cs="Arial"/>
          <w:sz w:val="24"/>
          <w:szCs w:val="24"/>
        </w:rPr>
        <w:t xml:space="preserve"> does</w:t>
      </w:r>
      <w:proofErr w:type="gramEnd"/>
      <w:r w:rsidR="006F2FAF">
        <w:rPr>
          <w:rFonts w:ascii="Arial" w:hAnsi="Arial" w:cs="Arial"/>
          <w:sz w:val="24"/>
          <w:szCs w:val="24"/>
        </w:rPr>
        <w:t xml:space="preserve"> recognise an obligation of maintenance by  parties to a marriage towards each other and of support of minor children but it does not impose a duty of maintenance towards older parents. </w:t>
      </w:r>
    </w:p>
    <w:p w:rsidR="00ED5B21" w:rsidRDefault="00ED5B21" w:rsidP="00823382">
      <w:pPr>
        <w:rPr>
          <w:rFonts w:ascii="Arial" w:hAnsi="Arial" w:cs="Arial"/>
          <w:b/>
          <w:sz w:val="24"/>
          <w:szCs w:val="24"/>
        </w:rPr>
      </w:pPr>
    </w:p>
    <w:p w:rsidR="00823382" w:rsidRPr="00AB7C34" w:rsidRDefault="006F2FAF" w:rsidP="00823382">
      <w:pPr>
        <w:rPr>
          <w:rFonts w:ascii="Arial" w:hAnsi="Arial" w:cs="Arial"/>
          <w:b/>
          <w:sz w:val="24"/>
          <w:szCs w:val="24"/>
        </w:rPr>
      </w:pPr>
      <w:r>
        <w:rPr>
          <w:rFonts w:ascii="Arial" w:hAnsi="Arial" w:cs="Arial"/>
          <w:b/>
          <w:sz w:val="24"/>
          <w:szCs w:val="24"/>
        </w:rPr>
        <w:t xml:space="preserve">Suggestion   </w:t>
      </w:r>
      <w:proofErr w:type="gramStart"/>
      <w:r>
        <w:rPr>
          <w:rFonts w:ascii="Arial" w:hAnsi="Arial" w:cs="Arial"/>
          <w:b/>
          <w:sz w:val="24"/>
          <w:szCs w:val="24"/>
        </w:rPr>
        <w:t xml:space="preserve">-  </w:t>
      </w:r>
      <w:r w:rsidR="009D614F">
        <w:rPr>
          <w:rFonts w:ascii="Arial" w:hAnsi="Arial" w:cs="Arial"/>
          <w:b/>
          <w:sz w:val="24"/>
          <w:szCs w:val="24"/>
        </w:rPr>
        <w:t>New</w:t>
      </w:r>
      <w:proofErr w:type="gramEnd"/>
      <w:r w:rsidR="009D614F">
        <w:rPr>
          <w:rFonts w:ascii="Arial" w:hAnsi="Arial" w:cs="Arial"/>
          <w:b/>
          <w:sz w:val="24"/>
          <w:szCs w:val="24"/>
        </w:rPr>
        <w:t xml:space="preserve"> laws imposing </w:t>
      </w:r>
      <w:r>
        <w:rPr>
          <w:rFonts w:ascii="Arial" w:hAnsi="Arial" w:cs="Arial"/>
          <w:b/>
          <w:sz w:val="24"/>
          <w:szCs w:val="24"/>
        </w:rPr>
        <w:t>p</w:t>
      </w:r>
      <w:r w:rsidR="00823382" w:rsidRPr="00AB7C34">
        <w:rPr>
          <w:rFonts w:ascii="Arial" w:hAnsi="Arial" w:cs="Arial"/>
          <w:b/>
          <w:sz w:val="24"/>
          <w:szCs w:val="24"/>
        </w:rPr>
        <w:t>ositive obligation</w:t>
      </w:r>
      <w:r>
        <w:rPr>
          <w:rFonts w:ascii="Arial" w:hAnsi="Arial" w:cs="Arial"/>
          <w:b/>
          <w:sz w:val="24"/>
          <w:szCs w:val="24"/>
        </w:rPr>
        <w:t>s</w:t>
      </w:r>
    </w:p>
    <w:p w:rsidR="00823382" w:rsidRDefault="00823382" w:rsidP="00823382">
      <w:pPr>
        <w:rPr>
          <w:rFonts w:ascii="Arial" w:hAnsi="Arial" w:cs="Arial"/>
          <w:sz w:val="24"/>
          <w:szCs w:val="24"/>
        </w:rPr>
      </w:pPr>
    </w:p>
    <w:p w:rsidR="006F2FAF" w:rsidRDefault="006F2FAF" w:rsidP="00823382">
      <w:pPr>
        <w:rPr>
          <w:rFonts w:ascii="Arial" w:hAnsi="Arial" w:cs="Arial"/>
          <w:sz w:val="24"/>
          <w:szCs w:val="24"/>
        </w:rPr>
      </w:pPr>
      <w:r>
        <w:rPr>
          <w:rFonts w:ascii="Arial" w:hAnsi="Arial" w:cs="Arial"/>
          <w:sz w:val="24"/>
          <w:szCs w:val="24"/>
        </w:rPr>
        <w:t>The criminal law and family violence laws concern themselves with prohibiting certain conduct. The family law and the law of Negligence recognise and uphold positive obligations of care but do not thus far extend to positive obligations to maintain and care for older persons.</w:t>
      </w:r>
    </w:p>
    <w:p w:rsidR="006F2FAF" w:rsidRDefault="006F2FAF" w:rsidP="00823382">
      <w:pPr>
        <w:rPr>
          <w:rFonts w:ascii="Arial" w:hAnsi="Arial" w:cs="Arial"/>
          <w:sz w:val="24"/>
          <w:szCs w:val="24"/>
        </w:rPr>
      </w:pPr>
    </w:p>
    <w:p w:rsidR="006F2FAF" w:rsidRDefault="00823382" w:rsidP="00823382">
      <w:pPr>
        <w:rPr>
          <w:rFonts w:ascii="Arial" w:hAnsi="Arial" w:cs="Arial"/>
          <w:sz w:val="24"/>
          <w:szCs w:val="24"/>
        </w:rPr>
      </w:pPr>
      <w:r w:rsidRPr="0099107D">
        <w:rPr>
          <w:rFonts w:ascii="Arial" w:hAnsi="Arial" w:cs="Arial"/>
          <w:sz w:val="24"/>
          <w:szCs w:val="24"/>
        </w:rPr>
        <w:t xml:space="preserve">If government </w:t>
      </w:r>
      <w:r>
        <w:rPr>
          <w:rFonts w:ascii="Arial" w:hAnsi="Arial" w:cs="Arial"/>
          <w:sz w:val="24"/>
          <w:szCs w:val="24"/>
        </w:rPr>
        <w:t xml:space="preserve">is </w:t>
      </w:r>
      <w:r w:rsidRPr="0099107D">
        <w:rPr>
          <w:rFonts w:ascii="Arial" w:hAnsi="Arial" w:cs="Arial"/>
          <w:sz w:val="24"/>
          <w:szCs w:val="24"/>
        </w:rPr>
        <w:t xml:space="preserve">committed to resolving this issue it </w:t>
      </w:r>
      <w:r w:rsidR="009D614F">
        <w:rPr>
          <w:rFonts w:ascii="Arial" w:hAnsi="Arial" w:cs="Arial"/>
          <w:sz w:val="24"/>
          <w:szCs w:val="24"/>
        </w:rPr>
        <w:t xml:space="preserve">should </w:t>
      </w:r>
      <w:r w:rsidRPr="0099107D">
        <w:rPr>
          <w:rFonts w:ascii="Arial" w:hAnsi="Arial" w:cs="Arial"/>
          <w:sz w:val="24"/>
          <w:szCs w:val="24"/>
        </w:rPr>
        <w:t xml:space="preserve">be possible for each state </w:t>
      </w:r>
      <w:r w:rsidR="006F2FAF">
        <w:rPr>
          <w:rFonts w:ascii="Arial" w:hAnsi="Arial" w:cs="Arial"/>
          <w:sz w:val="24"/>
          <w:szCs w:val="24"/>
        </w:rPr>
        <w:t>P</w:t>
      </w:r>
      <w:r>
        <w:rPr>
          <w:rFonts w:ascii="Arial" w:hAnsi="Arial" w:cs="Arial"/>
          <w:sz w:val="24"/>
          <w:szCs w:val="24"/>
        </w:rPr>
        <w:t xml:space="preserve">arliament </w:t>
      </w:r>
      <w:r w:rsidRPr="0099107D">
        <w:rPr>
          <w:rFonts w:ascii="Arial" w:hAnsi="Arial" w:cs="Arial"/>
          <w:sz w:val="24"/>
          <w:szCs w:val="24"/>
        </w:rPr>
        <w:t xml:space="preserve">to introduce </w:t>
      </w:r>
      <w:r w:rsidR="006F2FAF">
        <w:rPr>
          <w:rFonts w:ascii="Arial" w:hAnsi="Arial" w:cs="Arial"/>
          <w:sz w:val="24"/>
          <w:szCs w:val="24"/>
        </w:rPr>
        <w:t xml:space="preserve">legislation </w:t>
      </w:r>
      <w:r w:rsidRPr="0099107D">
        <w:rPr>
          <w:rFonts w:ascii="Arial" w:hAnsi="Arial" w:cs="Arial"/>
          <w:sz w:val="24"/>
          <w:szCs w:val="24"/>
        </w:rPr>
        <w:t xml:space="preserve">that </w:t>
      </w:r>
      <w:r w:rsidR="009D614F">
        <w:rPr>
          <w:rFonts w:ascii="Arial" w:hAnsi="Arial" w:cs="Arial"/>
          <w:sz w:val="24"/>
          <w:szCs w:val="24"/>
        </w:rPr>
        <w:t xml:space="preserve">not only </w:t>
      </w:r>
      <w:r w:rsidRPr="0099107D">
        <w:rPr>
          <w:rFonts w:ascii="Arial" w:hAnsi="Arial" w:cs="Arial"/>
          <w:sz w:val="24"/>
          <w:szCs w:val="24"/>
        </w:rPr>
        <w:t xml:space="preserve">prohibited </w:t>
      </w:r>
      <w:r w:rsidR="009D614F">
        <w:rPr>
          <w:rFonts w:ascii="Arial" w:hAnsi="Arial" w:cs="Arial"/>
          <w:sz w:val="24"/>
          <w:szCs w:val="24"/>
        </w:rPr>
        <w:t xml:space="preserve">certain behaviour </w:t>
      </w:r>
      <w:proofErr w:type="gramStart"/>
      <w:r w:rsidR="009D614F">
        <w:rPr>
          <w:rFonts w:ascii="Arial" w:hAnsi="Arial" w:cs="Arial"/>
          <w:sz w:val="24"/>
          <w:szCs w:val="24"/>
        </w:rPr>
        <w:t xml:space="preserve">but </w:t>
      </w:r>
      <w:r>
        <w:rPr>
          <w:rFonts w:ascii="Arial" w:hAnsi="Arial" w:cs="Arial"/>
          <w:sz w:val="24"/>
          <w:szCs w:val="24"/>
        </w:rPr>
        <w:t xml:space="preserve"> impose</w:t>
      </w:r>
      <w:r w:rsidR="009D614F">
        <w:rPr>
          <w:rFonts w:ascii="Arial" w:hAnsi="Arial" w:cs="Arial"/>
          <w:sz w:val="24"/>
          <w:szCs w:val="24"/>
        </w:rPr>
        <w:t>d</w:t>
      </w:r>
      <w:proofErr w:type="gramEnd"/>
      <w:r>
        <w:rPr>
          <w:rFonts w:ascii="Arial" w:hAnsi="Arial" w:cs="Arial"/>
          <w:sz w:val="24"/>
          <w:szCs w:val="24"/>
        </w:rPr>
        <w:t xml:space="preserve">  an obligation of support and </w:t>
      </w:r>
      <w:r w:rsidRPr="0099107D">
        <w:rPr>
          <w:rFonts w:ascii="Arial" w:hAnsi="Arial" w:cs="Arial"/>
          <w:sz w:val="24"/>
          <w:szCs w:val="24"/>
        </w:rPr>
        <w:t xml:space="preserve"> </w:t>
      </w:r>
      <w:r w:rsidR="006F2FAF">
        <w:rPr>
          <w:rFonts w:ascii="Arial" w:hAnsi="Arial" w:cs="Arial"/>
          <w:sz w:val="24"/>
          <w:szCs w:val="24"/>
        </w:rPr>
        <w:t xml:space="preserve">also </w:t>
      </w:r>
      <w:r w:rsidRPr="0099107D">
        <w:rPr>
          <w:rFonts w:ascii="Arial" w:hAnsi="Arial" w:cs="Arial"/>
          <w:sz w:val="24"/>
          <w:szCs w:val="24"/>
        </w:rPr>
        <w:t>specif</w:t>
      </w:r>
      <w:r w:rsidR="009D614F">
        <w:rPr>
          <w:rFonts w:ascii="Arial" w:hAnsi="Arial" w:cs="Arial"/>
          <w:sz w:val="24"/>
          <w:szCs w:val="24"/>
        </w:rPr>
        <w:t>ied</w:t>
      </w:r>
      <w:r>
        <w:rPr>
          <w:rFonts w:ascii="Arial" w:hAnsi="Arial" w:cs="Arial"/>
          <w:sz w:val="24"/>
          <w:szCs w:val="24"/>
        </w:rPr>
        <w:t xml:space="preserve"> </w:t>
      </w:r>
      <w:r w:rsidR="006F2FAF">
        <w:rPr>
          <w:rFonts w:ascii="Arial" w:hAnsi="Arial" w:cs="Arial"/>
          <w:sz w:val="24"/>
          <w:szCs w:val="24"/>
        </w:rPr>
        <w:t xml:space="preserve">both </w:t>
      </w:r>
      <w:r w:rsidRPr="0099107D">
        <w:rPr>
          <w:rFonts w:ascii="Arial" w:hAnsi="Arial" w:cs="Arial"/>
          <w:sz w:val="24"/>
          <w:szCs w:val="24"/>
        </w:rPr>
        <w:t xml:space="preserve"> the parameters of responsibility</w:t>
      </w:r>
      <w:r w:rsidR="006F2FAF">
        <w:rPr>
          <w:rFonts w:ascii="Arial" w:hAnsi="Arial" w:cs="Arial"/>
          <w:sz w:val="24"/>
          <w:szCs w:val="24"/>
        </w:rPr>
        <w:t xml:space="preserve"> and </w:t>
      </w:r>
      <w:r w:rsidR="006F2FAF" w:rsidRPr="0099107D">
        <w:rPr>
          <w:rFonts w:ascii="Arial" w:hAnsi="Arial" w:cs="Arial"/>
          <w:sz w:val="24"/>
          <w:szCs w:val="24"/>
        </w:rPr>
        <w:t>the standard of care expected</w:t>
      </w:r>
      <w:r w:rsidRPr="0099107D">
        <w:rPr>
          <w:rFonts w:ascii="Arial" w:hAnsi="Arial" w:cs="Arial"/>
          <w:sz w:val="24"/>
          <w:szCs w:val="24"/>
        </w:rPr>
        <w:t>.</w:t>
      </w:r>
      <w:r w:rsidR="009D614F">
        <w:rPr>
          <w:rFonts w:ascii="Arial" w:hAnsi="Arial" w:cs="Arial"/>
          <w:sz w:val="24"/>
          <w:szCs w:val="24"/>
        </w:rPr>
        <w:t xml:space="preserve"> </w:t>
      </w:r>
      <w:r w:rsidR="006F2FAF">
        <w:rPr>
          <w:rFonts w:ascii="Arial" w:hAnsi="Arial" w:cs="Arial"/>
          <w:sz w:val="24"/>
          <w:szCs w:val="24"/>
        </w:rPr>
        <w:t xml:space="preserve"> </w:t>
      </w:r>
      <w:r w:rsidRPr="0099107D">
        <w:rPr>
          <w:rFonts w:ascii="Arial" w:hAnsi="Arial" w:cs="Arial"/>
          <w:sz w:val="24"/>
          <w:szCs w:val="24"/>
        </w:rPr>
        <w:t>In other countries,</w:t>
      </w:r>
      <w:r w:rsidR="006F2FAF">
        <w:rPr>
          <w:rFonts w:ascii="Arial" w:hAnsi="Arial" w:cs="Arial"/>
          <w:sz w:val="24"/>
          <w:szCs w:val="24"/>
        </w:rPr>
        <w:t xml:space="preserve"> such as China</w:t>
      </w:r>
      <w:proofErr w:type="gramStart"/>
      <w:r w:rsidR="006F2FAF">
        <w:rPr>
          <w:rFonts w:ascii="Arial" w:hAnsi="Arial" w:cs="Arial"/>
          <w:sz w:val="24"/>
          <w:szCs w:val="24"/>
        </w:rPr>
        <w:t xml:space="preserve">, </w:t>
      </w:r>
      <w:r w:rsidRPr="0099107D">
        <w:rPr>
          <w:rFonts w:ascii="Arial" w:hAnsi="Arial" w:cs="Arial"/>
          <w:sz w:val="24"/>
          <w:szCs w:val="24"/>
        </w:rPr>
        <w:t xml:space="preserve"> positive</w:t>
      </w:r>
      <w:proofErr w:type="gramEnd"/>
      <w:r w:rsidRPr="0099107D">
        <w:rPr>
          <w:rFonts w:ascii="Arial" w:hAnsi="Arial" w:cs="Arial"/>
          <w:sz w:val="24"/>
          <w:szCs w:val="24"/>
        </w:rPr>
        <w:t xml:space="preserve"> obligations</w:t>
      </w:r>
      <w:r>
        <w:rPr>
          <w:rFonts w:ascii="Arial" w:hAnsi="Arial" w:cs="Arial"/>
          <w:sz w:val="24"/>
          <w:szCs w:val="24"/>
        </w:rPr>
        <w:t xml:space="preserve"> of support </w:t>
      </w:r>
      <w:r w:rsidRPr="0099107D">
        <w:rPr>
          <w:rFonts w:ascii="Arial" w:hAnsi="Arial" w:cs="Arial"/>
          <w:sz w:val="24"/>
          <w:szCs w:val="24"/>
        </w:rPr>
        <w:t xml:space="preserve">have been imposed </w:t>
      </w:r>
      <w:r>
        <w:rPr>
          <w:rFonts w:ascii="Arial" w:hAnsi="Arial" w:cs="Arial"/>
          <w:sz w:val="24"/>
          <w:szCs w:val="24"/>
        </w:rPr>
        <w:t>by law</w:t>
      </w:r>
      <w:r w:rsidR="009D614F">
        <w:rPr>
          <w:rFonts w:ascii="Arial" w:hAnsi="Arial" w:cs="Arial"/>
          <w:sz w:val="24"/>
          <w:szCs w:val="24"/>
        </w:rPr>
        <w:t>.</w:t>
      </w:r>
    </w:p>
    <w:p w:rsidR="006F2FAF" w:rsidRDefault="006F2FAF" w:rsidP="00823382">
      <w:pPr>
        <w:rPr>
          <w:rFonts w:ascii="Arial" w:hAnsi="Arial" w:cs="Arial"/>
          <w:sz w:val="24"/>
          <w:szCs w:val="24"/>
        </w:rPr>
      </w:pPr>
    </w:p>
    <w:p w:rsidR="00823382" w:rsidRPr="0099107D" w:rsidRDefault="009D614F" w:rsidP="00823382">
      <w:pPr>
        <w:rPr>
          <w:rFonts w:ascii="Arial" w:hAnsi="Arial" w:cs="Arial"/>
          <w:sz w:val="24"/>
          <w:szCs w:val="24"/>
        </w:rPr>
      </w:pPr>
      <w:r>
        <w:rPr>
          <w:rFonts w:ascii="Arial" w:hAnsi="Arial" w:cs="Arial"/>
          <w:sz w:val="24"/>
          <w:szCs w:val="24"/>
        </w:rPr>
        <w:t xml:space="preserve">However it must be noted that </w:t>
      </w:r>
      <w:r w:rsidR="006F2FAF">
        <w:rPr>
          <w:rFonts w:ascii="Arial" w:hAnsi="Arial" w:cs="Arial"/>
          <w:sz w:val="24"/>
          <w:szCs w:val="24"/>
        </w:rPr>
        <w:t xml:space="preserve">in those countries, </w:t>
      </w:r>
      <w:proofErr w:type="gramStart"/>
      <w:r>
        <w:rPr>
          <w:rFonts w:ascii="Arial" w:hAnsi="Arial" w:cs="Arial"/>
          <w:sz w:val="24"/>
          <w:szCs w:val="24"/>
        </w:rPr>
        <w:t xml:space="preserve">in </w:t>
      </w:r>
      <w:r w:rsidR="00823382" w:rsidRPr="0099107D">
        <w:rPr>
          <w:rFonts w:ascii="Arial" w:hAnsi="Arial" w:cs="Arial"/>
          <w:sz w:val="24"/>
          <w:szCs w:val="24"/>
        </w:rPr>
        <w:t xml:space="preserve"> some</w:t>
      </w:r>
      <w:proofErr w:type="gramEnd"/>
      <w:r w:rsidR="00823382" w:rsidRPr="0099107D">
        <w:rPr>
          <w:rFonts w:ascii="Arial" w:hAnsi="Arial" w:cs="Arial"/>
          <w:sz w:val="24"/>
          <w:szCs w:val="24"/>
        </w:rPr>
        <w:t xml:space="preserve"> cases </w:t>
      </w:r>
      <w:r w:rsidR="00823382">
        <w:rPr>
          <w:rFonts w:ascii="Arial" w:hAnsi="Arial" w:cs="Arial"/>
          <w:sz w:val="24"/>
          <w:szCs w:val="24"/>
        </w:rPr>
        <w:t xml:space="preserve">such obligations </w:t>
      </w:r>
      <w:r w:rsidR="00823382" w:rsidRPr="0099107D">
        <w:rPr>
          <w:rFonts w:ascii="Arial" w:hAnsi="Arial" w:cs="Arial"/>
          <w:sz w:val="24"/>
          <w:szCs w:val="24"/>
        </w:rPr>
        <w:t xml:space="preserve">have caused financial hardship for families where there may be only one </w:t>
      </w:r>
      <w:r w:rsidR="00823382">
        <w:rPr>
          <w:rFonts w:ascii="Arial" w:hAnsi="Arial" w:cs="Arial"/>
          <w:sz w:val="24"/>
          <w:szCs w:val="24"/>
        </w:rPr>
        <w:t xml:space="preserve">income earner </w:t>
      </w:r>
      <w:r w:rsidR="00823382" w:rsidRPr="0099107D">
        <w:rPr>
          <w:rFonts w:ascii="Arial" w:hAnsi="Arial" w:cs="Arial"/>
          <w:sz w:val="24"/>
          <w:szCs w:val="24"/>
        </w:rPr>
        <w:t xml:space="preserve"> to support four parents</w:t>
      </w:r>
      <w:r w:rsidR="00823382">
        <w:rPr>
          <w:rFonts w:ascii="Arial" w:hAnsi="Arial" w:cs="Arial"/>
          <w:sz w:val="24"/>
          <w:szCs w:val="24"/>
        </w:rPr>
        <w:t xml:space="preserve"> or where </w:t>
      </w:r>
      <w:r w:rsidR="00823382" w:rsidRPr="0099107D">
        <w:rPr>
          <w:rFonts w:ascii="Arial" w:hAnsi="Arial" w:cs="Arial"/>
          <w:sz w:val="24"/>
          <w:szCs w:val="24"/>
        </w:rPr>
        <w:t>breadwinner is well enough to work </w:t>
      </w:r>
      <w:r w:rsidR="00823382">
        <w:rPr>
          <w:rFonts w:ascii="Arial" w:hAnsi="Arial" w:cs="Arial"/>
          <w:sz w:val="24"/>
          <w:szCs w:val="24"/>
        </w:rPr>
        <w:t xml:space="preserve">in order </w:t>
      </w:r>
      <w:r w:rsidR="00823382" w:rsidRPr="0099107D">
        <w:rPr>
          <w:rFonts w:ascii="Arial" w:hAnsi="Arial" w:cs="Arial"/>
          <w:sz w:val="24"/>
          <w:szCs w:val="24"/>
        </w:rPr>
        <w:t xml:space="preserve">to support the </w:t>
      </w:r>
      <w:r w:rsidR="00823382">
        <w:rPr>
          <w:rFonts w:ascii="Arial" w:hAnsi="Arial" w:cs="Arial"/>
          <w:sz w:val="24"/>
          <w:szCs w:val="24"/>
        </w:rPr>
        <w:t xml:space="preserve">older </w:t>
      </w:r>
      <w:r w:rsidR="00823382" w:rsidRPr="0099107D">
        <w:rPr>
          <w:rFonts w:ascii="Arial" w:hAnsi="Arial" w:cs="Arial"/>
          <w:sz w:val="24"/>
          <w:szCs w:val="24"/>
        </w:rPr>
        <w:t xml:space="preserve">parents. </w:t>
      </w:r>
    </w:p>
    <w:p w:rsidR="00823382" w:rsidRPr="0099107D" w:rsidRDefault="00823382" w:rsidP="00823382">
      <w:pPr>
        <w:rPr>
          <w:rFonts w:ascii="Arial" w:hAnsi="Arial" w:cs="Arial"/>
          <w:sz w:val="24"/>
          <w:szCs w:val="24"/>
        </w:rPr>
      </w:pPr>
    </w:p>
    <w:p w:rsidR="00B03F2D" w:rsidRDefault="00B03F2D" w:rsidP="0099107D">
      <w:pPr>
        <w:rPr>
          <w:rFonts w:ascii="Arial" w:hAnsi="Arial" w:cs="Arial"/>
          <w:i/>
          <w:iCs/>
          <w:sz w:val="24"/>
          <w:szCs w:val="24"/>
          <w:u w:val="single"/>
        </w:rPr>
      </w:pPr>
    </w:p>
    <w:p w:rsidR="0099107D" w:rsidRPr="0099107D" w:rsidRDefault="0099107D" w:rsidP="0099107D">
      <w:pPr>
        <w:rPr>
          <w:rFonts w:ascii="Arial" w:hAnsi="Arial" w:cs="Arial"/>
          <w:i/>
          <w:iCs/>
          <w:sz w:val="24"/>
          <w:szCs w:val="24"/>
          <w:u w:val="single"/>
        </w:rPr>
      </w:pPr>
      <w:r w:rsidRPr="0099107D">
        <w:rPr>
          <w:rFonts w:ascii="Arial" w:hAnsi="Arial" w:cs="Arial"/>
          <w:i/>
          <w:iCs/>
          <w:sz w:val="24"/>
          <w:szCs w:val="24"/>
          <w:u w:val="single"/>
        </w:rPr>
        <w:t xml:space="preserve">Question 45 </w:t>
      </w:r>
      <w:r w:rsidR="00B05D92">
        <w:rPr>
          <w:rFonts w:ascii="Arial" w:hAnsi="Arial" w:cs="Arial"/>
          <w:i/>
          <w:iCs/>
          <w:sz w:val="24"/>
          <w:szCs w:val="24"/>
          <w:u w:val="single"/>
        </w:rPr>
        <w:tab/>
      </w:r>
      <w:r w:rsidR="00B05D92">
        <w:rPr>
          <w:rFonts w:ascii="Arial" w:hAnsi="Arial" w:cs="Arial"/>
          <w:i/>
          <w:iCs/>
          <w:sz w:val="24"/>
          <w:szCs w:val="24"/>
          <w:u w:val="single"/>
        </w:rPr>
        <w:tab/>
      </w:r>
      <w:r w:rsidRPr="0099107D">
        <w:rPr>
          <w:rFonts w:ascii="Arial" w:hAnsi="Arial" w:cs="Arial"/>
          <w:i/>
          <w:iCs/>
          <w:sz w:val="24"/>
          <w:szCs w:val="24"/>
          <w:u w:val="single"/>
        </w:rPr>
        <w:t xml:space="preserve"> Mandatory Reporting</w:t>
      </w:r>
    </w:p>
    <w:p w:rsidR="009D614F" w:rsidRDefault="009D614F" w:rsidP="0099107D">
      <w:pPr>
        <w:rPr>
          <w:rFonts w:ascii="Arial" w:hAnsi="Arial" w:cs="Arial"/>
          <w:sz w:val="24"/>
          <w:szCs w:val="24"/>
        </w:rPr>
      </w:pPr>
    </w:p>
    <w:p w:rsidR="009D614F" w:rsidRDefault="009D614F" w:rsidP="0099107D">
      <w:pPr>
        <w:rPr>
          <w:rFonts w:ascii="Arial" w:hAnsi="Arial" w:cs="Arial"/>
          <w:sz w:val="24"/>
          <w:szCs w:val="24"/>
        </w:rPr>
      </w:pPr>
      <w:r w:rsidRPr="0099107D">
        <w:rPr>
          <w:rFonts w:ascii="Arial" w:hAnsi="Arial" w:cs="Arial"/>
          <w:sz w:val="24"/>
          <w:szCs w:val="24"/>
        </w:rPr>
        <w:t>In 200</w:t>
      </w:r>
      <w:r>
        <w:rPr>
          <w:rFonts w:ascii="Arial" w:hAnsi="Arial" w:cs="Arial"/>
          <w:sz w:val="24"/>
          <w:szCs w:val="24"/>
        </w:rPr>
        <w:t>5</w:t>
      </w:r>
      <w:r w:rsidRPr="0099107D">
        <w:rPr>
          <w:rFonts w:ascii="Arial" w:hAnsi="Arial" w:cs="Arial"/>
          <w:sz w:val="24"/>
          <w:szCs w:val="24"/>
        </w:rPr>
        <w:t xml:space="preserve"> </w:t>
      </w:r>
      <w:r>
        <w:rPr>
          <w:rFonts w:ascii="Arial" w:hAnsi="Arial" w:cs="Arial"/>
          <w:sz w:val="24"/>
          <w:szCs w:val="24"/>
        </w:rPr>
        <w:t xml:space="preserve">when the </w:t>
      </w:r>
      <w:r w:rsidRPr="0099107D">
        <w:rPr>
          <w:rFonts w:ascii="Arial" w:hAnsi="Arial" w:cs="Arial"/>
          <w:sz w:val="24"/>
          <w:szCs w:val="24"/>
        </w:rPr>
        <w:t>Victoria</w:t>
      </w:r>
      <w:r>
        <w:rPr>
          <w:rFonts w:ascii="Arial" w:hAnsi="Arial" w:cs="Arial"/>
          <w:sz w:val="24"/>
          <w:szCs w:val="24"/>
        </w:rPr>
        <w:t xml:space="preserve">n government </w:t>
      </w:r>
      <w:r w:rsidRPr="0099107D">
        <w:rPr>
          <w:rFonts w:ascii="Arial" w:hAnsi="Arial" w:cs="Arial"/>
          <w:sz w:val="24"/>
          <w:szCs w:val="24"/>
        </w:rPr>
        <w:t xml:space="preserve"> </w:t>
      </w:r>
      <w:r>
        <w:rPr>
          <w:rFonts w:ascii="Arial" w:hAnsi="Arial" w:cs="Arial"/>
          <w:sz w:val="24"/>
          <w:szCs w:val="24"/>
        </w:rPr>
        <w:t xml:space="preserve">released the </w:t>
      </w:r>
      <w:r w:rsidRPr="00693762">
        <w:rPr>
          <w:rFonts w:ascii="Arial" w:hAnsi="Arial" w:cs="Arial"/>
          <w:i/>
          <w:sz w:val="24"/>
          <w:szCs w:val="24"/>
        </w:rPr>
        <w:t>Strengthening Victoria’s Response to Elder Abuse: Report of the Elder Abuse Prevention Project report</w:t>
      </w:r>
      <w:r w:rsidRPr="00693762">
        <w:rPr>
          <w:rFonts w:ascii="Arial" w:hAnsi="Arial" w:cs="Arial"/>
          <w:sz w:val="24"/>
          <w:szCs w:val="24"/>
        </w:rPr>
        <w:t>,</w:t>
      </w:r>
      <w:r w:rsidR="00FF35FA">
        <w:rPr>
          <w:rFonts w:ascii="Arial" w:hAnsi="Arial" w:cs="Arial"/>
          <w:sz w:val="24"/>
          <w:szCs w:val="24"/>
        </w:rPr>
        <w:t xml:space="preserve"> consideration </w:t>
      </w:r>
      <w:r w:rsidR="0099107D" w:rsidRPr="0099107D">
        <w:rPr>
          <w:rFonts w:ascii="Arial" w:hAnsi="Arial" w:cs="Arial"/>
          <w:sz w:val="24"/>
          <w:szCs w:val="24"/>
        </w:rPr>
        <w:t xml:space="preserve"> was given to the implementation of a mandatory reporting </w:t>
      </w:r>
      <w:r w:rsidR="00FF35FA">
        <w:rPr>
          <w:rFonts w:ascii="Arial" w:hAnsi="Arial" w:cs="Arial"/>
          <w:sz w:val="24"/>
          <w:szCs w:val="24"/>
        </w:rPr>
        <w:t xml:space="preserve">regime similar to that imposing obligations to report on </w:t>
      </w:r>
      <w:r w:rsidR="0099107D" w:rsidRPr="0099107D">
        <w:rPr>
          <w:rFonts w:ascii="Arial" w:hAnsi="Arial" w:cs="Arial"/>
          <w:sz w:val="24"/>
          <w:szCs w:val="24"/>
        </w:rPr>
        <w:t>certain professions mandated to report known or suspected abuse</w:t>
      </w:r>
      <w:r w:rsidR="00FF35FA">
        <w:rPr>
          <w:rFonts w:ascii="Arial" w:hAnsi="Arial" w:cs="Arial"/>
          <w:sz w:val="24"/>
          <w:szCs w:val="24"/>
        </w:rPr>
        <w:t xml:space="preserve"> of children</w:t>
      </w:r>
      <w:r w:rsidR="0099107D" w:rsidRPr="0099107D">
        <w:rPr>
          <w:rFonts w:ascii="Arial" w:hAnsi="Arial" w:cs="Arial"/>
          <w:sz w:val="24"/>
          <w:szCs w:val="24"/>
        </w:rPr>
        <w:t xml:space="preserve">. </w:t>
      </w:r>
    </w:p>
    <w:p w:rsidR="009D614F" w:rsidRDefault="009D614F" w:rsidP="0099107D">
      <w:pPr>
        <w:rPr>
          <w:rFonts w:ascii="Arial" w:hAnsi="Arial" w:cs="Arial"/>
          <w:sz w:val="24"/>
          <w:szCs w:val="24"/>
        </w:rPr>
      </w:pPr>
    </w:p>
    <w:p w:rsidR="0099107D" w:rsidRPr="0099107D" w:rsidRDefault="00FF35FA" w:rsidP="0099107D">
      <w:pPr>
        <w:rPr>
          <w:rFonts w:ascii="Arial" w:hAnsi="Arial" w:cs="Arial"/>
          <w:i/>
          <w:iCs/>
          <w:sz w:val="24"/>
          <w:szCs w:val="24"/>
          <w:u w:val="single"/>
        </w:rPr>
      </w:pPr>
      <w:r>
        <w:rPr>
          <w:rFonts w:ascii="Arial" w:hAnsi="Arial" w:cs="Arial"/>
          <w:sz w:val="24"/>
          <w:szCs w:val="24"/>
        </w:rPr>
        <w:lastRenderedPageBreak/>
        <w:t>However, i</w:t>
      </w:r>
      <w:r w:rsidR="0099107D" w:rsidRPr="0099107D">
        <w:rPr>
          <w:rFonts w:ascii="Arial" w:hAnsi="Arial" w:cs="Arial"/>
          <w:sz w:val="24"/>
          <w:szCs w:val="24"/>
        </w:rPr>
        <w:t xml:space="preserve">t was considered at the time that this represented an unjustified abridgement of the human rights of the older person who were not to be treated as a child and </w:t>
      </w:r>
      <w:proofErr w:type="gramStart"/>
      <w:r w:rsidR="0099107D" w:rsidRPr="0099107D">
        <w:rPr>
          <w:rFonts w:ascii="Arial" w:hAnsi="Arial" w:cs="Arial"/>
          <w:sz w:val="24"/>
          <w:szCs w:val="24"/>
        </w:rPr>
        <w:t>whose</w:t>
      </w:r>
      <w:proofErr w:type="gramEnd"/>
      <w:r w:rsidR="0099107D" w:rsidRPr="0099107D">
        <w:rPr>
          <w:rFonts w:ascii="Arial" w:hAnsi="Arial" w:cs="Arial"/>
          <w:sz w:val="24"/>
          <w:szCs w:val="24"/>
        </w:rPr>
        <w:t xml:space="preserve"> </w:t>
      </w:r>
      <w:r>
        <w:rPr>
          <w:rFonts w:ascii="Arial" w:hAnsi="Arial" w:cs="Arial"/>
          <w:sz w:val="24"/>
          <w:szCs w:val="24"/>
        </w:rPr>
        <w:t xml:space="preserve">asserted their </w:t>
      </w:r>
      <w:r w:rsidR="0099107D" w:rsidRPr="0099107D">
        <w:rPr>
          <w:rFonts w:ascii="Arial" w:hAnsi="Arial" w:cs="Arial"/>
          <w:sz w:val="24"/>
          <w:szCs w:val="24"/>
        </w:rPr>
        <w:t>independent agency</w:t>
      </w:r>
      <w:r>
        <w:rPr>
          <w:rFonts w:ascii="Arial" w:hAnsi="Arial" w:cs="Arial"/>
          <w:sz w:val="24"/>
          <w:szCs w:val="24"/>
        </w:rPr>
        <w:t>.</w:t>
      </w:r>
    </w:p>
    <w:p w:rsidR="0099107D" w:rsidRPr="0099107D" w:rsidRDefault="0099107D" w:rsidP="0099107D">
      <w:pPr>
        <w:rPr>
          <w:rFonts w:ascii="Arial" w:hAnsi="Arial" w:cs="Arial"/>
          <w:i/>
          <w:iCs/>
          <w:sz w:val="24"/>
          <w:szCs w:val="24"/>
          <w:u w:val="single"/>
        </w:rPr>
      </w:pPr>
    </w:p>
    <w:p w:rsidR="0099107D" w:rsidRPr="0099107D" w:rsidRDefault="00FF35FA" w:rsidP="0099107D">
      <w:pPr>
        <w:rPr>
          <w:rFonts w:ascii="Arial" w:hAnsi="Arial" w:cs="Arial"/>
          <w:sz w:val="24"/>
          <w:szCs w:val="24"/>
        </w:rPr>
      </w:pPr>
      <w:r>
        <w:rPr>
          <w:rFonts w:ascii="Arial" w:hAnsi="Arial" w:cs="Arial"/>
          <w:sz w:val="24"/>
          <w:szCs w:val="24"/>
        </w:rPr>
        <w:t xml:space="preserve">The release of the elder abuse prevention strategy adopted and promulgated the view that legal </w:t>
      </w:r>
      <w:r w:rsidR="0099107D" w:rsidRPr="0099107D">
        <w:rPr>
          <w:rFonts w:ascii="Arial" w:hAnsi="Arial" w:cs="Arial"/>
          <w:sz w:val="24"/>
          <w:szCs w:val="24"/>
        </w:rPr>
        <w:t>Practitioner</w:t>
      </w:r>
      <w:r>
        <w:rPr>
          <w:rFonts w:ascii="Arial" w:hAnsi="Arial" w:cs="Arial"/>
          <w:sz w:val="24"/>
          <w:szCs w:val="24"/>
        </w:rPr>
        <w:t>s be</w:t>
      </w:r>
      <w:r w:rsidR="0099107D" w:rsidRPr="0099107D">
        <w:rPr>
          <w:rFonts w:ascii="Arial" w:hAnsi="Arial" w:cs="Arial"/>
          <w:sz w:val="24"/>
          <w:szCs w:val="24"/>
        </w:rPr>
        <w:t xml:space="preserve"> encourage</w:t>
      </w:r>
      <w:r>
        <w:rPr>
          <w:rFonts w:ascii="Arial" w:hAnsi="Arial" w:cs="Arial"/>
          <w:sz w:val="24"/>
          <w:szCs w:val="24"/>
        </w:rPr>
        <w:t>d</w:t>
      </w:r>
      <w:r w:rsidR="0099107D" w:rsidRPr="0099107D">
        <w:rPr>
          <w:rFonts w:ascii="Arial" w:hAnsi="Arial" w:cs="Arial"/>
          <w:sz w:val="24"/>
          <w:szCs w:val="24"/>
        </w:rPr>
        <w:t xml:space="preserve"> to use Family Violence Protection Legislation </w:t>
      </w:r>
      <w:r>
        <w:rPr>
          <w:rFonts w:ascii="Arial" w:hAnsi="Arial" w:cs="Arial"/>
          <w:sz w:val="24"/>
          <w:szCs w:val="24"/>
        </w:rPr>
        <w:t>to assist older people to address elder abuse</w:t>
      </w:r>
      <w:proofErr w:type="gramStart"/>
      <w:r>
        <w:rPr>
          <w:rFonts w:ascii="Arial" w:hAnsi="Arial" w:cs="Arial"/>
          <w:sz w:val="24"/>
          <w:szCs w:val="24"/>
        </w:rPr>
        <w:t>.</w:t>
      </w:r>
      <w:r w:rsidR="0099107D" w:rsidRPr="0099107D">
        <w:rPr>
          <w:rFonts w:ascii="Arial" w:hAnsi="Arial" w:cs="Arial"/>
          <w:sz w:val="24"/>
          <w:szCs w:val="24"/>
        </w:rPr>
        <w:t>.</w:t>
      </w:r>
      <w:proofErr w:type="gramEnd"/>
      <w:r w:rsidR="0099107D" w:rsidRPr="0099107D">
        <w:rPr>
          <w:rFonts w:ascii="Arial" w:hAnsi="Arial" w:cs="Arial"/>
          <w:sz w:val="24"/>
          <w:szCs w:val="24"/>
        </w:rPr>
        <w:t xml:space="preserve"> </w:t>
      </w:r>
    </w:p>
    <w:p w:rsidR="0099107D" w:rsidRPr="0099107D" w:rsidRDefault="0099107D" w:rsidP="0099107D">
      <w:pPr>
        <w:rPr>
          <w:rFonts w:ascii="Arial" w:hAnsi="Arial" w:cs="Arial"/>
          <w:sz w:val="24"/>
          <w:szCs w:val="24"/>
        </w:rPr>
      </w:pPr>
    </w:p>
    <w:p w:rsidR="00FF35FA" w:rsidRDefault="0099107D" w:rsidP="0099107D">
      <w:pPr>
        <w:rPr>
          <w:rFonts w:ascii="Arial" w:hAnsi="Arial" w:cs="Arial"/>
          <w:sz w:val="24"/>
          <w:szCs w:val="24"/>
        </w:rPr>
      </w:pPr>
      <w:r w:rsidRPr="0099107D">
        <w:rPr>
          <w:rFonts w:ascii="Arial" w:hAnsi="Arial" w:cs="Arial"/>
          <w:sz w:val="24"/>
          <w:szCs w:val="24"/>
        </w:rPr>
        <w:t xml:space="preserve">Empirical evidence suggests that this </w:t>
      </w:r>
      <w:r w:rsidR="00FF35FA">
        <w:rPr>
          <w:rFonts w:ascii="Arial" w:hAnsi="Arial" w:cs="Arial"/>
          <w:sz w:val="24"/>
          <w:szCs w:val="24"/>
        </w:rPr>
        <w:t xml:space="preserve">approach has been unsuccessful, </w:t>
      </w:r>
      <w:proofErr w:type="gramStart"/>
      <w:r w:rsidR="00FF35FA">
        <w:rPr>
          <w:rFonts w:ascii="Arial" w:hAnsi="Arial" w:cs="Arial"/>
          <w:sz w:val="24"/>
          <w:szCs w:val="24"/>
        </w:rPr>
        <w:t xml:space="preserve">with </w:t>
      </w:r>
      <w:r w:rsidRPr="0099107D">
        <w:rPr>
          <w:rFonts w:ascii="Arial" w:hAnsi="Arial" w:cs="Arial"/>
          <w:sz w:val="24"/>
          <w:szCs w:val="24"/>
        </w:rPr>
        <w:t xml:space="preserve"> Magistrates</w:t>
      </w:r>
      <w:proofErr w:type="gramEnd"/>
      <w:r w:rsidRPr="0099107D">
        <w:rPr>
          <w:rFonts w:ascii="Arial" w:hAnsi="Arial" w:cs="Arial"/>
          <w:sz w:val="24"/>
          <w:szCs w:val="24"/>
        </w:rPr>
        <w:t xml:space="preserve"> reluctant to grant intervention orders in cases that  involve </w:t>
      </w:r>
      <w:r w:rsidR="00FF35FA">
        <w:rPr>
          <w:rFonts w:ascii="Arial" w:hAnsi="Arial" w:cs="Arial"/>
          <w:sz w:val="24"/>
          <w:szCs w:val="24"/>
        </w:rPr>
        <w:t xml:space="preserve">neither </w:t>
      </w:r>
      <w:r w:rsidRPr="0099107D">
        <w:rPr>
          <w:rFonts w:ascii="Arial" w:hAnsi="Arial" w:cs="Arial"/>
          <w:sz w:val="24"/>
          <w:szCs w:val="24"/>
        </w:rPr>
        <w:t xml:space="preserve">young </w:t>
      </w:r>
      <w:r w:rsidR="00FF35FA">
        <w:rPr>
          <w:rFonts w:ascii="Arial" w:hAnsi="Arial" w:cs="Arial"/>
          <w:sz w:val="24"/>
          <w:szCs w:val="24"/>
        </w:rPr>
        <w:t>women</w:t>
      </w:r>
      <w:r w:rsidRPr="0099107D">
        <w:rPr>
          <w:rFonts w:ascii="Arial" w:hAnsi="Arial" w:cs="Arial"/>
          <w:sz w:val="24"/>
          <w:szCs w:val="24"/>
        </w:rPr>
        <w:t xml:space="preserve"> with </w:t>
      </w:r>
      <w:r w:rsidR="00FF35FA">
        <w:rPr>
          <w:rFonts w:ascii="Arial" w:hAnsi="Arial" w:cs="Arial"/>
          <w:sz w:val="24"/>
          <w:szCs w:val="24"/>
        </w:rPr>
        <w:t xml:space="preserve">children </w:t>
      </w:r>
      <w:r w:rsidRPr="0099107D">
        <w:rPr>
          <w:rFonts w:ascii="Arial" w:hAnsi="Arial" w:cs="Arial"/>
          <w:sz w:val="24"/>
          <w:szCs w:val="24"/>
        </w:rPr>
        <w:t xml:space="preserve"> or intimate partners</w:t>
      </w:r>
      <w:r w:rsidR="00FF35FA">
        <w:rPr>
          <w:rFonts w:ascii="Arial" w:hAnsi="Arial" w:cs="Arial"/>
          <w:sz w:val="24"/>
          <w:szCs w:val="24"/>
        </w:rPr>
        <w:t>. There is a</w:t>
      </w:r>
      <w:r w:rsidRPr="0099107D">
        <w:rPr>
          <w:rFonts w:ascii="Arial" w:hAnsi="Arial" w:cs="Arial"/>
          <w:sz w:val="24"/>
          <w:szCs w:val="24"/>
        </w:rPr>
        <w:t xml:space="preserve"> general lack of understanding of the way in which family violence manifests itself amongst older people</w:t>
      </w:r>
      <w:r w:rsidR="00FF35FA">
        <w:rPr>
          <w:rFonts w:ascii="Arial" w:hAnsi="Arial" w:cs="Arial"/>
          <w:sz w:val="24"/>
          <w:szCs w:val="24"/>
        </w:rPr>
        <w:t xml:space="preserve"> such as the nuanced </w:t>
      </w:r>
      <w:r w:rsidRPr="0099107D">
        <w:rPr>
          <w:rFonts w:ascii="Arial" w:hAnsi="Arial" w:cs="Arial"/>
          <w:sz w:val="24"/>
          <w:szCs w:val="24"/>
        </w:rPr>
        <w:t>social isolation and psychological abuse often linked with financial abuse</w:t>
      </w:r>
      <w:r w:rsidR="00FF35FA">
        <w:rPr>
          <w:rFonts w:ascii="Arial" w:hAnsi="Arial" w:cs="Arial"/>
          <w:sz w:val="24"/>
          <w:szCs w:val="24"/>
        </w:rPr>
        <w:t xml:space="preserve"> and experienced at the same time</w:t>
      </w:r>
      <w:r w:rsidRPr="0099107D">
        <w:rPr>
          <w:rFonts w:ascii="Arial" w:hAnsi="Arial" w:cs="Arial"/>
          <w:sz w:val="24"/>
          <w:szCs w:val="24"/>
        </w:rPr>
        <w:t>.</w:t>
      </w:r>
    </w:p>
    <w:p w:rsidR="00FF35FA" w:rsidRDefault="00FF35FA" w:rsidP="0099107D">
      <w:pPr>
        <w:rPr>
          <w:rFonts w:ascii="Arial" w:hAnsi="Arial" w:cs="Arial"/>
          <w:sz w:val="24"/>
          <w:szCs w:val="24"/>
        </w:rPr>
      </w:pPr>
    </w:p>
    <w:p w:rsidR="001441C0" w:rsidRDefault="001441C0" w:rsidP="0099107D">
      <w:pPr>
        <w:rPr>
          <w:rFonts w:ascii="Arial" w:hAnsi="Arial" w:cs="Arial"/>
          <w:sz w:val="24"/>
          <w:szCs w:val="24"/>
        </w:rPr>
      </w:pPr>
      <w:r>
        <w:rPr>
          <w:rFonts w:ascii="Arial" w:hAnsi="Arial" w:cs="Arial"/>
          <w:sz w:val="24"/>
          <w:szCs w:val="24"/>
        </w:rPr>
        <w:t xml:space="preserve">We are moving into an </w:t>
      </w:r>
      <w:r w:rsidR="0099107D" w:rsidRPr="0099107D">
        <w:rPr>
          <w:rFonts w:ascii="Arial" w:hAnsi="Arial" w:cs="Arial"/>
          <w:sz w:val="24"/>
          <w:szCs w:val="24"/>
        </w:rPr>
        <w:t xml:space="preserve">era </w:t>
      </w:r>
      <w:r>
        <w:rPr>
          <w:rFonts w:ascii="Arial" w:hAnsi="Arial" w:cs="Arial"/>
          <w:sz w:val="24"/>
          <w:szCs w:val="24"/>
        </w:rPr>
        <w:t>where older persons comprise a larger section of the community and so it follows that a proportion of those will be vulnerable to abuse. At the same time</w:t>
      </w:r>
      <w:r w:rsidR="0099107D" w:rsidRPr="0099107D">
        <w:rPr>
          <w:rFonts w:ascii="Arial" w:hAnsi="Arial" w:cs="Arial"/>
          <w:sz w:val="24"/>
          <w:szCs w:val="24"/>
        </w:rPr>
        <w:t xml:space="preserve"> </w:t>
      </w:r>
      <w:r>
        <w:rPr>
          <w:rFonts w:ascii="Arial" w:hAnsi="Arial" w:cs="Arial"/>
          <w:sz w:val="24"/>
          <w:szCs w:val="24"/>
        </w:rPr>
        <w:t xml:space="preserve">government aged care policy is committed to the promotion of consumer directed care provided to those people </w:t>
      </w:r>
      <w:r w:rsidR="0099107D" w:rsidRPr="0099107D">
        <w:rPr>
          <w:rFonts w:ascii="Arial" w:hAnsi="Arial" w:cs="Arial"/>
          <w:sz w:val="24"/>
          <w:szCs w:val="24"/>
        </w:rPr>
        <w:t>in their own homes</w:t>
      </w:r>
      <w:r>
        <w:rPr>
          <w:rFonts w:ascii="Arial" w:hAnsi="Arial" w:cs="Arial"/>
          <w:sz w:val="24"/>
          <w:szCs w:val="24"/>
        </w:rPr>
        <w:t xml:space="preserve">. </w:t>
      </w:r>
    </w:p>
    <w:p w:rsidR="001441C0" w:rsidRDefault="001441C0" w:rsidP="0099107D">
      <w:pPr>
        <w:rPr>
          <w:rFonts w:ascii="Arial" w:hAnsi="Arial" w:cs="Arial"/>
          <w:sz w:val="24"/>
          <w:szCs w:val="24"/>
        </w:rPr>
      </w:pPr>
    </w:p>
    <w:p w:rsidR="001441C0" w:rsidRDefault="001441C0" w:rsidP="0099107D">
      <w:pPr>
        <w:rPr>
          <w:rFonts w:ascii="Arial" w:hAnsi="Arial" w:cs="Arial"/>
          <w:sz w:val="24"/>
          <w:szCs w:val="24"/>
        </w:rPr>
      </w:pPr>
      <w:r>
        <w:rPr>
          <w:rFonts w:ascii="Arial" w:hAnsi="Arial" w:cs="Arial"/>
          <w:sz w:val="24"/>
          <w:szCs w:val="24"/>
        </w:rPr>
        <w:t xml:space="preserve">In those </w:t>
      </w:r>
      <w:r w:rsidR="0099107D" w:rsidRPr="0099107D">
        <w:rPr>
          <w:rFonts w:ascii="Arial" w:hAnsi="Arial" w:cs="Arial"/>
          <w:sz w:val="24"/>
          <w:szCs w:val="24"/>
        </w:rPr>
        <w:t xml:space="preserve">circumstances </w:t>
      </w:r>
      <w:r>
        <w:rPr>
          <w:rFonts w:ascii="Arial" w:hAnsi="Arial" w:cs="Arial"/>
          <w:sz w:val="24"/>
          <w:szCs w:val="24"/>
        </w:rPr>
        <w:t xml:space="preserve">older people </w:t>
      </w:r>
      <w:r w:rsidR="0099107D" w:rsidRPr="0099107D">
        <w:rPr>
          <w:rFonts w:ascii="Arial" w:hAnsi="Arial" w:cs="Arial"/>
          <w:sz w:val="24"/>
          <w:szCs w:val="24"/>
        </w:rPr>
        <w:t>may be unaware of their rights or unable to assert their rights</w:t>
      </w:r>
      <w:r w:rsidR="00FF35FA">
        <w:rPr>
          <w:rFonts w:ascii="Arial" w:hAnsi="Arial" w:cs="Arial"/>
          <w:sz w:val="24"/>
          <w:szCs w:val="24"/>
        </w:rPr>
        <w:t>.</w:t>
      </w:r>
      <w:r>
        <w:rPr>
          <w:rFonts w:ascii="Arial" w:hAnsi="Arial" w:cs="Arial"/>
          <w:sz w:val="24"/>
          <w:szCs w:val="24"/>
        </w:rPr>
        <w:t xml:space="preserve"> We must take steps now to ensure that they will be safe in their own homes. </w:t>
      </w:r>
    </w:p>
    <w:p w:rsidR="00FF35FA" w:rsidRDefault="00FF35FA" w:rsidP="0099107D">
      <w:pPr>
        <w:rPr>
          <w:rFonts w:ascii="Arial" w:hAnsi="Arial" w:cs="Arial"/>
          <w:sz w:val="24"/>
          <w:szCs w:val="24"/>
        </w:rPr>
      </w:pPr>
    </w:p>
    <w:p w:rsidR="0099107D" w:rsidRDefault="001441C0" w:rsidP="0099107D">
      <w:pPr>
        <w:rPr>
          <w:rFonts w:ascii="Arial" w:hAnsi="Arial" w:cs="Arial"/>
          <w:sz w:val="24"/>
          <w:szCs w:val="24"/>
        </w:rPr>
      </w:pPr>
      <w:r>
        <w:rPr>
          <w:rFonts w:ascii="Arial" w:hAnsi="Arial" w:cs="Arial"/>
          <w:sz w:val="24"/>
          <w:szCs w:val="24"/>
        </w:rPr>
        <w:t>In the writer</w:t>
      </w:r>
      <w:r w:rsidR="00821907">
        <w:rPr>
          <w:rFonts w:ascii="Arial" w:hAnsi="Arial" w:cs="Arial"/>
          <w:sz w:val="24"/>
          <w:szCs w:val="24"/>
        </w:rPr>
        <w:t>’</w:t>
      </w:r>
      <w:r>
        <w:rPr>
          <w:rFonts w:ascii="Arial" w:hAnsi="Arial" w:cs="Arial"/>
          <w:sz w:val="24"/>
          <w:szCs w:val="24"/>
        </w:rPr>
        <w:t xml:space="preserve">s respectful submission </w:t>
      </w:r>
      <w:r w:rsidR="0099107D" w:rsidRPr="0099107D">
        <w:rPr>
          <w:rFonts w:ascii="Arial" w:hAnsi="Arial" w:cs="Arial"/>
          <w:sz w:val="24"/>
          <w:szCs w:val="24"/>
        </w:rPr>
        <w:t xml:space="preserve">we’ve had </w:t>
      </w:r>
      <w:r w:rsidR="00FF35FA">
        <w:rPr>
          <w:rFonts w:ascii="Arial" w:hAnsi="Arial" w:cs="Arial"/>
          <w:sz w:val="24"/>
          <w:szCs w:val="24"/>
        </w:rPr>
        <w:t xml:space="preserve">almost </w:t>
      </w:r>
      <w:r w:rsidR="0099107D" w:rsidRPr="0099107D">
        <w:rPr>
          <w:rFonts w:ascii="Arial" w:hAnsi="Arial" w:cs="Arial"/>
          <w:sz w:val="24"/>
          <w:szCs w:val="24"/>
        </w:rPr>
        <w:t xml:space="preserve">ten years of the Family Violence </w:t>
      </w:r>
      <w:r w:rsidR="00FF35FA">
        <w:rPr>
          <w:rFonts w:ascii="Arial" w:hAnsi="Arial" w:cs="Arial"/>
          <w:sz w:val="24"/>
          <w:szCs w:val="24"/>
        </w:rPr>
        <w:t>model which has failed older person</w:t>
      </w:r>
      <w:r>
        <w:rPr>
          <w:rFonts w:ascii="Arial" w:hAnsi="Arial" w:cs="Arial"/>
          <w:sz w:val="24"/>
          <w:szCs w:val="24"/>
        </w:rPr>
        <w:t>s</w:t>
      </w:r>
      <w:r w:rsidR="00FF35FA">
        <w:rPr>
          <w:rFonts w:ascii="Arial" w:hAnsi="Arial" w:cs="Arial"/>
          <w:sz w:val="24"/>
          <w:szCs w:val="24"/>
        </w:rPr>
        <w:t>. It wo</w:t>
      </w:r>
      <w:r w:rsidR="0099107D" w:rsidRPr="0099107D">
        <w:rPr>
          <w:rFonts w:ascii="Arial" w:hAnsi="Arial" w:cs="Arial"/>
          <w:sz w:val="24"/>
          <w:szCs w:val="24"/>
        </w:rPr>
        <w:t xml:space="preserve">uld seem an opportune time for the issue of mandatory reporting to be investigated and </w:t>
      </w:r>
      <w:r>
        <w:rPr>
          <w:rFonts w:ascii="Arial" w:hAnsi="Arial" w:cs="Arial"/>
          <w:sz w:val="24"/>
          <w:szCs w:val="24"/>
        </w:rPr>
        <w:t xml:space="preserve">the debate concerning the choices between mandatory reporting and the recognition of independent agency to be aired in the wider public arena. </w:t>
      </w:r>
      <w:r w:rsidR="0099107D" w:rsidRPr="0099107D">
        <w:rPr>
          <w:rFonts w:ascii="Arial" w:hAnsi="Arial" w:cs="Arial"/>
          <w:sz w:val="24"/>
          <w:szCs w:val="24"/>
        </w:rPr>
        <w:t xml:space="preserve"> </w:t>
      </w:r>
    </w:p>
    <w:p w:rsidR="00B03F2D" w:rsidRDefault="00B03F2D" w:rsidP="0099107D">
      <w:pPr>
        <w:rPr>
          <w:rFonts w:ascii="Arial" w:hAnsi="Arial" w:cs="Arial"/>
          <w:sz w:val="24"/>
          <w:szCs w:val="24"/>
        </w:rPr>
      </w:pPr>
    </w:p>
    <w:p w:rsidR="00B03F2D" w:rsidRDefault="00B03F2D" w:rsidP="0099107D">
      <w:pPr>
        <w:rPr>
          <w:rFonts w:ascii="Arial" w:hAnsi="Arial" w:cs="Arial"/>
          <w:sz w:val="24"/>
          <w:szCs w:val="24"/>
        </w:rPr>
      </w:pPr>
    </w:p>
    <w:p w:rsidR="00B03F2D" w:rsidRDefault="00B03F2D" w:rsidP="0099107D">
      <w:pPr>
        <w:rPr>
          <w:rFonts w:ascii="Arial" w:hAnsi="Arial" w:cs="Arial"/>
          <w:sz w:val="24"/>
          <w:szCs w:val="24"/>
        </w:rPr>
      </w:pPr>
    </w:p>
    <w:p w:rsidR="00B03F2D" w:rsidRDefault="00B03F2D" w:rsidP="0099107D">
      <w:pPr>
        <w:rPr>
          <w:rFonts w:ascii="Arial" w:hAnsi="Arial" w:cs="Arial"/>
          <w:sz w:val="24"/>
          <w:szCs w:val="24"/>
        </w:rPr>
      </w:pPr>
    </w:p>
    <w:p w:rsidR="00B03F2D" w:rsidRDefault="00B03F2D" w:rsidP="0099107D">
      <w:pPr>
        <w:rPr>
          <w:rFonts w:ascii="Arial" w:hAnsi="Arial" w:cs="Arial"/>
          <w:sz w:val="24"/>
          <w:szCs w:val="24"/>
        </w:rPr>
      </w:pPr>
      <w:r>
        <w:rPr>
          <w:rFonts w:ascii="Arial" w:hAnsi="Arial" w:cs="Arial"/>
          <w:sz w:val="24"/>
          <w:szCs w:val="24"/>
        </w:rPr>
        <w:t>Lynne Barratt</w:t>
      </w:r>
    </w:p>
    <w:p w:rsidR="00B03F2D" w:rsidRPr="0099107D" w:rsidRDefault="00B03F2D" w:rsidP="0099107D">
      <w:pPr>
        <w:rPr>
          <w:rFonts w:ascii="Arial" w:hAnsi="Arial" w:cs="Arial"/>
          <w:sz w:val="24"/>
          <w:szCs w:val="24"/>
        </w:rPr>
      </w:pPr>
      <w:proofErr w:type="gramStart"/>
      <w:r>
        <w:rPr>
          <w:rFonts w:ascii="Arial" w:hAnsi="Arial" w:cs="Arial"/>
          <w:sz w:val="24"/>
          <w:szCs w:val="24"/>
        </w:rPr>
        <w:t>c</w:t>
      </w:r>
      <w:proofErr w:type="gramEnd"/>
      <w:r>
        <w:rPr>
          <w:rFonts w:ascii="Arial" w:hAnsi="Arial" w:cs="Arial"/>
          <w:sz w:val="24"/>
          <w:szCs w:val="24"/>
        </w:rPr>
        <w:t xml:space="preserve">   2016</w:t>
      </w:r>
    </w:p>
    <w:p w:rsidR="009D614F" w:rsidRDefault="0099107D" w:rsidP="0099107D">
      <w:pPr>
        <w:rPr>
          <w:rFonts w:ascii="Arial" w:hAnsi="Arial" w:cs="Arial"/>
          <w:sz w:val="24"/>
          <w:szCs w:val="24"/>
        </w:rPr>
      </w:pPr>
      <w:r w:rsidRPr="0099107D">
        <w:rPr>
          <w:rFonts w:ascii="Arial" w:hAnsi="Arial" w:cs="Arial"/>
          <w:sz w:val="24"/>
          <w:szCs w:val="24"/>
        </w:rPr>
        <w:t>   </w:t>
      </w:r>
    </w:p>
    <w:p w:rsidR="009D614F" w:rsidRDefault="009D614F" w:rsidP="0099107D">
      <w:pPr>
        <w:rPr>
          <w:rFonts w:ascii="Arial" w:hAnsi="Arial" w:cs="Arial"/>
          <w:sz w:val="24"/>
          <w:szCs w:val="24"/>
        </w:rPr>
      </w:pPr>
    </w:p>
    <w:p w:rsidR="009D614F" w:rsidRDefault="009D614F" w:rsidP="0099107D">
      <w:pPr>
        <w:rPr>
          <w:rFonts w:ascii="Arial" w:hAnsi="Arial" w:cs="Arial"/>
          <w:sz w:val="24"/>
          <w:szCs w:val="24"/>
        </w:rPr>
      </w:pPr>
    </w:p>
    <w:p w:rsidR="0099107D" w:rsidRPr="0099107D" w:rsidRDefault="00674FE5" w:rsidP="0099107D">
      <w:pPr>
        <w:rPr>
          <w:rFonts w:ascii="Arial" w:hAnsi="Arial" w:cs="Arial"/>
          <w:b/>
          <w:bCs/>
          <w:sz w:val="24"/>
          <w:szCs w:val="24"/>
        </w:rPr>
      </w:pPr>
      <w:r>
        <w:rPr>
          <w:rFonts w:ascii="Arial" w:hAnsi="Arial" w:cs="Arial"/>
          <w:sz w:val="24"/>
          <w:szCs w:val="24"/>
        </w:rPr>
        <w:t xml:space="preserve">           </w:t>
      </w:r>
      <w:r w:rsidR="0099107D" w:rsidRPr="0099107D">
        <w:rPr>
          <w:rFonts w:ascii="Arial" w:hAnsi="Arial" w:cs="Arial"/>
          <w:sz w:val="24"/>
          <w:szCs w:val="24"/>
        </w:rPr>
        <w:t>         </w:t>
      </w:r>
    </w:p>
    <w:p w:rsidR="00563D61" w:rsidRPr="00AB31FD" w:rsidRDefault="00563D61" w:rsidP="00563D61">
      <w:pPr>
        <w:spacing w:line="276" w:lineRule="auto"/>
        <w:rPr>
          <w:rFonts w:ascii="Arial" w:hAnsi="Arial" w:cs="Arial"/>
          <w:sz w:val="24"/>
          <w:szCs w:val="24"/>
        </w:rPr>
      </w:pPr>
    </w:p>
    <w:sectPr w:rsidR="00563D61" w:rsidRPr="00AB31FD" w:rsidSect="002F538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18" w:rsidRDefault="00086D18" w:rsidP="0065502F">
      <w:r>
        <w:separator/>
      </w:r>
    </w:p>
  </w:endnote>
  <w:endnote w:type="continuationSeparator" w:id="0">
    <w:p w:rsidR="00086D18" w:rsidRDefault="00086D18" w:rsidP="006550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D5" w:rsidRDefault="000962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601027"/>
      <w:docPartObj>
        <w:docPartGallery w:val="Page Numbers (Bottom of Page)"/>
        <w:docPartUnique/>
      </w:docPartObj>
    </w:sdtPr>
    <w:sdtEndPr>
      <w:rPr>
        <w:noProof/>
      </w:rPr>
    </w:sdtEndPr>
    <w:sdtContent>
      <w:p w:rsidR="00B03F2D" w:rsidRDefault="008E4B0A">
        <w:pPr>
          <w:pStyle w:val="Footer"/>
          <w:jc w:val="right"/>
        </w:pPr>
        <w:r>
          <w:fldChar w:fldCharType="begin"/>
        </w:r>
        <w:r w:rsidR="00B03F2D">
          <w:instrText xml:space="preserve"> PAGE   \* MERGEFORMAT </w:instrText>
        </w:r>
        <w:r>
          <w:fldChar w:fldCharType="separate"/>
        </w:r>
        <w:r w:rsidR="00484063">
          <w:rPr>
            <w:noProof/>
          </w:rPr>
          <w:t>5</w:t>
        </w:r>
        <w:r>
          <w:rPr>
            <w:noProof/>
          </w:rPr>
          <w:fldChar w:fldCharType="end"/>
        </w:r>
      </w:p>
    </w:sdtContent>
  </w:sdt>
  <w:p w:rsidR="00B03F2D" w:rsidRDefault="00B03F2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D5" w:rsidRDefault="000962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18" w:rsidRDefault="00086D18" w:rsidP="0065502F">
      <w:r>
        <w:separator/>
      </w:r>
    </w:p>
  </w:footnote>
  <w:footnote w:type="continuationSeparator" w:id="0">
    <w:p w:rsidR="00086D18" w:rsidRDefault="00086D18" w:rsidP="0065502F">
      <w:r>
        <w:continuationSeparator/>
      </w:r>
    </w:p>
  </w:footnote>
  <w:footnote w:id="1">
    <w:p w:rsidR="00086D18" w:rsidRPr="00B03F2D" w:rsidRDefault="00086D18" w:rsidP="00693762">
      <w:pPr>
        <w:rPr>
          <w:rFonts w:ascii="Arial" w:hAnsi="Arial" w:cs="Arial"/>
          <w:i/>
          <w:sz w:val="16"/>
          <w:szCs w:val="16"/>
        </w:rPr>
      </w:pPr>
      <w:r>
        <w:rPr>
          <w:rStyle w:val="FootnoteReference"/>
        </w:rPr>
        <w:footnoteRef/>
      </w:r>
      <w:r>
        <w:t xml:space="preserve"> </w:t>
      </w:r>
      <w:r w:rsidRPr="00B03F2D">
        <w:rPr>
          <w:rFonts w:ascii="Arial" w:hAnsi="Arial" w:cs="Arial"/>
          <w:sz w:val="16"/>
          <w:szCs w:val="16"/>
        </w:rPr>
        <w:t>With Respect to Age 2009: Victorian Government Practice Guidelines for Health Services and Community Agencies for the Prevention of Elder Abuse.</w:t>
      </w:r>
    </w:p>
    <w:p w:rsidR="00086D18" w:rsidRDefault="00086D18">
      <w:pPr>
        <w:pStyle w:val="FootnoteText"/>
      </w:pPr>
    </w:p>
  </w:footnote>
  <w:footnote w:id="2">
    <w:p w:rsidR="00F725DA" w:rsidRPr="00B03F2D" w:rsidRDefault="00F725DA" w:rsidP="00F725DA">
      <w:pPr>
        <w:rPr>
          <w:sz w:val="16"/>
          <w:szCs w:val="16"/>
        </w:rPr>
      </w:pPr>
      <w:r>
        <w:rPr>
          <w:rStyle w:val="FootnoteReference"/>
        </w:rPr>
        <w:footnoteRef/>
      </w:r>
      <w:r>
        <w:t xml:space="preserve"> </w:t>
      </w:r>
      <w:r w:rsidRPr="00B03F2D">
        <w:rPr>
          <w:rFonts w:ascii="Arial" w:hAnsi="Arial" w:cs="Arial"/>
          <w:sz w:val="16"/>
          <w:szCs w:val="16"/>
        </w:rPr>
        <w:t xml:space="preserve">Rae </w:t>
      </w:r>
      <w:proofErr w:type="spellStart"/>
      <w:r w:rsidRPr="00B03F2D">
        <w:rPr>
          <w:rFonts w:ascii="Arial" w:hAnsi="Arial" w:cs="Arial"/>
          <w:sz w:val="16"/>
          <w:szCs w:val="16"/>
        </w:rPr>
        <w:t>Kaspiew</w:t>
      </w:r>
      <w:proofErr w:type="spellEnd"/>
      <w:r w:rsidRPr="00B03F2D">
        <w:rPr>
          <w:rFonts w:ascii="Arial" w:hAnsi="Arial" w:cs="Arial"/>
          <w:sz w:val="16"/>
          <w:szCs w:val="16"/>
        </w:rPr>
        <w:t xml:space="preserve">, Rachael Carson and Helen Rhodes “Elder Abuse – Understanding Issues, Frameworks and Responses” (Research Report no. 35, </w:t>
      </w:r>
      <w:r w:rsidRPr="00B03F2D">
        <w:rPr>
          <w:rFonts w:ascii="Arial" w:hAnsi="Arial" w:cs="Arial"/>
          <w:i/>
          <w:iCs/>
          <w:sz w:val="16"/>
          <w:szCs w:val="16"/>
        </w:rPr>
        <w:t>Australian Institute of Family Studies,</w:t>
      </w:r>
      <w:r w:rsidRPr="00B03F2D">
        <w:rPr>
          <w:rFonts w:ascii="Arial" w:hAnsi="Arial" w:cs="Arial"/>
          <w:sz w:val="16"/>
          <w:szCs w:val="16"/>
        </w:rPr>
        <w:t xml:space="preserve"> 2016)</w:t>
      </w:r>
    </w:p>
  </w:footnote>
  <w:footnote w:id="3">
    <w:p w:rsidR="00F725DA" w:rsidRDefault="00F725DA" w:rsidP="00F725DA">
      <w:pPr>
        <w:pStyle w:val="FootnoteText"/>
      </w:pPr>
      <w:r>
        <w:rPr>
          <w:rStyle w:val="FootnoteReference"/>
        </w:rPr>
        <w:footnoteRef/>
      </w:r>
      <w:r>
        <w:t xml:space="preserve"> Financial abuse of elders: A review of the evidence ( 2009) </w:t>
      </w:r>
      <w:proofErr w:type="spellStart"/>
      <w:r>
        <w:t>Darzins</w:t>
      </w:r>
      <w:proofErr w:type="spellEnd"/>
      <w:r>
        <w:t xml:space="preserve">, </w:t>
      </w:r>
      <w:proofErr w:type="spellStart"/>
      <w:r>
        <w:t>Lowndes</w:t>
      </w:r>
      <w:proofErr w:type="spellEnd"/>
      <w:r>
        <w:t xml:space="preserve"> and </w:t>
      </w:r>
      <w:proofErr w:type="spellStart"/>
      <w:r>
        <w:t>Wainer</w:t>
      </w:r>
      <w:proofErr w:type="spellEnd"/>
    </w:p>
  </w:footnote>
  <w:footnote w:id="4">
    <w:p w:rsidR="00F725DA" w:rsidRDefault="00F725DA" w:rsidP="00F725DA">
      <w:pPr>
        <w:pStyle w:val="FootnoteText"/>
      </w:pPr>
      <w:r>
        <w:rPr>
          <w:rStyle w:val="FootnoteReference"/>
        </w:rPr>
        <w:footnoteRef/>
      </w:r>
      <w:r>
        <w:t xml:space="preserve"> Common Risk Assessment Framework</w:t>
      </w:r>
    </w:p>
  </w:footnote>
  <w:footnote w:id="5">
    <w:p w:rsidR="00086D18" w:rsidRDefault="00086D18" w:rsidP="006459DA">
      <w:r>
        <w:rPr>
          <w:rStyle w:val="FootnoteReference"/>
        </w:rPr>
        <w:footnoteRef/>
      </w:r>
      <w:r>
        <w:t xml:space="preserve"> </w:t>
      </w:r>
      <w:proofErr w:type="gramStart"/>
      <w:r>
        <w:rPr>
          <w:sz w:val="20"/>
          <w:szCs w:val="20"/>
        </w:rPr>
        <w:t>Wendy Lacey,</w:t>
      </w:r>
      <w:r w:rsidRPr="00B001C5">
        <w:rPr>
          <w:sz w:val="20"/>
          <w:szCs w:val="20"/>
        </w:rPr>
        <w:t xml:space="preserve"> ‘Neglectful to the point of cruelty Elder abuse and rights of older persons in Australia’</w:t>
      </w:r>
      <w:r>
        <w:rPr>
          <w:sz w:val="20"/>
          <w:szCs w:val="20"/>
        </w:rPr>
        <w:t xml:space="preserve"> (2014) </w:t>
      </w:r>
      <w:r w:rsidRPr="00B001C5">
        <w:rPr>
          <w:sz w:val="20"/>
          <w:szCs w:val="20"/>
        </w:rPr>
        <w:t xml:space="preserve">36 (1) </w:t>
      </w:r>
      <w:r w:rsidRPr="00B001C5">
        <w:rPr>
          <w:i/>
          <w:sz w:val="20"/>
          <w:szCs w:val="20"/>
        </w:rPr>
        <w:t>Sydney Law Review</w:t>
      </w:r>
      <w:r>
        <w:rPr>
          <w:i/>
          <w:sz w:val="20"/>
          <w:szCs w:val="20"/>
        </w:rPr>
        <w:t>.</w:t>
      </w:r>
      <w:proofErr w:type="gramEnd"/>
      <w:r>
        <w:t xml:space="preserve">  </w:t>
      </w:r>
    </w:p>
    <w:p w:rsidR="00086D18" w:rsidRPr="00AA62F8" w:rsidRDefault="00086D18" w:rsidP="006459DA">
      <w:pPr>
        <w:pStyle w:val="FootnoteText"/>
        <w:rPr>
          <w:lang w:val="en-US"/>
        </w:rPr>
      </w:pPr>
    </w:p>
  </w:footnote>
  <w:footnote w:id="6">
    <w:p w:rsidR="00086D18" w:rsidRPr="00B001C5" w:rsidRDefault="00086D18" w:rsidP="006459DA">
      <w:pPr>
        <w:pStyle w:val="FootnoteText"/>
        <w:rPr>
          <w:lang w:val="en-US"/>
        </w:rPr>
      </w:pPr>
      <w:r w:rsidRPr="00B001C5">
        <w:rPr>
          <w:rStyle w:val="FootnoteReference"/>
        </w:rPr>
        <w:footnoteRef/>
      </w:r>
      <w:r w:rsidRPr="00B001C5">
        <w:t xml:space="preserve"> Rodney Lewis</w:t>
      </w:r>
      <w:r w:rsidRPr="00B001C5">
        <w:rPr>
          <w:i/>
        </w:rPr>
        <w:t>, Elder Law in Australia</w:t>
      </w:r>
      <w:r>
        <w:t xml:space="preserve"> (LexisNexis</w:t>
      </w:r>
      <w:r w:rsidRPr="00B001C5">
        <w:t xml:space="preserve"> 2</w:t>
      </w:r>
      <w:r w:rsidRPr="00B001C5">
        <w:rPr>
          <w:vertAlign w:val="superscript"/>
        </w:rPr>
        <w:t>nd</w:t>
      </w:r>
      <w:r>
        <w:t xml:space="preserve"> </w:t>
      </w:r>
      <w:proofErr w:type="spellStart"/>
      <w:proofErr w:type="gramStart"/>
      <w:r>
        <w:t>ed</w:t>
      </w:r>
      <w:proofErr w:type="spellEnd"/>
      <w:proofErr w:type="gramEnd"/>
      <w:r>
        <w:t xml:space="preserve"> 2011)</w:t>
      </w:r>
      <w:r w:rsidRPr="00B001C5">
        <w:t xml:space="preserve"> 211.</w:t>
      </w:r>
    </w:p>
  </w:footnote>
  <w:footnote w:id="7">
    <w:p w:rsidR="00086D18" w:rsidRPr="00B001C5" w:rsidRDefault="00086D18" w:rsidP="009D2547">
      <w:pPr>
        <w:pStyle w:val="FootnoteText"/>
      </w:pPr>
      <w:r w:rsidRPr="00B001C5">
        <w:rPr>
          <w:rStyle w:val="FootnoteReference"/>
        </w:rPr>
        <w:footnoteRef/>
      </w:r>
      <w:r w:rsidRPr="00B001C5">
        <w:t xml:space="preserve"> </w:t>
      </w:r>
      <w:proofErr w:type="gramStart"/>
      <w:r w:rsidRPr="008D64CD">
        <w:rPr>
          <w:i/>
        </w:rPr>
        <w:t>Aged Care Act 1997</w:t>
      </w:r>
      <w:r w:rsidRPr="00B001C5">
        <w:t xml:space="preserve"> (</w:t>
      </w:r>
      <w:proofErr w:type="spellStart"/>
      <w:r w:rsidRPr="00B001C5">
        <w:t>Cth</w:t>
      </w:r>
      <w:proofErr w:type="spellEnd"/>
      <w:r w:rsidRPr="00B001C5">
        <w:t xml:space="preserve">) </w:t>
      </w:r>
      <w:r>
        <w:t xml:space="preserve">sch 1 </w:t>
      </w:r>
      <w:proofErr w:type="spellStart"/>
      <w:r>
        <w:t>cl</w:t>
      </w:r>
      <w:proofErr w:type="spellEnd"/>
      <w:r w:rsidRPr="00B001C5">
        <w:t xml:space="preserve"> 1(t).</w:t>
      </w:r>
      <w:proofErr w:type="gramEnd"/>
    </w:p>
  </w:footnote>
  <w:footnote w:id="8">
    <w:p w:rsidR="00086D18" w:rsidRPr="00617476" w:rsidRDefault="00086D18" w:rsidP="006459DA">
      <w:pPr>
        <w:pStyle w:val="FootnoteText"/>
        <w:rPr>
          <w:lang w:val="en-US"/>
        </w:rPr>
      </w:pPr>
      <w:r>
        <w:rPr>
          <w:rStyle w:val="FootnoteReference"/>
        </w:rPr>
        <w:footnoteRef/>
      </w:r>
      <w:r>
        <w:t xml:space="preserve"> </w:t>
      </w:r>
      <w:proofErr w:type="gramStart"/>
      <w:r>
        <w:rPr>
          <w:lang w:val="en-US"/>
        </w:rPr>
        <w:t>Lacey, above n 2.</w:t>
      </w:r>
      <w:proofErr w:type="gramEnd"/>
      <w:r>
        <w:rPr>
          <w:lang w:val="en-US"/>
        </w:rPr>
        <w:t xml:space="preserve"> </w:t>
      </w:r>
    </w:p>
  </w:footnote>
  <w:footnote w:id="9">
    <w:p w:rsidR="00086D18" w:rsidRPr="00B001C5" w:rsidRDefault="00086D18" w:rsidP="005569DC">
      <w:pPr>
        <w:rPr>
          <w:sz w:val="20"/>
          <w:szCs w:val="20"/>
        </w:rPr>
      </w:pPr>
      <w:r w:rsidRPr="00B001C5">
        <w:rPr>
          <w:rStyle w:val="FootnoteReference"/>
          <w:sz w:val="20"/>
          <w:szCs w:val="20"/>
        </w:rPr>
        <w:footnoteRef/>
      </w:r>
      <w:r w:rsidRPr="00B001C5">
        <w:rPr>
          <w:sz w:val="20"/>
          <w:szCs w:val="20"/>
        </w:rPr>
        <w:t xml:space="preserve"> Aus</w:t>
      </w:r>
      <w:r>
        <w:rPr>
          <w:sz w:val="20"/>
          <w:szCs w:val="20"/>
        </w:rPr>
        <w:t>tralian Human Rights Commission,</w:t>
      </w:r>
      <w:r w:rsidRPr="00B001C5">
        <w:rPr>
          <w:sz w:val="20"/>
          <w:szCs w:val="20"/>
        </w:rPr>
        <w:t xml:space="preserve"> </w:t>
      </w:r>
      <w:r>
        <w:rPr>
          <w:i/>
          <w:sz w:val="20"/>
          <w:szCs w:val="20"/>
        </w:rPr>
        <w:t xml:space="preserve">Respect and Choice: </w:t>
      </w:r>
      <w:proofErr w:type="gramStart"/>
      <w:r>
        <w:rPr>
          <w:i/>
          <w:sz w:val="20"/>
          <w:szCs w:val="20"/>
        </w:rPr>
        <w:t>A</w:t>
      </w:r>
      <w:proofErr w:type="gramEnd"/>
      <w:r>
        <w:rPr>
          <w:i/>
          <w:sz w:val="20"/>
          <w:szCs w:val="20"/>
        </w:rPr>
        <w:t xml:space="preserve"> Human Rights Approach for Ageing and H</w:t>
      </w:r>
      <w:r w:rsidRPr="009C1736">
        <w:rPr>
          <w:i/>
          <w:sz w:val="20"/>
          <w:szCs w:val="20"/>
        </w:rPr>
        <w:t>ealth</w:t>
      </w:r>
      <w:r w:rsidRPr="00B001C5">
        <w:rPr>
          <w:sz w:val="20"/>
          <w:szCs w:val="20"/>
        </w:rPr>
        <w:t xml:space="preserve"> </w:t>
      </w:r>
      <w:r>
        <w:rPr>
          <w:sz w:val="20"/>
          <w:szCs w:val="20"/>
        </w:rPr>
        <w:t>(</w:t>
      </w:r>
      <w:r w:rsidRPr="00B001C5">
        <w:rPr>
          <w:sz w:val="20"/>
          <w:szCs w:val="20"/>
        </w:rPr>
        <w:t>2012</w:t>
      </w:r>
      <w:r>
        <w:rPr>
          <w:sz w:val="20"/>
          <w:szCs w:val="20"/>
        </w:rPr>
        <w:t>) Human Rights</w:t>
      </w:r>
      <w:r w:rsidRPr="00B001C5">
        <w:rPr>
          <w:sz w:val="20"/>
          <w:szCs w:val="20"/>
        </w:rPr>
        <w:t xml:space="preserve"> </w:t>
      </w:r>
      <w:hyperlink r:id="rId1" w:history="1">
        <w:r w:rsidRPr="00183DC9">
          <w:rPr>
            <w:rStyle w:val="Hyperlink"/>
            <w:sz w:val="20"/>
            <w:szCs w:val="20"/>
          </w:rPr>
          <w:t>https://www.humanrights.gov.au/sites/default/files/document/publication/human_rights_framework_for_ageing_and_health.pdf</w:t>
        </w:r>
      </w:hyperlink>
      <w:r>
        <w:rPr>
          <w:sz w:val="20"/>
          <w:szCs w:val="20"/>
        </w:rPr>
        <w:t>.</w:t>
      </w:r>
    </w:p>
    <w:p w:rsidR="00086D18" w:rsidRPr="00AA62F8" w:rsidRDefault="00086D18" w:rsidP="005569DC">
      <w:pPr>
        <w:pStyle w:val="FootnoteText"/>
        <w:rPr>
          <w:lang w:val="en-US"/>
        </w:rPr>
      </w:pPr>
    </w:p>
  </w:footnote>
  <w:footnote w:id="10">
    <w:p w:rsidR="00086D18" w:rsidRPr="00B03F2D" w:rsidRDefault="00086D18" w:rsidP="005569DC">
      <w:pPr>
        <w:pStyle w:val="FootnoteText"/>
        <w:rPr>
          <w:sz w:val="16"/>
          <w:szCs w:val="16"/>
          <w:lang w:val="en-US"/>
        </w:rPr>
      </w:pPr>
      <w:r>
        <w:rPr>
          <w:rStyle w:val="FootnoteReference"/>
        </w:rPr>
        <w:footnoteRef/>
      </w:r>
      <w:r w:rsidR="00B03F2D">
        <w:rPr>
          <w:rFonts w:ascii="Arial" w:hAnsi="Arial" w:cs="Arial"/>
          <w:sz w:val="24"/>
          <w:szCs w:val="24"/>
        </w:rPr>
        <w:t xml:space="preserve"> </w:t>
      </w:r>
      <w:r w:rsidR="00B03F2D" w:rsidRPr="00B03F2D">
        <w:rPr>
          <w:rFonts w:ascii="Arial" w:hAnsi="Arial" w:cs="Arial"/>
          <w:sz w:val="16"/>
          <w:szCs w:val="16"/>
        </w:rPr>
        <w:t>Ibid</w:t>
      </w:r>
      <w:r w:rsidRPr="00B03F2D">
        <w:rPr>
          <w:sz w:val="16"/>
          <w:szCs w:val="16"/>
          <w:lang w:val="en-US"/>
        </w:rPr>
        <w:t>.</w:t>
      </w:r>
    </w:p>
    <w:p w:rsidR="00086D18" w:rsidRPr="005569DC" w:rsidRDefault="00086D18" w:rsidP="005569DC">
      <w:pPr>
        <w:pStyle w:val="FootnoteText"/>
        <w:rPr>
          <w:sz w:val="16"/>
          <w:szCs w:val="16"/>
        </w:rPr>
      </w:pPr>
    </w:p>
  </w:footnote>
  <w:footnote w:id="11">
    <w:p w:rsidR="00086D18" w:rsidRPr="002F77ED" w:rsidRDefault="00086D18" w:rsidP="005569DC">
      <w:pPr>
        <w:pStyle w:val="FootnoteText"/>
        <w:rPr>
          <w:lang w:val="en-US"/>
        </w:rPr>
      </w:pPr>
      <w:r>
        <w:rPr>
          <w:rStyle w:val="FootnoteReference"/>
        </w:rPr>
        <w:footnoteRef/>
      </w:r>
      <w:r>
        <w:t xml:space="preserve"> Ibid </w:t>
      </w:r>
      <w:r w:rsidR="00B03F2D">
        <w:t xml:space="preserve"> </w:t>
      </w:r>
    </w:p>
  </w:footnote>
  <w:footnote w:id="12">
    <w:p w:rsidR="00086D18" w:rsidRPr="00E90929" w:rsidRDefault="00086D18" w:rsidP="005569DC">
      <w:pPr>
        <w:pStyle w:val="FootnoteText"/>
        <w:rPr>
          <w:lang w:val="en-US"/>
        </w:rPr>
      </w:pPr>
      <w:r>
        <w:rPr>
          <w:rStyle w:val="FootnoteReference"/>
        </w:rPr>
        <w:footnoteRef/>
      </w:r>
      <w:r>
        <w:t xml:space="preserve"> </w:t>
      </w:r>
      <w:proofErr w:type="gramStart"/>
      <w:r>
        <w:rPr>
          <w:lang w:val="en-US"/>
        </w:rPr>
        <w:t>Lacey, above n 2, 14.</w:t>
      </w:r>
      <w:proofErr w:type="gramEnd"/>
    </w:p>
  </w:footnote>
  <w:footnote w:id="13">
    <w:p w:rsidR="00086D18" w:rsidRPr="005569DC" w:rsidRDefault="00086D18" w:rsidP="00A62443">
      <w:pPr>
        <w:pStyle w:val="FootnoteText"/>
        <w:rPr>
          <w:rFonts w:ascii="Arial" w:hAnsi="Arial" w:cs="Arial"/>
          <w:sz w:val="16"/>
          <w:szCs w:val="16"/>
          <w:lang w:val="en-US"/>
        </w:rPr>
      </w:pPr>
      <w:r>
        <w:rPr>
          <w:rStyle w:val="FootnoteReference"/>
        </w:rPr>
        <w:footnoteRef/>
      </w:r>
      <w:r>
        <w:t xml:space="preserve"> </w:t>
      </w:r>
      <w:r w:rsidRPr="005569DC">
        <w:rPr>
          <w:rFonts w:ascii="Arial" w:hAnsi="Arial" w:cs="Arial"/>
          <w:sz w:val="16"/>
          <w:szCs w:val="16"/>
        </w:rPr>
        <w:t xml:space="preserve">Joseph Ibrahim, </w:t>
      </w:r>
      <w:proofErr w:type="spellStart"/>
      <w:r w:rsidRPr="005569DC">
        <w:rPr>
          <w:rFonts w:ascii="Arial" w:hAnsi="Arial" w:cs="Arial"/>
          <w:sz w:val="16"/>
          <w:szCs w:val="16"/>
        </w:rPr>
        <w:t>Briony</w:t>
      </w:r>
      <w:proofErr w:type="spellEnd"/>
      <w:r w:rsidRPr="005569DC">
        <w:rPr>
          <w:rFonts w:ascii="Arial" w:hAnsi="Arial" w:cs="Arial"/>
          <w:sz w:val="16"/>
          <w:szCs w:val="16"/>
        </w:rPr>
        <w:t xml:space="preserve"> Murphy, </w:t>
      </w:r>
      <w:proofErr w:type="spellStart"/>
      <w:r w:rsidRPr="005569DC">
        <w:rPr>
          <w:rFonts w:ascii="Arial" w:hAnsi="Arial" w:cs="Arial"/>
          <w:sz w:val="16"/>
          <w:szCs w:val="16"/>
        </w:rPr>
        <w:t>Lyndal</w:t>
      </w:r>
      <w:proofErr w:type="spellEnd"/>
      <w:r w:rsidRPr="005569DC">
        <w:rPr>
          <w:rFonts w:ascii="Arial" w:hAnsi="Arial" w:cs="Arial"/>
          <w:sz w:val="16"/>
          <w:szCs w:val="16"/>
        </w:rPr>
        <w:t xml:space="preserve"> </w:t>
      </w:r>
      <w:proofErr w:type="spellStart"/>
      <w:r w:rsidRPr="005569DC">
        <w:rPr>
          <w:rFonts w:ascii="Arial" w:hAnsi="Arial" w:cs="Arial"/>
          <w:sz w:val="16"/>
          <w:szCs w:val="16"/>
        </w:rPr>
        <w:t>Bugeja</w:t>
      </w:r>
      <w:proofErr w:type="spellEnd"/>
      <w:r w:rsidRPr="005569DC">
        <w:rPr>
          <w:rFonts w:ascii="Arial" w:hAnsi="Arial" w:cs="Arial"/>
          <w:sz w:val="16"/>
          <w:szCs w:val="16"/>
        </w:rPr>
        <w:t xml:space="preserve"> and David </w:t>
      </w:r>
      <w:proofErr w:type="spellStart"/>
      <w:r w:rsidRPr="005569DC">
        <w:rPr>
          <w:rFonts w:ascii="Arial" w:hAnsi="Arial" w:cs="Arial"/>
          <w:sz w:val="16"/>
          <w:szCs w:val="16"/>
        </w:rPr>
        <w:t>Ranson</w:t>
      </w:r>
      <w:proofErr w:type="spellEnd"/>
      <w:r w:rsidRPr="005569DC">
        <w:rPr>
          <w:rFonts w:ascii="Arial" w:hAnsi="Arial" w:cs="Arial"/>
          <w:sz w:val="16"/>
          <w:szCs w:val="16"/>
        </w:rPr>
        <w:t xml:space="preserve">, ‘Nature and Extent of External-Cause Deaths of Nursing </w:t>
      </w:r>
      <w:r>
        <w:rPr>
          <w:rFonts w:ascii="Arial" w:hAnsi="Arial" w:cs="Arial"/>
          <w:sz w:val="16"/>
          <w:szCs w:val="16"/>
        </w:rPr>
        <w:t xml:space="preserve">   </w:t>
      </w:r>
      <w:r w:rsidRPr="005569DC">
        <w:rPr>
          <w:rFonts w:ascii="Arial" w:hAnsi="Arial" w:cs="Arial"/>
          <w:sz w:val="16"/>
          <w:szCs w:val="16"/>
        </w:rPr>
        <w:t xml:space="preserve">Home Residents in Victoria, Australia’ (2015) 63 (5) </w:t>
      </w:r>
      <w:r w:rsidRPr="005569DC">
        <w:rPr>
          <w:rFonts w:ascii="Arial" w:hAnsi="Arial" w:cs="Arial"/>
          <w:i/>
          <w:sz w:val="16"/>
          <w:szCs w:val="16"/>
          <w:lang w:val="en-US"/>
        </w:rPr>
        <w:t xml:space="preserve">Journal of the American Geriatric society </w:t>
      </w:r>
      <w:r w:rsidRPr="005569DC">
        <w:rPr>
          <w:rFonts w:ascii="Arial" w:hAnsi="Arial" w:cs="Arial"/>
          <w:sz w:val="16"/>
          <w:szCs w:val="16"/>
          <w:lang w:val="en-US"/>
        </w:rPr>
        <w:t>954-962</w:t>
      </w:r>
    </w:p>
  </w:footnote>
  <w:footnote w:id="14">
    <w:p w:rsidR="00086D18" w:rsidRPr="005569DC" w:rsidRDefault="00086D18" w:rsidP="004E5104">
      <w:pPr>
        <w:rPr>
          <w:rFonts w:ascii="Arial" w:hAnsi="Arial" w:cs="Arial"/>
          <w:i/>
          <w:sz w:val="16"/>
          <w:szCs w:val="16"/>
        </w:rPr>
      </w:pPr>
      <w:r>
        <w:rPr>
          <w:rStyle w:val="FootnoteReference"/>
        </w:rPr>
        <w:footnoteRef/>
      </w:r>
      <w:r>
        <w:t xml:space="preserve"> </w:t>
      </w:r>
      <w:r>
        <w:rPr>
          <w:rFonts w:ascii="Arial" w:hAnsi="Arial" w:cs="Arial"/>
          <w:sz w:val="24"/>
          <w:szCs w:val="24"/>
        </w:rPr>
        <w:t xml:space="preserve"> </w:t>
      </w:r>
      <w:r w:rsidRPr="005569DC">
        <w:rPr>
          <w:rFonts w:ascii="Arial" w:hAnsi="Arial" w:cs="Arial"/>
          <w:i/>
          <w:sz w:val="16"/>
          <w:szCs w:val="16"/>
        </w:rPr>
        <w:t xml:space="preserve">Aged Care Legislation (Increasing consumer choice) Bill (2016) </w:t>
      </w:r>
    </w:p>
    <w:p w:rsidR="00086D18" w:rsidRDefault="00086D18" w:rsidP="004E5104">
      <w:pPr>
        <w:pStyle w:val="FootnoteText"/>
      </w:pPr>
    </w:p>
  </w:footnote>
  <w:footnote w:id="15">
    <w:p w:rsidR="00086D18" w:rsidRPr="00B03F2D" w:rsidRDefault="00086D18">
      <w:pPr>
        <w:pStyle w:val="FootnoteText"/>
        <w:rPr>
          <w:sz w:val="16"/>
          <w:szCs w:val="16"/>
        </w:rPr>
      </w:pPr>
      <w:r>
        <w:rPr>
          <w:rStyle w:val="FootnoteReference"/>
        </w:rPr>
        <w:footnoteRef/>
      </w:r>
      <w:r>
        <w:t xml:space="preserve">  </w:t>
      </w:r>
      <w:r w:rsidRPr="00B03F2D">
        <w:rPr>
          <w:sz w:val="16"/>
          <w:szCs w:val="16"/>
        </w:rPr>
        <w:t>Health services conciliation and review Act  (1987)(Vic)  s.16</w:t>
      </w:r>
    </w:p>
  </w:footnote>
  <w:footnote w:id="16">
    <w:p w:rsidR="00086D18" w:rsidRPr="00B03F2D" w:rsidRDefault="00086D18">
      <w:pPr>
        <w:pStyle w:val="FootnoteText"/>
        <w:rPr>
          <w:sz w:val="16"/>
          <w:szCs w:val="16"/>
        </w:rPr>
      </w:pPr>
      <w:r w:rsidRPr="00B03F2D">
        <w:rPr>
          <w:rStyle w:val="FootnoteReference"/>
          <w:sz w:val="16"/>
          <w:szCs w:val="16"/>
        </w:rPr>
        <w:footnoteRef/>
      </w:r>
      <w:r w:rsidRPr="00B03F2D">
        <w:rPr>
          <w:sz w:val="16"/>
          <w:szCs w:val="16"/>
        </w:rPr>
        <w:t xml:space="preserve"> </w:t>
      </w:r>
      <w:r w:rsidRPr="00B03F2D">
        <w:rPr>
          <w:rFonts w:ascii="Arial" w:hAnsi="Arial" w:cs="Arial"/>
          <w:i/>
          <w:sz w:val="16"/>
          <w:szCs w:val="16"/>
        </w:rPr>
        <w:t xml:space="preserve">Rosenthal v The Sir Moses </w:t>
      </w:r>
      <w:proofErr w:type="spellStart"/>
      <w:r w:rsidRPr="00B03F2D">
        <w:rPr>
          <w:rFonts w:ascii="Arial" w:hAnsi="Arial" w:cs="Arial"/>
          <w:i/>
          <w:sz w:val="16"/>
          <w:szCs w:val="16"/>
        </w:rPr>
        <w:t>Montefiore</w:t>
      </w:r>
      <w:proofErr w:type="spellEnd"/>
      <w:r w:rsidRPr="00B03F2D">
        <w:rPr>
          <w:rFonts w:ascii="Arial" w:hAnsi="Arial" w:cs="Arial"/>
          <w:i/>
          <w:sz w:val="16"/>
          <w:szCs w:val="16"/>
        </w:rPr>
        <w:t xml:space="preserve"> Jewish home</w:t>
      </w:r>
      <w:r w:rsidRPr="00B03F2D">
        <w:rPr>
          <w:rFonts w:ascii="Arial" w:hAnsi="Arial" w:cs="Arial"/>
          <w:sz w:val="16"/>
          <w:szCs w:val="16"/>
        </w:rPr>
        <w:t xml:space="preserve"> (no. 2) SC NSW 31 August 1995 (unreported)</w:t>
      </w:r>
    </w:p>
  </w:footnote>
  <w:footnote w:id="17">
    <w:p w:rsidR="00086D18" w:rsidRPr="00B03F2D" w:rsidRDefault="00086D18" w:rsidP="004E5104">
      <w:pPr>
        <w:pStyle w:val="FootnoteText"/>
        <w:rPr>
          <w:sz w:val="16"/>
          <w:szCs w:val="16"/>
          <w:lang w:val="en-US"/>
        </w:rPr>
      </w:pPr>
      <w:r w:rsidRPr="00B03F2D">
        <w:rPr>
          <w:rStyle w:val="FootnoteReference"/>
          <w:sz w:val="16"/>
          <w:szCs w:val="16"/>
        </w:rPr>
        <w:footnoteRef/>
      </w:r>
      <w:r w:rsidRPr="00B03F2D">
        <w:rPr>
          <w:sz w:val="16"/>
          <w:szCs w:val="16"/>
        </w:rPr>
        <w:t xml:space="preserve"> </w:t>
      </w:r>
      <w:proofErr w:type="gramStart"/>
      <w:r w:rsidRPr="00B03F2D">
        <w:rPr>
          <w:sz w:val="16"/>
          <w:szCs w:val="16"/>
          <w:lang w:val="en-US"/>
        </w:rPr>
        <w:t>Lacey, above n 2, 126.</w:t>
      </w:r>
      <w:proofErr w:type="gramEnd"/>
    </w:p>
  </w:footnote>
  <w:footnote w:id="18">
    <w:p w:rsidR="00086D18" w:rsidRPr="00B03F2D" w:rsidRDefault="00086D18" w:rsidP="004E5104">
      <w:pPr>
        <w:pStyle w:val="FootnoteText"/>
        <w:rPr>
          <w:sz w:val="16"/>
          <w:szCs w:val="16"/>
          <w:lang w:val="en-US"/>
        </w:rPr>
      </w:pPr>
      <w:r w:rsidRPr="00B03F2D">
        <w:rPr>
          <w:rStyle w:val="FootnoteReference"/>
          <w:sz w:val="16"/>
          <w:szCs w:val="16"/>
        </w:rPr>
        <w:footnoteRef/>
      </w:r>
      <w:r w:rsidRPr="00B03F2D">
        <w:rPr>
          <w:sz w:val="16"/>
          <w:szCs w:val="16"/>
        </w:rPr>
        <w:t xml:space="preserve"> </w:t>
      </w:r>
      <w:proofErr w:type="gramStart"/>
      <w:r w:rsidRPr="00B03F2D">
        <w:rPr>
          <w:sz w:val="16"/>
          <w:szCs w:val="16"/>
          <w:lang w:val="en-US"/>
        </w:rPr>
        <w:t>Lacey, above n 2, 119.</w:t>
      </w:r>
      <w:proofErr w:type="gramEnd"/>
    </w:p>
  </w:footnote>
  <w:footnote w:id="19">
    <w:p w:rsidR="00086D18" w:rsidRPr="00B03F2D" w:rsidRDefault="00086D18" w:rsidP="00EA035A">
      <w:pPr>
        <w:pStyle w:val="NormalWeb"/>
        <w:shd w:val="clear" w:color="auto" w:fill="FFFFFF"/>
        <w:rPr>
          <w:rFonts w:ascii="Arial" w:hAnsi="Arial" w:cs="Arial"/>
          <w:color w:val="000000"/>
          <w:sz w:val="16"/>
          <w:szCs w:val="16"/>
        </w:rPr>
      </w:pPr>
      <w:r>
        <w:rPr>
          <w:rStyle w:val="FootnoteReference"/>
        </w:rPr>
        <w:footnoteRef/>
      </w:r>
      <w:r>
        <w:t xml:space="preserve"> </w:t>
      </w:r>
      <w:r w:rsidRPr="00B03F2D">
        <w:rPr>
          <w:rFonts w:ascii="Arial" w:hAnsi="Arial" w:cs="Arial"/>
          <w:sz w:val="16"/>
          <w:szCs w:val="16"/>
        </w:rPr>
        <w:t xml:space="preserve">Commercial Bank of Australia v </w:t>
      </w:r>
      <w:proofErr w:type="spellStart"/>
      <w:r w:rsidRPr="00B03F2D">
        <w:rPr>
          <w:rFonts w:ascii="Arial" w:hAnsi="Arial" w:cs="Arial"/>
          <w:sz w:val="16"/>
          <w:szCs w:val="16"/>
        </w:rPr>
        <w:t>Amadio</w:t>
      </w:r>
      <w:proofErr w:type="spellEnd"/>
      <w:r w:rsidRPr="00B03F2D">
        <w:rPr>
          <w:rFonts w:ascii="Arial" w:hAnsi="Arial" w:cs="Arial"/>
          <w:sz w:val="16"/>
          <w:szCs w:val="16"/>
        </w:rPr>
        <w:t xml:space="preserve"> (1983) 151 CLR 447</w:t>
      </w:r>
    </w:p>
    <w:p w:rsidR="00086D18" w:rsidRDefault="00086D18" w:rsidP="00EA035A">
      <w:pPr>
        <w:pStyle w:val="NormalWeb"/>
        <w:shd w:val="clear" w:color="auto" w:fill="FFFFFF"/>
        <w:rPr>
          <w:color w:val="000000"/>
          <w:sz w:val="27"/>
          <w:szCs w:val="27"/>
        </w:rPr>
      </w:pPr>
    </w:p>
    <w:p w:rsidR="00086D18" w:rsidRDefault="00086D18">
      <w:pPr>
        <w:pStyle w:val="FootnoteText"/>
      </w:pPr>
    </w:p>
  </w:footnote>
  <w:footnote w:id="20">
    <w:p w:rsidR="00086D18" w:rsidRDefault="00086D18" w:rsidP="00086D18">
      <w:pPr>
        <w:spacing w:after="200" w:line="276" w:lineRule="auto"/>
      </w:pPr>
      <w:r>
        <w:rPr>
          <w:rStyle w:val="FootnoteReference"/>
        </w:rPr>
        <w:footnoteRef/>
      </w:r>
      <w:r>
        <w:t xml:space="preserve"> </w:t>
      </w:r>
      <w:r w:rsidRPr="00086D18">
        <w:rPr>
          <w:rFonts w:ascii="Arial" w:hAnsi="Arial" w:cs="Arial"/>
          <w:bCs/>
          <w:sz w:val="16"/>
          <w:szCs w:val="16"/>
          <w:u w:val="single"/>
          <w:lang w:val="en-GB"/>
        </w:rPr>
        <w:t>Hawkins v Clayton</w:t>
      </w:r>
      <w:r w:rsidRPr="00086D18">
        <w:rPr>
          <w:rFonts w:ascii="Arial" w:hAnsi="Arial" w:cs="Arial"/>
          <w:bCs/>
          <w:sz w:val="16"/>
          <w:szCs w:val="16"/>
          <w:lang w:val="en-GB"/>
        </w:rPr>
        <w:t xml:space="preserve"> (1998)164 CLR 539</w:t>
      </w:r>
    </w:p>
  </w:footnote>
  <w:footnote w:id="21">
    <w:p w:rsidR="00086D18" w:rsidRPr="00086D18" w:rsidRDefault="00086D18" w:rsidP="00086D18">
      <w:pPr>
        <w:spacing w:after="200" w:line="276" w:lineRule="auto"/>
        <w:rPr>
          <w:rFonts w:ascii="Arial" w:hAnsi="Arial" w:cs="Arial"/>
          <w:sz w:val="16"/>
          <w:szCs w:val="16"/>
        </w:rPr>
      </w:pPr>
      <w:r>
        <w:rPr>
          <w:rStyle w:val="FootnoteReference"/>
        </w:rPr>
        <w:footnoteRef/>
      </w:r>
      <w:r>
        <w:t xml:space="preserve"> </w:t>
      </w:r>
      <w:proofErr w:type="gramStart"/>
      <w:r w:rsidRPr="00086D18">
        <w:rPr>
          <w:rFonts w:ascii="Arial" w:hAnsi="Arial" w:cs="Arial"/>
          <w:bCs/>
          <w:sz w:val="16"/>
          <w:szCs w:val="16"/>
          <w:u w:val="single"/>
          <w:lang w:val="en-GB"/>
        </w:rPr>
        <w:t xml:space="preserve">Hill v Van </w:t>
      </w:r>
      <w:proofErr w:type="spellStart"/>
      <w:r w:rsidRPr="00086D18">
        <w:rPr>
          <w:rFonts w:ascii="Arial" w:hAnsi="Arial" w:cs="Arial"/>
          <w:bCs/>
          <w:sz w:val="16"/>
          <w:szCs w:val="16"/>
          <w:u w:val="single"/>
          <w:lang w:val="en-GB"/>
        </w:rPr>
        <w:t>Erp</w:t>
      </w:r>
      <w:proofErr w:type="spellEnd"/>
      <w:r w:rsidRPr="00086D18">
        <w:rPr>
          <w:rFonts w:ascii="Arial" w:hAnsi="Arial" w:cs="Arial"/>
          <w:bCs/>
          <w:sz w:val="16"/>
          <w:szCs w:val="16"/>
          <w:u w:val="single"/>
          <w:lang w:val="en-GB"/>
        </w:rPr>
        <w:t xml:space="preserve"> (</w:t>
      </w:r>
      <w:r w:rsidRPr="00086D18">
        <w:rPr>
          <w:rFonts w:ascii="Arial" w:hAnsi="Arial" w:cs="Arial"/>
          <w:bCs/>
          <w:sz w:val="16"/>
          <w:szCs w:val="16"/>
          <w:lang w:val="en-GB"/>
        </w:rPr>
        <w:t>1997) 188 CLR 159.</w:t>
      </w:r>
      <w:proofErr w:type="gramEnd"/>
    </w:p>
    <w:p w:rsidR="00086D18" w:rsidRDefault="00086D18">
      <w:pPr>
        <w:pStyle w:val="FootnoteText"/>
      </w:pPr>
    </w:p>
  </w:footnote>
  <w:footnote w:id="22">
    <w:p w:rsidR="00086D18" w:rsidRDefault="00086D18">
      <w:pPr>
        <w:pStyle w:val="FootnoteText"/>
      </w:pPr>
      <w:r>
        <w:rPr>
          <w:rStyle w:val="FootnoteReference"/>
        </w:rPr>
        <w:footnoteRef/>
      </w:r>
      <w:r>
        <w:t xml:space="preserve"> Wrongs Act (Vic) Part X s. 60 </w:t>
      </w:r>
    </w:p>
  </w:footnote>
  <w:footnote w:id="23">
    <w:p w:rsidR="00086D18" w:rsidRPr="00A81E7B" w:rsidRDefault="00086D18" w:rsidP="00086D18">
      <w:pPr>
        <w:rPr>
          <w:rFonts w:ascii="Arial" w:hAnsi="Arial" w:cs="Arial"/>
          <w:sz w:val="24"/>
          <w:szCs w:val="24"/>
        </w:rPr>
      </w:pPr>
      <w:r>
        <w:rPr>
          <w:rStyle w:val="FootnoteReference"/>
        </w:rPr>
        <w:footnoteRef/>
      </w:r>
      <w:r>
        <w:t xml:space="preserve"> </w:t>
      </w:r>
      <w:r w:rsidRPr="00086D18">
        <w:rPr>
          <w:rFonts w:ascii="Arial" w:hAnsi="Arial" w:cs="Arial"/>
          <w:bCs/>
          <w:sz w:val="16"/>
          <w:szCs w:val="16"/>
          <w:u w:val="single"/>
          <w:lang w:val="en-GB"/>
        </w:rPr>
        <w:t>Montague Mining v Gore</w:t>
      </w:r>
      <w:r w:rsidRPr="00086D18">
        <w:rPr>
          <w:rFonts w:ascii="Arial" w:hAnsi="Arial" w:cs="Arial"/>
          <w:bCs/>
          <w:sz w:val="16"/>
          <w:szCs w:val="16"/>
          <w:lang w:val="en-GB"/>
        </w:rPr>
        <w:t>(1998) FCA 1334</w:t>
      </w:r>
      <w:r w:rsidRPr="00086D18">
        <w:rPr>
          <w:rFonts w:ascii="Arial" w:hAnsi="Arial" w:cs="Arial"/>
          <w:sz w:val="24"/>
          <w:szCs w:val="24"/>
        </w:rPr>
        <w:t xml:space="preserve"> </w:t>
      </w:r>
    </w:p>
    <w:p w:rsidR="00086D18" w:rsidRDefault="00086D18">
      <w:pPr>
        <w:pStyle w:val="FootnoteText"/>
      </w:pPr>
    </w:p>
  </w:footnote>
  <w:footnote w:id="24">
    <w:p w:rsidR="00086D18" w:rsidRPr="00086D18" w:rsidRDefault="00086D18" w:rsidP="00792FC0">
      <w:pPr>
        <w:rPr>
          <w:rFonts w:ascii="Arial" w:hAnsi="Arial" w:cs="Arial"/>
          <w:sz w:val="16"/>
          <w:szCs w:val="16"/>
        </w:rPr>
      </w:pPr>
      <w:r>
        <w:rPr>
          <w:rStyle w:val="FootnoteReference"/>
        </w:rPr>
        <w:footnoteRef/>
      </w:r>
      <w:r>
        <w:t xml:space="preserve"> </w:t>
      </w:r>
      <w:r w:rsidRPr="00086D18">
        <w:rPr>
          <w:rFonts w:ascii="Arial" w:hAnsi="Arial" w:cs="Arial"/>
          <w:bCs/>
          <w:sz w:val="16"/>
          <w:szCs w:val="16"/>
          <w:u w:val="single"/>
          <w:lang w:val="en-GB"/>
        </w:rPr>
        <w:t xml:space="preserve">Dominic v </w:t>
      </w:r>
      <w:proofErr w:type="spellStart"/>
      <w:r w:rsidRPr="00086D18">
        <w:rPr>
          <w:rFonts w:ascii="Arial" w:hAnsi="Arial" w:cs="Arial"/>
          <w:bCs/>
          <w:sz w:val="16"/>
          <w:szCs w:val="16"/>
          <w:u w:val="single"/>
          <w:lang w:val="en-GB"/>
        </w:rPr>
        <w:t>Riz</w:t>
      </w:r>
      <w:proofErr w:type="spellEnd"/>
      <w:r w:rsidRPr="00086D18">
        <w:rPr>
          <w:rFonts w:ascii="Arial" w:hAnsi="Arial" w:cs="Arial"/>
          <w:bCs/>
          <w:sz w:val="16"/>
          <w:szCs w:val="16"/>
          <w:lang w:val="en-GB"/>
        </w:rPr>
        <w:t xml:space="preserve"> (2009) NSWCA 216</w:t>
      </w:r>
    </w:p>
    <w:p w:rsidR="00086D18" w:rsidRDefault="00086D18">
      <w:pPr>
        <w:pStyle w:val="FootnoteText"/>
      </w:pPr>
    </w:p>
  </w:footnote>
  <w:footnote w:id="25">
    <w:p w:rsidR="00792FC0" w:rsidRPr="00792FC0" w:rsidRDefault="00792FC0">
      <w:pPr>
        <w:pStyle w:val="FootnoteText"/>
        <w:rPr>
          <w:sz w:val="16"/>
          <w:szCs w:val="16"/>
        </w:rPr>
      </w:pPr>
      <w:r>
        <w:rPr>
          <w:rStyle w:val="FootnoteReference"/>
        </w:rPr>
        <w:footnoteRef/>
      </w:r>
      <w:r>
        <w:t xml:space="preserve"> </w:t>
      </w:r>
      <w:proofErr w:type="spellStart"/>
      <w:r w:rsidRPr="00792FC0">
        <w:rPr>
          <w:rFonts w:ascii="Arial" w:hAnsi="Arial" w:cs="Arial"/>
          <w:bCs/>
          <w:sz w:val="16"/>
          <w:szCs w:val="16"/>
          <w:u w:val="single"/>
          <w:lang w:val="en-GB"/>
        </w:rPr>
        <w:t>Spiteri</w:t>
      </w:r>
      <w:proofErr w:type="spellEnd"/>
      <w:r w:rsidRPr="00792FC0">
        <w:rPr>
          <w:rFonts w:ascii="Arial" w:hAnsi="Arial" w:cs="Arial"/>
          <w:bCs/>
          <w:sz w:val="16"/>
          <w:szCs w:val="16"/>
          <w:u w:val="single"/>
          <w:lang w:val="en-GB"/>
        </w:rPr>
        <w:t xml:space="preserve"> v </w:t>
      </w:r>
      <w:proofErr w:type="spellStart"/>
      <w:r w:rsidRPr="00792FC0">
        <w:rPr>
          <w:rFonts w:ascii="Arial" w:hAnsi="Arial" w:cs="Arial"/>
          <w:bCs/>
          <w:sz w:val="16"/>
          <w:szCs w:val="16"/>
          <w:u w:val="single"/>
          <w:lang w:val="en-GB"/>
        </w:rPr>
        <w:t>Roccisano</w:t>
      </w:r>
      <w:proofErr w:type="spellEnd"/>
      <w:r w:rsidRPr="00792FC0">
        <w:rPr>
          <w:rFonts w:ascii="Arial" w:hAnsi="Arial" w:cs="Arial"/>
          <w:bCs/>
          <w:sz w:val="16"/>
          <w:szCs w:val="16"/>
          <w:lang w:val="en-GB"/>
        </w:rPr>
        <w:t xml:space="preserve"> (2009) VSC 132</w:t>
      </w:r>
    </w:p>
  </w:footnote>
  <w:footnote w:id="26">
    <w:p w:rsidR="00086D18" w:rsidRPr="002827FD" w:rsidRDefault="00086D18">
      <w:pPr>
        <w:pStyle w:val="FootnoteText"/>
        <w:rPr>
          <w:sz w:val="16"/>
          <w:szCs w:val="16"/>
        </w:rPr>
      </w:pPr>
      <w:r>
        <w:rPr>
          <w:rStyle w:val="FootnoteReference"/>
        </w:rPr>
        <w:footnoteRef/>
      </w:r>
      <w:r>
        <w:t xml:space="preserve"> </w:t>
      </w:r>
      <w:r w:rsidRPr="002827FD">
        <w:rPr>
          <w:rFonts w:ascii="Arial" w:hAnsi="Arial" w:cs="Arial"/>
          <w:i/>
          <w:iCs/>
          <w:sz w:val="16"/>
          <w:szCs w:val="16"/>
        </w:rPr>
        <w:t xml:space="preserve">Transfer of Land </w:t>
      </w:r>
      <w:r w:rsidRPr="002827FD">
        <w:rPr>
          <w:rFonts w:ascii="Arial" w:hAnsi="Arial" w:cs="Arial"/>
          <w:i/>
          <w:sz w:val="16"/>
          <w:szCs w:val="16"/>
        </w:rPr>
        <w:t xml:space="preserve">Act </w:t>
      </w:r>
      <w:r w:rsidRPr="002827FD">
        <w:rPr>
          <w:rFonts w:ascii="Arial" w:hAnsi="Arial" w:cs="Arial"/>
          <w:sz w:val="16"/>
          <w:szCs w:val="16"/>
        </w:rPr>
        <w:t>(1958) (Vic) s. 37</w:t>
      </w:r>
    </w:p>
  </w:footnote>
  <w:footnote w:id="27">
    <w:p w:rsidR="00086D18" w:rsidRDefault="00086D18">
      <w:pPr>
        <w:pStyle w:val="FootnoteText"/>
      </w:pPr>
      <w:r>
        <w:rPr>
          <w:rStyle w:val="FootnoteReference"/>
        </w:rPr>
        <w:footnoteRef/>
      </w:r>
      <w:r>
        <w:t xml:space="preserve"> Powers of Attorney Act ( 2014) (Vic) </w:t>
      </w:r>
      <w:proofErr w:type="spellStart"/>
      <w:r>
        <w:t>ss</w:t>
      </w:r>
      <w:proofErr w:type="spellEnd"/>
      <w:r>
        <w:t xml:space="preserve"> 63 - 69</w:t>
      </w:r>
    </w:p>
  </w:footnote>
  <w:footnote w:id="28">
    <w:p w:rsidR="00086D18" w:rsidRDefault="00086D18">
      <w:pPr>
        <w:pStyle w:val="FootnoteText"/>
      </w:pPr>
      <w:r>
        <w:rPr>
          <w:rStyle w:val="FootnoteReference"/>
        </w:rPr>
        <w:footnoteRef/>
      </w:r>
      <w:r>
        <w:t xml:space="preserve"> Simplifying medical treatment decision making and advance care planning Ensuring Victorians can make decisions about their future medical treatment Department of Health and Human Services   (2016) </w:t>
      </w:r>
    </w:p>
  </w:footnote>
  <w:footnote w:id="29">
    <w:p w:rsidR="00086D18" w:rsidRDefault="00086D18">
      <w:pPr>
        <w:pStyle w:val="FootnoteText"/>
      </w:pPr>
      <w:r>
        <w:rPr>
          <w:rStyle w:val="FootnoteReference"/>
        </w:rPr>
        <w:footnoteRef/>
      </w:r>
      <w:r>
        <w:t xml:space="preserve"> Ibid p 11</w:t>
      </w:r>
    </w:p>
  </w:footnote>
  <w:footnote w:id="30">
    <w:p w:rsidR="00086D18" w:rsidRDefault="00086D18">
      <w:pPr>
        <w:pStyle w:val="FootnoteText"/>
      </w:pPr>
      <w:r>
        <w:rPr>
          <w:rStyle w:val="FootnoteReference"/>
        </w:rPr>
        <w:footnoteRef/>
      </w:r>
      <w:r>
        <w:t xml:space="preserve"> </w:t>
      </w:r>
      <w:proofErr w:type="gramStart"/>
      <w:r>
        <w:t>Patrick’s case.</w:t>
      </w:r>
      <w:proofErr w:type="gramEnd"/>
      <w:r>
        <w:t xml:space="preserve"> PJB v Melbourne health (2011) VSC 327</w:t>
      </w:r>
    </w:p>
  </w:footnote>
  <w:footnote w:id="31">
    <w:p w:rsidR="00086D18" w:rsidRDefault="00086D18" w:rsidP="00AB173D">
      <w:pPr>
        <w:pStyle w:val="FootnoteText"/>
        <w:spacing w:before="240"/>
      </w:pPr>
      <w:r>
        <w:rPr>
          <w:rStyle w:val="FootnoteReference"/>
        </w:rPr>
        <w:footnoteRef/>
      </w:r>
      <w:r>
        <w:t xml:space="preserve"> Guardianship and Administration Act (1986) (Vic) s. 16 (1) (h) </w:t>
      </w:r>
    </w:p>
  </w:footnote>
  <w:footnote w:id="32">
    <w:p w:rsidR="00B37D6E" w:rsidRDefault="00B37D6E" w:rsidP="00B37D6E">
      <w:pPr>
        <w:pStyle w:val="FootnoteText"/>
      </w:pPr>
      <w:r>
        <w:rPr>
          <w:rStyle w:val="FootnoteReference"/>
        </w:rPr>
        <w:footnoteRef/>
      </w:r>
      <w:r>
        <w:t xml:space="preserve"> ALRC Issues paper 47 p13</w:t>
      </w:r>
    </w:p>
  </w:footnote>
  <w:footnote w:id="33">
    <w:p w:rsidR="00B37D6E" w:rsidRDefault="00B37D6E" w:rsidP="00B37D6E">
      <w:pPr>
        <w:pStyle w:val="FootnoteText"/>
      </w:pPr>
      <w:r>
        <w:rPr>
          <w:rStyle w:val="FootnoteReference"/>
        </w:rPr>
        <w:footnoteRef/>
      </w:r>
      <w:r>
        <w:t xml:space="preserve"> ALRC Issues paper 47 p12</w:t>
      </w:r>
    </w:p>
  </w:footnote>
  <w:footnote w:id="34">
    <w:p w:rsidR="00086D18" w:rsidRDefault="00086D18">
      <w:pPr>
        <w:pStyle w:val="FootnoteText"/>
      </w:pPr>
      <w:r>
        <w:rPr>
          <w:rStyle w:val="FootnoteReference"/>
        </w:rPr>
        <w:footnoteRef/>
      </w:r>
      <w:r>
        <w:t xml:space="preserve"> </w:t>
      </w:r>
      <w:r w:rsidR="00B03F2D">
        <w:t xml:space="preserve">Explanatory memorandum </w:t>
      </w:r>
    </w:p>
  </w:footnote>
  <w:footnote w:id="35">
    <w:p w:rsidR="00086D18" w:rsidRPr="008947B8" w:rsidRDefault="00086D18" w:rsidP="00272110">
      <w:pPr>
        <w:pStyle w:val="FootnoteText"/>
        <w:rPr>
          <w:lang w:val="en-US"/>
        </w:rPr>
      </w:pPr>
      <w:r>
        <w:rPr>
          <w:rStyle w:val="FootnoteReference"/>
        </w:rPr>
        <w:footnoteRef/>
      </w:r>
      <w:r>
        <w:t xml:space="preserve"> Wilmot, l and White B and </w:t>
      </w:r>
      <w:proofErr w:type="spellStart"/>
      <w:r>
        <w:t>Downie</w:t>
      </w:r>
      <w:proofErr w:type="spellEnd"/>
      <w:r>
        <w:t xml:space="preserve">, </w:t>
      </w:r>
      <w:proofErr w:type="gramStart"/>
      <w:r>
        <w:t>J :</w:t>
      </w:r>
      <w:proofErr w:type="gramEnd"/>
      <w:r>
        <w:t xml:space="preserve"> (2013)  Withholding and withdrawal of “futile” life--sustaining treatment: unilateral medical decision making in Australia and New Zealand .</w:t>
      </w:r>
      <w:r w:rsidRPr="004E66E5">
        <w:t xml:space="preserve"> </w:t>
      </w:r>
      <w:r>
        <w:t>JLM 20 (4) p. 909.</w:t>
      </w:r>
    </w:p>
    <w:p w:rsidR="00086D18" w:rsidRDefault="00086D18">
      <w:pPr>
        <w:pStyle w:val="FootnoteText"/>
      </w:pPr>
    </w:p>
  </w:footnote>
  <w:footnote w:id="36">
    <w:p w:rsidR="00086D18" w:rsidRDefault="00086D18" w:rsidP="00272110">
      <w:r>
        <w:rPr>
          <w:rStyle w:val="FootnoteReference"/>
        </w:rPr>
        <w:footnoteRef/>
      </w:r>
      <w:r>
        <w:t xml:space="preserve"> R v </w:t>
      </w:r>
      <w:proofErr w:type="spellStart"/>
      <w:r w:rsidRPr="00272110">
        <w:rPr>
          <w:rFonts w:ascii="Arial" w:hAnsi="Arial" w:cs="Arial"/>
          <w:sz w:val="16"/>
          <w:szCs w:val="16"/>
        </w:rPr>
        <w:t>Tak</w:t>
      </w:r>
      <w:proofErr w:type="spellEnd"/>
      <w:r w:rsidRPr="00272110">
        <w:rPr>
          <w:rFonts w:ascii="Arial" w:hAnsi="Arial" w:cs="Arial"/>
          <w:sz w:val="16"/>
          <w:szCs w:val="16"/>
        </w:rPr>
        <w:t xml:space="preserve"> </w:t>
      </w:r>
      <w:proofErr w:type="spellStart"/>
      <w:r>
        <w:rPr>
          <w:rFonts w:ascii="Arial" w:hAnsi="Arial" w:cs="Arial"/>
          <w:sz w:val="16"/>
          <w:szCs w:val="16"/>
        </w:rPr>
        <w:t>T</w:t>
      </w:r>
      <w:r w:rsidRPr="00272110">
        <w:rPr>
          <w:rFonts w:ascii="Arial" w:hAnsi="Arial" w:cs="Arial"/>
          <w:sz w:val="16"/>
          <w:szCs w:val="16"/>
        </w:rPr>
        <w:t>ak</w:t>
      </w:r>
      <w:bookmarkStart w:id="0" w:name="_GoBack"/>
      <w:bookmarkEnd w:id="0"/>
      <w:proofErr w:type="spellEnd"/>
      <w:r w:rsidRPr="00272110">
        <w:rPr>
          <w:rFonts w:ascii="Arial" w:hAnsi="Arial" w:cs="Arial"/>
          <w:sz w:val="16"/>
          <w:szCs w:val="16"/>
        </w:rPr>
        <w:t xml:space="preserve"> 1988 34 A Crim R 334</w:t>
      </w:r>
    </w:p>
    <w:p w:rsidR="00086D18" w:rsidRDefault="00086D18">
      <w:pPr>
        <w:pStyle w:val="FootnoteText"/>
      </w:pPr>
    </w:p>
  </w:footnote>
  <w:footnote w:id="37">
    <w:p w:rsidR="00086D18" w:rsidRDefault="00086D18">
      <w:pPr>
        <w:pStyle w:val="FootnoteText"/>
      </w:pPr>
      <w:r>
        <w:rPr>
          <w:rStyle w:val="FootnoteReference"/>
        </w:rPr>
        <w:footnoteRef/>
      </w:r>
      <w:r>
        <w:t xml:space="preserve"> Summary Offences Act (1966) (Vic) s. 24</w:t>
      </w:r>
    </w:p>
  </w:footnote>
  <w:footnote w:id="38">
    <w:p w:rsidR="00086D18" w:rsidRDefault="00086D18">
      <w:pPr>
        <w:pStyle w:val="FootnoteText"/>
      </w:pPr>
      <w:r>
        <w:rPr>
          <w:rStyle w:val="FootnoteReference"/>
        </w:rPr>
        <w:footnoteRef/>
      </w:r>
      <w:r>
        <w:t xml:space="preserve"> Surveillance Devices Act ( 1999) s. (9B) (2) </w:t>
      </w:r>
    </w:p>
  </w:footnote>
  <w:footnote w:id="39">
    <w:p w:rsidR="00086D18" w:rsidRDefault="00086D18">
      <w:pPr>
        <w:pStyle w:val="FootnoteText"/>
      </w:pPr>
      <w:r>
        <w:rPr>
          <w:rStyle w:val="FootnoteReference"/>
        </w:rPr>
        <w:footnoteRef/>
      </w:r>
      <w:r>
        <w:t xml:space="preserve"> ???p 67</w:t>
      </w:r>
    </w:p>
  </w:footnote>
  <w:footnote w:id="40">
    <w:p w:rsidR="00086D18" w:rsidRDefault="00086D18">
      <w:pPr>
        <w:pStyle w:val="FootnoteText"/>
      </w:pPr>
      <w:r>
        <w:rPr>
          <w:rStyle w:val="FootnoteReference"/>
        </w:rPr>
        <w:footnoteRef/>
      </w:r>
      <w:r>
        <w:t xml:space="preserve"> ??? p 93</w:t>
      </w:r>
    </w:p>
  </w:footnote>
  <w:footnote w:id="41">
    <w:p w:rsidR="00086D18" w:rsidRPr="00B05D92" w:rsidRDefault="00086D18">
      <w:pPr>
        <w:pStyle w:val="FootnoteText"/>
        <w:rPr>
          <w:sz w:val="16"/>
          <w:szCs w:val="16"/>
        </w:rPr>
      </w:pPr>
      <w:r>
        <w:rPr>
          <w:rStyle w:val="FootnoteReference"/>
        </w:rPr>
        <w:footnoteRef/>
      </w:r>
      <w:r>
        <w:t xml:space="preserve"> </w:t>
      </w:r>
      <w:r w:rsidRPr="00B05D92">
        <w:rPr>
          <w:rFonts w:ascii="Arial" w:hAnsi="Arial" w:cs="Arial"/>
          <w:i/>
          <w:sz w:val="16"/>
          <w:szCs w:val="16"/>
        </w:rPr>
        <w:t xml:space="preserve">Rosenthal v The Sir Moses </w:t>
      </w:r>
      <w:proofErr w:type="spellStart"/>
      <w:r w:rsidRPr="00B05D92">
        <w:rPr>
          <w:rFonts w:ascii="Arial" w:hAnsi="Arial" w:cs="Arial"/>
          <w:i/>
          <w:sz w:val="16"/>
          <w:szCs w:val="16"/>
        </w:rPr>
        <w:t>Montefiore</w:t>
      </w:r>
      <w:proofErr w:type="spellEnd"/>
      <w:r w:rsidRPr="00B05D92">
        <w:rPr>
          <w:rFonts w:ascii="Arial" w:hAnsi="Arial" w:cs="Arial"/>
          <w:i/>
          <w:sz w:val="16"/>
          <w:szCs w:val="16"/>
        </w:rPr>
        <w:t xml:space="preserve"> Jewish home</w:t>
      </w:r>
      <w:r w:rsidRPr="00B05D92">
        <w:rPr>
          <w:rFonts w:ascii="Arial" w:hAnsi="Arial" w:cs="Arial"/>
          <w:sz w:val="16"/>
          <w:szCs w:val="16"/>
        </w:rPr>
        <w:t xml:space="preserve"> (no. 2) SC NSW 31 August 1995 (unreported)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D5" w:rsidRDefault="000962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D5" w:rsidRDefault="000962D5">
    <w:pPr>
      <w:pStyle w:val="Header"/>
    </w:pPr>
    <w:r>
      <w:t>155. L Barratt</w:t>
    </w:r>
  </w:p>
  <w:p w:rsidR="000962D5" w:rsidRDefault="000962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D5" w:rsidRDefault="000962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85398"/>
    <w:multiLevelType w:val="hybridMultilevel"/>
    <w:tmpl w:val="FC226820"/>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240F0AF9"/>
    <w:multiLevelType w:val="hybridMultilevel"/>
    <w:tmpl w:val="739C98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9056070"/>
    <w:multiLevelType w:val="hybridMultilevel"/>
    <w:tmpl w:val="55E0E3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0B9542B"/>
    <w:multiLevelType w:val="hybridMultilevel"/>
    <w:tmpl w:val="B270E0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43E86A6F"/>
    <w:multiLevelType w:val="hybridMultilevel"/>
    <w:tmpl w:val="7AEE5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50C2265"/>
    <w:multiLevelType w:val="hybridMultilevel"/>
    <w:tmpl w:val="5E14A3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F757C32"/>
    <w:multiLevelType w:val="hybridMultilevel"/>
    <w:tmpl w:val="D8445E2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533030B2"/>
    <w:multiLevelType w:val="hybridMultilevel"/>
    <w:tmpl w:val="C38A22C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nsid w:val="6D2A2157"/>
    <w:multiLevelType w:val="hybridMultilevel"/>
    <w:tmpl w:val="9EC20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F2A62D0"/>
    <w:multiLevelType w:val="hybridMultilevel"/>
    <w:tmpl w:val="444EB4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4A95222"/>
    <w:multiLevelType w:val="hybridMultilevel"/>
    <w:tmpl w:val="5ED0C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5"/>
  </w:num>
  <w:num w:numId="5">
    <w:abstractNumId w:val="8"/>
  </w:num>
  <w:num w:numId="6">
    <w:abstractNumId w:val="4"/>
  </w:num>
  <w:num w:numId="7">
    <w:abstractNumId w:val="9"/>
  </w:num>
  <w:num w:numId="8">
    <w:abstractNumId w:val="6"/>
  </w:num>
  <w:num w:numId="9">
    <w:abstractNumId w:val="1"/>
  </w:num>
  <w:num w:numId="10">
    <w:abstractNumId w:val="2"/>
  </w:num>
  <w:num w:numId="11">
    <w:abstractNumId w:val="0"/>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9107D"/>
    <w:rsid w:val="00054CFE"/>
    <w:rsid w:val="00057227"/>
    <w:rsid w:val="00084429"/>
    <w:rsid w:val="00086D18"/>
    <w:rsid w:val="000962D5"/>
    <w:rsid w:val="000C341F"/>
    <w:rsid w:val="000C56B2"/>
    <w:rsid w:val="00104EFD"/>
    <w:rsid w:val="001441C0"/>
    <w:rsid w:val="00145119"/>
    <w:rsid w:val="001871EF"/>
    <w:rsid w:val="00196E11"/>
    <w:rsid w:val="001D10C7"/>
    <w:rsid w:val="001D66D7"/>
    <w:rsid w:val="001F796C"/>
    <w:rsid w:val="002719E8"/>
    <w:rsid w:val="00272110"/>
    <w:rsid w:val="002827FD"/>
    <w:rsid w:val="00295C4D"/>
    <w:rsid w:val="002A706E"/>
    <w:rsid w:val="002D5C88"/>
    <w:rsid w:val="002F5381"/>
    <w:rsid w:val="00326A98"/>
    <w:rsid w:val="00330C64"/>
    <w:rsid w:val="00363FBF"/>
    <w:rsid w:val="0036521C"/>
    <w:rsid w:val="00373AA7"/>
    <w:rsid w:val="003740E1"/>
    <w:rsid w:val="003D6B32"/>
    <w:rsid w:val="003D75CE"/>
    <w:rsid w:val="00444698"/>
    <w:rsid w:val="00484063"/>
    <w:rsid w:val="004A10D5"/>
    <w:rsid w:val="004E5104"/>
    <w:rsid w:val="004F3A28"/>
    <w:rsid w:val="005121DD"/>
    <w:rsid w:val="005445DA"/>
    <w:rsid w:val="005569DC"/>
    <w:rsid w:val="00563D61"/>
    <w:rsid w:val="00567CEB"/>
    <w:rsid w:val="00596123"/>
    <w:rsid w:val="005A6186"/>
    <w:rsid w:val="005B5DF4"/>
    <w:rsid w:val="005D2E65"/>
    <w:rsid w:val="00634F02"/>
    <w:rsid w:val="006459DA"/>
    <w:rsid w:val="0065502F"/>
    <w:rsid w:val="00674FE5"/>
    <w:rsid w:val="00693762"/>
    <w:rsid w:val="006F2FAF"/>
    <w:rsid w:val="007005CB"/>
    <w:rsid w:val="0070107D"/>
    <w:rsid w:val="00707670"/>
    <w:rsid w:val="00737D86"/>
    <w:rsid w:val="007516FD"/>
    <w:rsid w:val="00754AAD"/>
    <w:rsid w:val="007664A5"/>
    <w:rsid w:val="007831D0"/>
    <w:rsid w:val="00792FC0"/>
    <w:rsid w:val="007A5C9E"/>
    <w:rsid w:val="007E440C"/>
    <w:rsid w:val="007F1887"/>
    <w:rsid w:val="007F1F7A"/>
    <w:rsid w:val="00821907"/>
    <w:rsid w:val="00823382"/>
    <w:rsid w:val="008649F9"/>
    <w:rsid w:val="008865E0"/>
    <w:rsid w:val="008E28C0"/>
    <w:rsid w:val="008E3DEC"/>
    <w:rsid w:val="008E4B0A"/>
    <w:rsid w:val="009835F8"/>
    <w:rsid w:val="00984683"/>
    <w:rsid w:val="0099107D"/>
    <w:rsid w:val="009944DF"/>
    <w:rsid w:val="009A0933"/>
    <w:rsid w:val="009A3CC1"/>
    <w:rsid w:val="009D2547"/>
    <w:rsid w:val="009D614F"/>
    <w:rsid w:val="00A038F6"/>
    <w:rsid w:val="00A224DB"/>
    <w:rsid w:val="00A34FF2"/>
    <w:rsid w:val="00A51CF8"/>
    <w:rsid w:val="00A51D6E"/>
    <w:rsid w:val="00A62443"/>
    <w:rsid w:val="00AB173D"/>
    <w:rsid w:val="00AB31FD"/>
    <w:rsid w:val="00AB7C34"/>
    <w:rsid w:val="00AE7159"/>
    <w:rsid w:val="00AF266D"/>
    <w:rsid w:val="00B03F2D"/>
    <w:rsid w:val="00B05D92"/>
    <w:rsid w:val="00B37D6E"/>
    <w:rsid w:val="00B67A53"/>
    <w:rsid w:val="00B95E53"/>
    <w:rsid w:val="00BE2E23"/>
    <w:rsid w:val="00C04DE2"/>
    <w:rsid w:val="00CD2B11"/>
    <w:rsid w:val="00CF3E41"/>
    <w:rsid w:val="00D05447"/>
    <w:rsid w:val="00D210AB"/>
    <w:rsid w:val="00D52C51"/>
    <w:rsid w:val="00D52C88"/>
    <w:rsid w:val="00D63133"/>
    <w:rsid w:val="00DF7513"/>
    <w:rsid w:val="00E66DD6"/>
    <w:rsid w:val="00E80B0C"/>
    <w:rsid w:val="00EA035A"/>
    <w:rsid w:val="00EA7861"/>
    <w:rsid w:val="00EB25A0"/>
    <w:rsid w:val="00ED5B21"/>
    <w:rsid w:val="00F3040C"/>
    <w:rsid w:val="00F6443A"/>
    <w:rsid w:val="00F725DA"/>
    <w:rsid w:val="00FA0827"/>
    <w:rsid w:val="00FA090B"/>
    <w:rsid w:val="00FF35F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D"/>
    <w:pPr>
      <w:spacing w:after="0" w:line="240" w:lineRule="auto"/>
    </w:pPr>
    <w:rPr>
      <w:rFonts w:ascii="Calibri" w:hAnsi="Calibri" w:cs="Calibri"/>
    </w:rPr>
  </w:style>
  <w:style w:type="paragraph" w:styleId="Heading1">
    <w:name w:val="heading 1"/>
    <w:basedOn w:val="Normal"/>
    <w:link w:val="Heading1Char"/>
    <w:uiPriority w:val="9"/>
    <w:qFormat/>
    <w:rsid w:val="008E28C0"/>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7D"/>
    <w:pPr>
      <w:ind w:left="720"/>
    </w:pPr>
  </w:style>
  <w:style w:type="character" w:styleId="Strong">
    <w:name w:val="Strong"/>
    <w:basedOn w:val="DefaultParagraphFont"/>
    <w:uiPriority w:val="22"/>
    <w:qFormat/>
    <w:rsid w:val="0099107D"/>
    <w:rPr>
      <w:b/>
      <w:bCs/>
    </w:rPr>
  </w:style>
  <w:style w:type="character" w:customStyle="1" w:styleId="Heading1Char">
    <w:name w:val="Heading 1 Char"/>
    <w:basedOn w:val="DefaultParagraphFont"/>
    <w:link w:val="Heading1"/>
    <w:uiPriority w:val="9"/>
    <w:rsid w:val="008E28C0"/>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8E28C0"/>
    <w:rPr>
      <w:rFonts w:ascii="Tahoma" w:hAnsi="Tahoma" w:cs="Tahoma"/>
      <w:sz w:val="16"/>
      <w:szCs w:val="16"/>
    </w:rPr>
  </w:style>
  <w:style w:type="character" w:customStyle="1" w:styleId="BalloonTextChar">
    <w:name w:val="Balloon Text Char"/>
    <w:basedOn w:val="DefaultParagraphFont"/>
    <w:link w:val="BalloonText"/>
    <w:uiPriority w:val="99"/>
    <w:semiHidden/>
    <w:rsid w:val="008E28C0"/>
    <w:rPr>
      <w:rFonts w:ascii="Tahoma" w:hAnsi="Tahoma" w:cs="Tahoma"/>
      <w:sz w:val="16"/>
      <w:szCs w:val="16"/>
    </w:rPr>
  </w:style>
  <w:style w:type="paragraph" w:styleId="FootnoteText">
    <w:name w:val="footnote text"/>
    <w:basedOn w:val="Normal"/>
    <w:link w:val="FootnoteTextChar"/>
    <w:semiHidden/>
    <w:unhideWhenUsed/>
    <w:rsid w:val="0065502F"/>
    <w:rPr>
      <w:sz w:val="20"/>
      <w:szCs w:val="20"/>
    </w:rPr>
  </w:style>
  <w:style w:type="character" w:customStyle="1" w:styleId="FootnoteTextChar">
    <w:name w:val="Footnote Text Char"/>
    <w:basedOn w:val="DefaultParagraphFont"/>
    <w:link w:val="FootnoteText"/>
    <w:semiHidden/>
    <w:rsid w:val="0065502F"/>
    <w:rPr>
      <w:rFonts w:ascii="Calibri" w:hAnsi="Calibri" w:cs="Calibri"/>
      <w:sz w:val="20"/>
      <w:szCs w:val="20"/>
    </w:rPr>
  </w:style>
  <w:style w:type="character" w:styleId="FootnoteReference">
    <w:name w:val="footnote reference"/>
    <w:basedOn w:val="DefaultParagraphFont"/>
    <w:semiHidden/>
    <w:unhideWhenUsed/>
    <w:rsid w:val="0065502F"/>
    <w:rPr>
      <w:vertAlign w:val="superscript"/>
    </w:rPr>
  </w:style>
  <w:style w:type="character" w:styleId="Hyperlink">
    <w:name w:val="Hyperlink"/>
    <w:uiPriority w:val="99"/>
    <w:unhideWhenUsed/>
    <w:rsid w:val="00563D61"/>
    <w:rPr>
      <w:color w:val="0000FF"/>
      <w:u w:val="single"/>
    </w:rPr>
  </w:style>
  <w:style w:type="paragraph" w:styleId="NormalWeb">
    <w:name w:val="Normal (Web)"/>
    <w:basedOn w:val="Normal"/>
    <w:uiPriority w:val="99"/>
    <w:semiHidden/>
    <w:unhideWhenUsed/>
    <w:rsid w:val="00EA035A"/>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A035A"/>
  </w:style>
  <w:style w:type="paragraph" w:styleId="Header">
    <w:name w:val="header"/>
    <w:basedOn w:val="Normal"/>
    <w:link w:val="HeaderChar"/>
    <w:uiPriority w:val="99"/>
    <w:unhideWhenUsed/>
    <w:rsid w:val="00B03F2D"/>
    <w:pPr>
      <w:tabs>
        <w:tab w:val="center" w:pos="4513"/>
        <w:tab w:val="right" w:pos="9026"/>
      </w:tabs>
    </w:pPr>
  </w:style>
  <w:style w:type="character" w:customStyle="1" w:styleId="HeaderChar">
    <w:name w:val="Header Char"/>
    <w:basedOn w:val="DefaultParagraphFont"/>
    <w:link w:val="Header"/>
    <w:uiPriority w:val="99"/>
    <w:rsid w:val="00B03F2D"/>
    <w:rPr>
      <w:rFonts w:ascii="Calibri" w:hAnsi="Calibri" w:cs="Calibri"/>
    </w:rPr>
  </w:style>
  <w:style w:type="paragraph" w:styleId="Footer">
    <w:name w:val="footer"/>
    <w:basedOn w:val="Normal"/>
    <w:link w:val="FooterChar"/>
    <w:uiPriority w:val="99"/>
    <w:unhideWhenUsed/>
    <w:rsid w:val="00B03F2D"/>
    <w:pPr>
      <w:tabs>
        <w:tab w:val="center" w:pos="4513"/>
        <w:tab w:val="right" w:pos="9026"/>
      </w:tabs>
    </w:pPr>
  </w:style>
  <w:style w:type="character" w:customStyle="1" w:styleId="FooterChar">
    <w:name w:val="Footer Char"/>
    <w:basedOn w:val="DefaultParagraphFont"/>
    <w:link w:val="Footer"/>
    <w:uiPriority w:val="99"/>
    <w:rsid w:val="00B03F2D"/>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07D"/>
    <w:pPr>
      <w:spacing w:after="0" w:line="240" w:lineRule="auto"/>
    </w:pPr>
    <w:rPr>
      <w:rFonts w:ascii="Calibri" w:hAnsi="Calibri" w:cs="Calibri"/>
    </w:rPr>
  </w:style>
  <w:style w:type="paragraph" w:styleId="Heading1">
    <w:name w:val="heading 1"/>
    <w:basedOn w:val="Normal"/>
    <w:link w:val="Heading1Char"/>
    <w:uiPriority w:val="9"/>
    <w:qFormat/>
    <w:rsid w:val="008E28C0"/>
    <w:pPr>
      <w:spacing w:before="100" w:beforeAutospacing="1" w:after="100" w:afterAutospacing="1"/>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07D"/>
    <w:pPr>
      <w:ind w:left="720"/>
    </w:pPr>
  </w:style>
  <w:style w:type="character" w:styleId="Strong">
    <w:name w:val="Strong"/>
    <w:basedOn w:val="DefaultParagraphFont"/>
    <w:uiPriority w:val="22"/>
    <w:qFormat/>
    <w:rsid w:val="0099107D"/>
    <w:rPr>
      <w:b/>
      <w:bCs/>
    </w:rPr>
  </w:style>
  <w:style w:type="character" w:customStyle="1" w:styleId="Heading1Char">
    <w:name w:val="Heading 1 Char"/>
    <w:basedOn w:val="DefaultParagraphFont"/>
    <w:link w:val="Heading1"/>
    <w:uiPriority w:val="9"/>
    <w:rsid w:val="008E28C0"/>
    <w:rPr>
      <w:rFonts w:ascii="Times New Roman" w:eastAsia="Times New Roman" w:hAnsi="Times New Roman" w:cs="Times New Roman"/>
      <w:b/>
      <w:bCs/>
      <w:kern w:val="36"/>
      <w:sz w:val="48"/>
      <w:szCs w:val="48"/>
      <w:lang w:eastAsia="en-AU"/>
    </w:rPr>
  </w:style>
  <w:style w:type="paragraph" w:styleId="BalloonText">
    <w:name w:val="Balloon Text"/>
    <w:basedOn w:val="Normal"/>
    <w:link w:val="BalloonTextChar"/>
    <w:uiPriority w:val="99"/>
    <w:semiHidden/>
    <w:unhideWhenUsed/>
    <w:rsid w:val="008E28C0"/>
    <w:rPr>
      <w:rFonts w:ascii="Tahoma" w:hAnsi="Tahoma" w:cs="Tahoma"/>
      <w:sz w:val="16"/>
      <w:szCs w:val="16"/>
    </w:rPr>
  </w:style>
  <w:style w:type="character" w:customStyle="1" w:styleId="BalloonTextChar">
    <w:name w:val="Balloon Text Char"/>
    <w:basedOn w:val="DefaultParagraphFont"/>
    <w:link w:val="BalloonText"/>
    <w:uiPriority w:val="99"/>
    <w:semiHidden/>
    <w:rsid w:val="008E28C0"/>
    <w:rPr>
      <w:rFonts w:ascii="Tahoma" w:hAnsi="Tahoma" w:cs="Tahoma"/>
      <w:sz w:val="16"/>
      <w:szCs w:val="16"/>
    </w:rPr>
  </w:style>
  <w:style w:type="paragraph" w:styleId="FootnoteText">
    <w:name w:val="footnote text"/>
    <w:basedOn w:val="Normal"/>
    <w:link w:val="FootnoteTextChar"/>
    <w:semiHidden/>
    <w:unhideWhenUsed/>
    <w:rsid w:val="0065502F"/>
    <w:rPr>
      <w:sz w:val="20"/>
      <w:szCs w:val="20"/>
    </w:rPr>
  </w:style>
  <w:style w:type="character" w:customStyle="1" w:styleId="FootnoteTextChar">
    <w:name w:val="Footnote Text Char"/>
    <w:basedOn w:val="DefaultParagraphFont"/>
    <w:link w:val="FootnoteText"/>
    <w:semiHidden/>
    <w:rsid w:val="0065502F"/>
    <w:rPr>
      <w:rFonts w:ascii="Calibri" w:hAnsi="Calibri" w:cs="Calibri"/>
      <w:sz w:val="20"/>
      <w:szCs w:val="20"/>
    </w:rPr>
  </w:style>
  <w:style w:type="character" w:styleId="FootnoteReference">
    <w:name w:val="footnote reference"/>
    <w:basedOn w:val="DefaultParagraphFont"/>
    <w:semiHidden/>
    <w:unhideWhenUsed/>
    <w:rsid w:val="0065502F"/>
    <w:rPr>
      <w:vertAlign w:val="superscript"/>
    </w:rPr>
  </w:style>
  <w:style w:type="character" w:styleId="Hyperlink">
    <w:name w:val="Hyperlink"/>
    <w:uiPriority w:val="99"/>
    <w:unhideWhenUsed/>
    <w:rsid w:val="00563D61"/>
    <w:rPr>
      <w:color w:val="0000FF"/>
      <w:u w:val="single"/>
    </w:rPr>
  </w:style>
  <w:style w:type="paragraph" w:styleId="NormalWeb">
    <w:name w:val="Normal (Web)"/>
    <w:basedOn w:val="Normal"/>
    <w:uiPriority w:val="99"/>
    <w:semiHidden/>
    <w:unhideWhenUsed/>
    <w:rsid w:val="00EA035A"/>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EA035A"/>
  </w:style>
  <w:style w:type="paragraph" w:styleId="Header">
    <w:name w:val="header"/>
    <w:basedOn w:val="Normal"/>
    <w:link w:val="HeaderChar"/>
    <w:uiPriority w:val="99"/>
    <w:unhideWhenUsed/>
    <w:rsid w:val="00B03F2D"/>
    <w:pPr>
      <w:tabs>
        <w:tab w:val="center" w:pos="4513"/>
        <w:tab w:val="right" w:pos="9026"/>
      </w:tabs>
    </w:pPr>
  </w:style>
  <w:style w:type="character" w:customStyle="1" w:styleId="HeaderChar">
    <w:name w:val="Header Char"/>
    <w:basedOn w:val="DefaultParagraphFont"/>
    <w:link w:val="Header"/>
    <w:uiPriority w:val="99"/>
    <w:rsid w:val="00B03F2D"/>
    <w:rPr>
      <w:rFonts w:ascii="Calibri" w:hAnsi="Calibri" w:cs="Calibri"/>
    </w:rPr>
  </w:style>
  <w:style w:type="paragraph" w:styleId="Footer">
    <w:name w:val="footer"/>
    <w:basedOn w:val="Normal"/>
    <w:link w:val="FooterChar"/>
    <w:uiPriority w:val="99"/>
    <w:unhideWhenUsed/>
    <w:rsid w:val="00B03F2D"/>
    <w:pPr>
      <w:tabs>
        <w:tab w:val="center" w:pos="4513"/>
        <w:tab w:val="right" w:pos="9026"/>
      </w:tabs>
    </w:pPr>
  </w:style>
  <w:style w:type="character" w:customStyle="1" w:styleId="FooterChar">
    <w:name w:val="Footer Char"/>
    <w:basedOn w:val="DefaultParagraphFont"/>
    <w:link w:val="Footer"/>
    <w:uiPriority w:val="99"/>
    <w:rsid w:val="00B03F2D"/>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256450939">
      <w:bodyDiv w:val="1"/>
      <w:marLeft w:val="0"/>
      <w:marRight w:val="0"/>
      <w:marTop w:val="0"/>
      <w:marBottom w:val="0"/>
      <w:divBdr>
        <w:top w:val="none" w:sz="0" w:space="0" w:color="auto"/>
        <w:left w:val="none" w:sz="0" w:space="0" w:color="auto"/>
        <w:bottom w:val="none" w:sz="0" w:space="0" w:color="auto"/>
        <w:right w:val="none" w:sz="0" w:space="0" w:color="auto"/>
      </w:divBdr>
    </w:div>
    <w:div w:id="529227530">
      <w:bodyDiv w:val="1"/>
      <w:marLeft w:val="0"/>
      <w:marRight w:val="0"/>
      <w:marTop w:val="0"/>
      <w:marBottom w:val="0"/>
      <w:divBdr>
        <w:top w:val="none" w:sz="0" w:space="0" w:color="auto"/>
        <w:left w:val="none" w:sz="0" w:space="0" w:color="auto"/>
        <w:bottom w:val="none" w:sz="0" w:space="0" w:color="auto"/>
        <w:right w:val="none" w:sz="0" w:space="0" w:color="auto"/>
      </w:divBdr>
    </w:div>
    <w:div w:id="957838923">
      <w:bodyDiv w:val="1"/>
      <w:marLeft w:val="0"/>
      <w:marRight w:val="0"/>
      <w:marTop w:val="0"/>
      <w:marBottom w:val="0"/>
      <w:divBdr>
        <w:top w:val="none" w:sz="0" w:space="0" w:color="auto"/>
        <w:left w:val="none" w:sz="0" w:space="0" w:color="auto"/>
        <w:bottom w:val="none" w:sz="0" w:space="0" w:color="auto"/>
        <w:right w:val="none" w:sz="0" w:space="0" w:color="auto"/>
      </w:divBdr>
    </w:div>
    <w:div w:id="1431241211">
      <w:bodyDiv w:val="1"/>
      <w:marLeft w:val="0"/>
      <w:marRight w:val="0"/>
      <w:marTop w:val="0"/>
      <w:marBottom w:val="0"/>
      <w:divBdr>
        <w:top w:val="none" w:sz="0" w:space="0" w:color="auto"/>
        <w:left w:val="none" w:sz="0" w:space="0" w:color="auto"/>
        <w:bottom w:val="none" w:sz="0" w:space="0" w:color="auto"/>
        <w:right w:val="none" w:sz="0" w:space="0" w:color="auto"/>
      </w:divBdr>
    </w:div>
    <w:div w:id="1603300841">
      <w:bodyDiv w:val="1"/>
      <w:marLeft w:val="0"/>
      <w:marRight w:val="0"/>
      <w:marTop w:val="0"/>
      <w:marBottom w:val="0"/>
      <w:divBdr>
        <w:top w:val="none" w:sz="0" w:space="0" w:color="auto"/>
        <w:left w:val="none" w:sz="0" w:space="0" w:color="auto"/>
        <w:bottom w:val="none" w:sz="0" w:space="0" w:color="auto"/>
        <w:right w:val="none" w:sz="0" w:space="0" w:color="auto"/>
      </w:divBdr>
    </w:div>
    <w:div w:id="174367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umanrights.gov.au/sites/default/files/document/publication/human_rights_framework_for_ageing_and_healt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D4BE-874D-4EF7-B84D-FB63F4C6C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9697</Words>
  <Characters>55279</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Barratt</dc:creator>
  <cp:lastModifiedBy>marie-claire.muir</cp:lastModifiedBy>
  <cp:revision>2</cp:revision>
  <cp:lastPrinted>2016-08-26T09:54:00Z</cp:lastPrinted>
  <dcterms:created xsi:type="dcterms:W3CDTF">2016-08-29T05:55:00Z</dcterms:created>
  <dcterms:modified xsi:type="dcterms:W3CDTF">2016-08-29T05:55:00Z</dcterms:modified>
</cp:coreProperties>
</file>