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7A" w:rsidRDefault="007C7F7A" w:rsidP="007C7F7A">
      <w:pPr>
        <w:spacing w:after="0" w:line="360" w:lineRule="auto"/>
        <w:jc w:val="center"/>
      </w:pPr>
      <w:r>
        <w:rPr>
          <w:noProof/>
          <w:lang w:eastAsia="en-AU"/>
        </w:rPr>
        <w:drawing>
          <wp:inline distT="0" distB="0" distL="0" distR="0">
            <wp:extent cx="5731510" cy="3146233"/>
            <wp:effectExtent l="19050" t="0" r="2540" b="0"/>
            <wp:docPr id="1" name="Picture 1" descr="C:\Users\jenna\Documents\ACCEPD\logo\accepd logo edit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Documents\ACCEPD\logo\accepd logo edit high res.jpg"/>
                    <pic:cNvPicPr>
                      <a:picLocks noChangeAspect="1" noChangeArrowheads="1"/>
                    </pic:cNvPicPr>
                  </pic:nvPicPr>
                  <pic:blipFill>
                    <a:blip r:embed="rId8" cstate="print"/>
                    <a:srcRect/>
                    <a:stretch>
                      <a:fillRect/>
                    </a:stretch>
                  </pic:blipFill>
                  <pic:spPr bwMode="auto">
                    <a:xfrm>
                      <a:off x="0" y="0"/>
                      <a:ext cx="5731510" cy="3146233"/>
                    </a:xfrm>
                    <a:prstGeom prst="rect">
                      <a:avLst/>
                    </a:prstGeom>
                    <a:noFill/>
                    <a:ln w="9525">
                      <a:noFill/>
                      <a:miter lim="800000"/>
                      <a:headEnd/>
                      <a:tailEnd/>
                    </a:ln>
                  </pic:spPr>
                </pic:pic>
              </a:graphicData>
            </a:graphic>
          </wp:inline>
        </w:drawing>
      </w:r>
    </w:p>
    <w:p w:rsidR="007C7F7A" w:rsidRDefault="007C7F7A" w:rsidP="007C7F7A">
      <w:pPr>
        <w:spacing w:after="0" w:line="360" w:lineRule="auto"/>
        <w:jc w:val="center"/>
      </w:pPr>
    </w:p>
    <w:p w:rsidR="00787608" w:rsidRDefault="007139C0" w:rsidP="00787608">
      <w:pPr>
        <w:spacing w:after="0" w:line="360" w:lineRule="auto"/>
        <w:jc w:val="center"/>
        <w:rPr>
          <w:rFonts w:ascii="Arial" w:hAnsi="Arial" w:cs="Arial"/>
          <w:sz w:val="40"/>
          <w:szCs w:val="40"/>
        </w:rPr>
      </w:pPr>
      <w:r>
        <w:rPr>
          <w:rFonts w:ascii="Arial" w:hAnsi="Arial" w:cs="Arial"/>
          <w:sz w:val="40"/>
          <w:szCs w:val="40"/>
        </w:rPr>
        <w:t>Submission</w:t>
      </w:r>
      <w:r w:rsidR="00787608">
        <w:rPr>
          <w:rFonts w:ascii="Arial" w:hAnsi="Arial" w:cs="Arial"/>
          <w:sz w:val="40"/>
          <w:szCs w:val="40"/>
        </w:rPr>
        <w:t xml:space="preserve"> to</w:t>
      </w:r>
      <w:r>
        <w:rPr>
          <w:rFonts w:ascii="Arial" w:hAnsi="Arial" w:cs="Arial"/>
          <w:sz w:val="40"/>
          <w:szCs w:val="40"/>
        </w:rPr>
        <w:t xml:space="preserve">: </w:t>
      </w:r>
      <w:r w:rsidR="00787608" w:rsidRPr="00787608">
        <w:rPr>
          <w:rFonts w:ascii="Arial" w:hAnsi="Arial" w:cs="Arial"/>
          <w:sz w:val="40"/>
          <w:szCs w:val="40"/>
        </w:rPr>
        <w:t xml:space="preserve">Australian Law Reform Commission (ALRC) </w:t>
      </w:r>
    </w:p>
    <w:p w:rsidR="00787608" w:rsidRDefault="00787608" w:rsidP="00787608">
      <w:pPr>
        <w:spacing w:after="0" w:line="360" w:lineRule="auto"/>
        <w:jc w:val="center"/>
        <w:rPr>
          <w:rFonts w:ascii="Arial" w:hAnsi="Arial" w:cs="Arial"/>
          <w:sz w:val="40"/>
          <w:szCs w:val="40"/>
        </w:rPr>
      </w:pPr>
      <w:r>
        <w:rPr>
          <w:rFonts w:ascii="Arial" w:hAnsi="Arial" w:cs="Arial"/>
          <w:sz w:val="40"/>
          <w:szCs w:val="40"/>
        </w:rPr>
        <w:t>Issues Paper</w:t>
      </w:r>
    </w:p>
    <w:p w:rsidR="00280141" w:rsidRPr="007C7F7A" w:rsidRDefault="00787608" w:rsidP="00787608">
      <w:pPr>
        <w:spacing w:after="0" w:line="360" w:lineRule="auto"/>
        <w:jc w:val="center"/>
        <w:rPr>
          <w:rFonts w:ascii="Arial" w:hAnsi="Arial" w:cs="Arial"/>
          <w:b/>
          <w:sz w:val="24"/>
          <w:szCs w:val="24"/>
        </w:rPr>
      </w:pPr>
      <w:r w:rsidRPr="00787608">
        <w:rPr>
          <w:rFonts w:ascii="Arial" w:hAnsi="Arial" w:cs="Arial"/>
          <w:sz w:val="40"/>
          <w:szCs w:val="40"/>
        </w:rPr>
        <w:t>Protecting the Rights of Older Australians from Abuse</w:t>
      </w:r>
    </w:p>
    <w:p w:rsidR="00A61EA3" w:rsidRPr="00280988" w:rsidRDefault="00310972" w:rsidP="00280988">
      <w:pPr>
        <w:pStyle w:val="ListParagraph"/>
        <w:numPr>
          <w:ilvl w:val="0"/>
          <w:numId w:val="13"/>
        </w:numPr>
        <w:spacing w:line="360" w:lineRule="auto"/>
        <w:rPr>
          <w:rFonts w:ascii="Arial" w:hAnsi="Arial" w:cs="Arial"/>
          <w:b/>
          <w:u w:val="single"/>
        </w:rPr>
      </w:pPr>
      <w:r w:rsidRPr="00280988">
        <w:rPr>
          <w:rFonts w:ascii="Arial" w:hAnsi="Arial" w:cs="Arial"/>
          <w:b/>
          <w:u w:val="single"/>
        </w:rPr>
        <w:t>What is Capacity Australia?</w:t>
      </w:r>
    </w:p>
    <w:p w:rsidR="003C17D7" w:rsidRPr="0034014C" w:rsidRDefault="004932C6" w:rsidP="00B600DF">
      <w:pPr>
        <w:pStyle w:val="Default"/>
        <w:spacing w:line="360" w:lineRule="auto"/>
        <w:rPr>
          <w:lang w:val="en-US"/>
        </w:rPr>
      </w:pPr>
      <w:r w:rsidRPr="0034014C">
        <w:t>Capacity Australia (</w:t>
      </w:r>
      <w:hyperlink r:id="rId9" w:history="1">
        <w:r w:rsidRPr="0034014C">
          <w:rPr>
            <w:rStyle w:val="Hyperlink"/>
          </w:rPr>
          <w:t>capacityaustralia.org.au</w:t>
        </w:r>
      </w:hyperlink>
      <w:r w:rsidRPr="0034014C">
        <w:t xml:space="preserve">) </w:t>
      </w:r>
      <w:r w:rsidR="00927C4A" w:rsidRPr="0034014C">
        <w:t xml:space="preserve">is </w:t>
      </w:r>
      <w:r w:rsidRPr="0034014C">
        <w:rPr>
          <w:lang w:val="en-US"/>
        </w:rPr>
        <w:t xml:space="preserve">a-not-for-profit medico-legal </w:t>
      </w:r>
      <w:proofErr w:type="spellStart"/>
      <w:r w:rsidRPr="0034014C">
        <w:rPr>
          <w:lang w:val="en-US"/>
        </w:rPr>
        <w:t>organi</w:t>
      </w:r>
      <w:r w:rsidR="007C7F7A" w:rsidRPr="0034014C">
        <w:rPr>
          <w:lang w:val="en-US"/>
        </w:rPr>
        <w:t>s</w:t>
      </w:r>
      <w:r w:rsidRPr="0034014C">
        <w:rPr>
          <w:lang w:val="en-US"/>
        </w:rPr>
        <w:t>ation</w:t>
      </w:r>
      <w:proofErr w:type="spellEnd"/>
      <w:r w:rsidR="00BB5049" w:rsidRPr="0034014C">
        <w:rPr>
          <w:lang w:val="en-US"/>
        </w:rPr>
        <w:t xml:space="preserve"> led by senior legal and medical/psychiatric academics</w:t>
      </w:r>
      <w:r w:rsidR="003C29BB">
        <w:rPr>
          <w:lang w:val="en-US"/>
        </w:rPr>
        <w:t>, clinicians</w:t>
      </w:r>
      <w:r w:rsidR="00BB5049" w:rsidRPr="0034014C">
        <w:rPr>
          <w:lang w:val="en-US"/>
        </w:rPr>
        <w:t xml:space="preserve"> and practitioners</w:t>
      </w:r>
      <w:r w:rsidR="003C29BB">
        <w:rPr>
          <w:lang w:val="en-US"/>
        </w:rPr>
        <w:t>.</w:t>
      </w:r>
      <w:r w:rsidR="008128C8">
        <w:rPr>
          <w:lang w:val="en-US"/>
        </w:rPr>
        <w:t xml:space="preserve"> </w:t>
      </w:r>
      <w:r w:rsidR="00BB5049" w:rsidRPr="0034014C">
        <w:rPr>
          <w:lang w:val="en-US"/>
        </w:rPr>
        <w:t xml:space="preserve">We are </w:t>
      </w:r>
      <w:r w:rsidRPr="0034014C">
        <w:rPr>
          <w:lang w:val="en-US"/>
        </w:rPr>
        <w:t>committed to supporting the rights of people with decision-making disability</w:t>
      </w:r>
      <w:r w:rsidR="00310972" w:rsidRPr="0034014C">
        <w:rPr>
          <w:lang w:val="en-US"/>
        </w:rPr>
        <w:t xml:space="preserve">. </w:t>
      </w:r>
    </w:p>
    <w:p w:rsidR="003C17D7" w:rsidRPr="0034014C" w:rsidRDefault="003C17D7" w:rsidP="00B600DF">
      <w:pPr>
        <w:pStyle w:val="Default"/>
        <w:spacing w:line="360" w:lineRule="auto"/>
        <w:rPr>
          <w:lang w:val="en-US"/>
        </w:rPr>
      </w:pPr>
    </w:p>
    <w:p w:rsidR="003C17D7" w:rsidRPr="0034014C" w:rsidRDefault="003C17D7" w:rsidP="00B600DF">
      <w:pPr>
        <w:pStyle w:val="Default"/>
        <w:spacing w:line="360" w:lineRule="auto"/>
        <w:rPr>
          <w:b/>
          <w:lang w:val="en-US"/>
        </w:rPr>
      </w:pPr>
      <w:r w:rsidRPr="0034014C">
        <w:rPr>
          <w:b/>
          <w:lang w:val="en-US"/>
        </w:rPr>
        <w:t>How do we do this?</w:t>
      </w:r>
    </w:p>
    <w:p w:rsidR="00255C29" w:rsidRPr="0034014C" w:rsidRDefault="00310972" w:rsidP="00B600DF">
      <w:pPr>
        <w:pStyle w:val="Default"/>
        <w:spacing w:line="360" w:lineRule="auto"/>
        <w:rPr>
          <w:lang w:val="en-US"/>
        </w:rPr>
      </w:pPr>
      <w:r w:rsidRPr="0034014C">
        <w:rPr>
          <w:lang w:val="en-US"/>
        </w:rPr>
        <w:t>One of the ways we do this is</w:t>
      </w:r>
      <w:r w:rsidR="004932C6" w:rsidRPr="0034014C">
        <w:rPr>
          <w:lang w:val="en-US"/>
        </w:rPr>
        <w:t xml:space="preserve"> by providing education </w:t>
      </w:r>
      <w:r w:rsidR="00E85307">
        <w:rPr>
          <w:lang w:val="en-US"/>
        </w:rPr>
        <w:t xml:space="preserve">regarding capacity (decision making ability) </w:t>
      </w:r>
      <w:r w:rsidR="004932C6" w:rsidRPr="0034014C">
        <w:rPr>
          <w:lang w:val="en-US"/>
        </w:rPr>
        <w:t>across medical, allied health, legal, financial and community sectors</w:t>
      </w:r>
      <w:r w:rsidR="00BB5049" w:rsidRPr="0034014C">
        <w:rPr>
          <w:lang w:val="en-US"/>
        </w:rPr>
        <w:t xml:space="preserve"> across Australia and internationally</w:t>
      </w:r>
      <w:r w:rsidR="004932C6" w:rsidRPr="0034014C">
        <w:rPr>
          <w:lang w:val="en-US"/>
        </w:rPr>
        <w:t>.</w:t>
      </w:r>
      <w:r w:rsidR="00A9193A">
        <w:rPr>
          <w:rStyle w:val="FootnoteReference"/>
          <w:lang w:val="en-US"/>
        </w:rPr>
        <w:footnoteReference w:id="1"/>
      </w:r>
      <w:r w:rsidR="004932C6" w:rsidRPr="0034014C">
        <w:rPr>
          <w:lang w:val="en-US"/>
        </w:rPr>
        <w:t xml:space="preserve"> </w:t>
      </w:r>
      <w:r w:rsidRPr="0034014C">
        <w:rPr>
          <w:lang w:val="en-US"/>
        </w:rPr>
        <w:t xml:space="preserve">A major element of our </w:t>
      </w:r>
      <w:r w:rsidR="004071A7" w:rsidRPr="0034014C">
        <w:rPr>
          <w:lang w:val="en-US"/>
        </w:rPr>
        <w:t xml:space="preserve">mission is to </w:t>
      </w:r>
      <w:r w:rsidR="004932C6" w:rsidRPr="0034014C">
        <w:rPr>
          <w:lang w:val="en-US"/>
        </w:rPr>
        <w:t xml:space="preserve">ensure </w:t>
      </w:r>
      <w:r w:rsidR="004932C6" w:rsidRPr="0034014C">
        <w:rPr>
          <w:lang w:val="en-US"/>
        </w:rPr>
        <w:lastRenderedPageBreak/>
        <w:t>that people with decision making disability can make the decisions (especially financial) that they are capable of making, while preventing abuse</w:t>
      </w:r>
      <w:r w:rsidR="008E2C2B">
        <w:rPr>
          <w:lang w:val="en-US"/>
        </w:rPr>
        <w:t>.</w:t>
      </w:r>
    </w:p>
    <w:p w:rsidR="00255C29" w:rsidRPr="0034014C" w:rsidRDefault="00255C29" w:rsidP="00B600DF">
      <w:pPr>
        <w:pStyle w:val="Default"/>
        <w:spacing w:line="360" w:lineRule="auto"/>
        <w:rPr>
          <w:lang w:val="en-US"/>
        </w:rPr>
      </w:pPr>
    </w:p>
    <w:p w:rsidR="00D84973" w:rsidRPr="008F5B73" w:rsidRDefault="00255C29" w:rsidP="00B600DF">
      <w:pPr>
        <w:pStyle w:val="Default"/>
        <w:spacing w:line="360" w:lineRule="auto"/>
      </w:pPr>
      <w:r w:rsidRPr="0034014C">
        <w:rPr>
          <w:lang w:val="en-US"/>
        </w:rPr>
        <w:t xml:space="preserve">We note that </w:t>
      </w:r>
      <w:r w:rsidR="006E2652" w:rsidRPr="0034014C">
        <w:rPr>
          <w:lang w:val="en-US"/>
        </w:rPr>
        <w:t>t</w:t>
      </w:r>
      <w:r w:rsidR="00C147D3" w:rsidRPr="0034014C">
        <w:rPr>
          <w:lang w:val="en-US"/>
        </w:rPr>
        <w:t xml:space="preserve">hese </w:t>
      </w:r>
      <w:r w:rsidR="008E2C2B">
        <w:rPr>
          <w:lang w:val="en-US"/>
        </w:rPr>
        <w:t>dual</w:t>
      </w:r>
      <w:r w:rsidR="003C29BB">
        <w:rPr>
          <w:lang w:val="en-US"/>
        </w:rPr>
        <w:t>,</w:t>
      </w:r>
      <w:r w:rsidR="008E2C2B">
        <w:rPr>
          <w:lang w:val="en-US"/>
        </w:rPr>
        <w:t xml:space="preserve"> </w:t>
      </w:r>
      <w:r w:rsidR="00C147D3" w:rsidRPr="0034014C">
        <w:rPr>
          <w:lang w:val="en-US"/>
        </w:rPr>
        <w:t>sometimes competing prior</w:t>
      </w:r>
      <w:r w:rsidR="005E40C6" w:rsidRPr="0034014C">
        <w:rPr>
          <w:lang w:val="en-US"/>
        </w:rPr>
        <w:t>ities</w:t>
      </w:r>
      <w:r w:rsidR="00C147D3" w:rsidRPr="0034014C">
        <w:rPr>
          <w:lang w:val="en-US"/>
        </w:rPr>
        <w:t xml:space="preserve"> </w:t>
      </w:r>
      <w:r w:rsidRPr="0034014C">
        <w:rPr>
          <w:lang w:val="en-US"/>
        </w:rPr>
        <w:t>are asserted</w:t>
      </w:r>
      <w:r w:rsidR="007573CF" w:rsidRPr="0034014C">
        <w:rPr>
          <w:lang w:val="en-US"/>
        </w:rPr>
        <w:t xml:space="preserve"> </w:t>
      </w:r>
      <w:r w:rsidR="00C147D3" w:rsidRPr="0034014C">
        <w:rPr>
          <w:lang w:val="en-US"/>
        </w:rPr>
        <w:t xml:space="preserve">in Articles 12 and 16 of the </w:t>
      </w:r>
      <w:r w:rsidRPr="0034014C">
        <w:rPr>
          <w:lang w:val="en-US"/>
        </w:rPr>
        <w:t xml:space="preserve">United Nations </w:t>
      </w:r>
      <w:r w:rsidR="00C147D3" w:rsidRPr="0034014C">
        <w:rPr>
          <w:i/>
          <w:lang w:val="en-US"/>
        </w:rPr>
        <w:t>Convention of the UN Rights of Persons with Disabilities</w:t>
      </w:r>
      <w:r w:rsidR="005E40C6" w:rsidRPr="0034014C">
        <w:rPr>
          <w:i/>
          <w:lang w:val="en-US"/>
        </w:rPr>
        <w:t xml:space="preserve"> (</w:t>
      </w:r>
      <w:r w:rsidR="005E40C6" w:rsidRPr="0034014C">
        <w:rPr>
          <w:lang w:val="en-US"/>
        </w:rPr>
        <w:t>CRPD</w:t>
      </w:r>
      <w:r w:rsidR="005E40C6" w:rsidRPr="0034014C">
        <w:rPr>
          <w:i/>
          <w:lang w:val="en-US"/>
        </w:rPr>
        <w:t>)</w:t>
      </w:r>
      <w:r w:rsidR="008E2C2B">
        <w:rPr>
          <w:i/>
          <w:lang w:val="en-US"/>
        </w:rPr>
        <w:t>.</w:t>
      </w:r>
      <w:r w:rsidR="00C147D3" w:rsidRPr="0034014C">
        <w:rPr>
          <w:rStyle w:val="FootnoteReference"/>
          <w:lang w:val="en-US"/>
        </w:rPr>
        <w:footnoteReference w:id="2"/>
      </w:r>
      <w:r w:rsidR="00E271A5" w:rsidRPr="0034014C">
        <w:rPr>
          <w:lang w:val="en-US"/>
        </w:rPr>
        <w:t xml:space="preserve"> </w:t>
      </w:r>
      <w:r w:rsidR="00453733" w:rsidRPr="0034014C">
        <w:rPr>
          <w:lang w:val="en-US"/>
        </w:rPr>
        <w:t xml:space="preserve"> </w:t>
      </w:r>
      <w:r w:rsidR="00755C4C" w:rsidRPr="008F5B73">
        <w:rPr>
          <w:lang w:val="en-US"/>
        </w:rPr>
        <w:t>A</w:t>
      </w:r>
      <w:r w:rsidR="0055629B">
        <w:rPr>
          <w:lang w:val="en-US"/>
        </w:rPr>
        <w:t>n</w:t>
      </w:r>
      <w:r w:rsidR="003C29BB">
        <w:rPr>
          <w:lang w:val="en-US"/>
        </w:rPr>
        <w:t>other</w:t>
      </w:r>
      <w:r w:rsidR="0055629B">
        <w:rPr>
          <w:lang w:val="en-US"/>
        </w:rPr>
        <w:t xml:space="preserve"> equally important priority is to ensure that when de</w:t>
      </w:r>
      <w:r w:rsidR="008E2C2B">
        <w:rPr>
          <w:lang w:val="en-US"/>
        </w:rPr>
        <w:t>cisions are made</w:t>
      </w:r>
      <w:r w:rsidR="00F537C4">
        <w:rPr>
          <w:lang w:val="en-US"/>
        </w:rPr>
        <w:t>,</w:t>
      </w:r>
      <w:r w:rsidR="008E2C2B">
        <w:rPr>
          <w:lang w:val="en-US"/>
        </w:rPr>
        <w:t xml:space="preserve"> </w:t>
      </w:r>
      <w:r w:rsidR="00F537C4">
        <w:rPr>
          <w:lang w:val="en-US"/>
        </w:rPr>
        <w:t xml:space="preserve">people with disability are afforded </w:t>
      </w:r>
      <w:r w:rsidR="008F5B73">
        <w:t xml:space="preserve">access </w:t>
      </w:r>
      <w:r w:rsidR="00F537C4">
        <w:t xml:space="preserve">to </w:t>
      </w:r>
      <w:r w:rsidR="008F5B73">
        <w:t xml:space="preserve">the </w:t>
      </w:r>
      <w:r w:rsidR="00755C4C" w:rsidRPr="008F5B73">
        <w:t>highest attainable standard of health</w:t>
      </w:r>
      <w:r w:rsidR="0055629B">
        <w:t xml:space="preserve"> </w:t>
      </w:r>
      <w:r w:rsidR="00755C4C" w:rsidRPr="008F5B73">
        <w:t>without discrimination on the basis of disability</w:t>
      </w:r>
      <w:r w:rsidR="00F537C4">
        <w:t>, as asserted in Article 25 of CRPD</w:t>
      </w:r>
      <w:r w:rsidR="0055629B">
        <w:t xml:space="preserve">. This is </w:t>
      </w:r>
      <w:r w:rsidR="00D84973" w:rsidRPr="008F5B73">
        <w:t xml:space="preserve">extremely relevant when </w:t>
      </w:r>
      <w:r w:rsidR="00F537C4">
        <w:t xml:space="preserve">issues of </w:t>
      </w:r>
      <w:r w:rsidR="0055629B">
        <w:t xml:space="preserve">abuse by </w:t>
      </w:r>
      <w:r w:rsidR="00D84973" w:rsidRPr="008F5B73">
        <w:t xml:space="preserve">neglect or </w:t>
      </w:r>
      <w:r w:rsidR="00755C4C" w:rsidRPr="008F5B73">
        <w:t>w</w:t>
      </w:r>
      <w:r w:rsidR="00D84973" w:rsidRPr="008F5B73">
        <w:t>ith</w:t>
      </w:r>
      <w:r w:rsidR="00F537C4">
        <w:t>-h</w:t>
      </w:r>
      <w:r w:rsidR="00D84973" w:rsidRPr="008F5B73">
        <w:t xml:space="preserve">olding of </w:t>
      </w:r>
      <w:r w:rsidR="008F5B73">
        <w:t xml:space="preserve">health or </w:t>
      </w:r>
      <w:r w:rsidR="00D84973" w:rsidRPr="008F5B73">
        <w:t>services</w:t>
      </w:r>
      <w:r w:rsidR="00F537C4">
        <w:t xml:space="preserve"> arise</w:t>
      </w:r>
      <w:r w:rsidR="008F5B73">
        <w:t>.</w:t>
      </w:r>
      <w:r w:rsidR="00D84973" w:rsidRPr="008F5B73">
        <w:t xml:space="preserve"> </w:t>
      </w:r>
    </w:p>
    <w:p w:rsidR="00D84973" w:rsidRDefault="00D84973" w:rsidP="00B600DF">
      <w:pPr>
        <w:pStyle w:val="Default"/>
        <w:spacing w:line="360" w:lineRule="auto"/>
        <w:rPr>
          <w:color w:val="333333"/>
          <w:shd w:val="clear" w:color="auto" w:fill="FFFFFF"/>
        </w:rPr>
      </w:pPr>
    </w:p>
    <w:p w:rsidR="00E069DC" w:rsidRDefault="00E069DC" w:rsidP="00B600DF">
      <w:pPr>
        <w:pStyle w:val="Default"/>
        <w:spacing w:line="360" w:lineRule="auto"/>
        <w:rPr>
          <w:color w:val="333333"/>
          <w:shd w:val="clear" w:color="auto" w:fill="FFFFFF"/>
        </w:rPr>
      </w:pPr>
      <w:r>
        <w:rPr>
          <w:color w:val="333333"/>
          <w:shd w:val="clear" w:color="auto" w:fill="FFFFFF"/>
        </w:rPr>
        <w:t>We note that</w:t>
      </w:r>
      <w:r w:rsidR="00755C4C">
        <w:rPr>
          <w:color w:val="333333"/>
          <w:shd w:val="clear" w:color="auto" w:fill="FFFFFF"/>
        </w:rPr>
        <w:t xml:space="preserve"> </w:t>
      </w:r>
      <w:r w:rsidR="008F5B73">
        <w:rPr>
          <w:color w:val="333333"/>
          <w:shd w:val="clear" w:color="auto" w:fill="FFFFFF"/>
        </w:rPr>
        <w:t xml:space="preserve">our </w:t>
      </w:r>
      <w:r w:rsidR="00755C4C">
        <w:rPr>
          <w:color w:val="333333"/>
          <w:shd w:val="clear" w:color="auto" w:fill="FFFFFF"/>
        </w:rPr>
        <w:t>objectives</w:t>
      </w:r>
      <w:r w:rsidR="008F5B73">
        <w:rPr>
          <w:color w:val="333333"/>
          <w:shd w:val="clear" w:color="auto" w:fill="FFFFFF"/>
        </w:rPr>
        <w:t xml:space="preserve"> align with the principles </w:t>
      </w:r>
      <w:r w:rsidR="008E2C2B">
        <w:rPr>
          <w:color w:val="333333"/>
          <w:shd w:val="clear" w:color="auto" w:fill="FFFFFF"/>
        </w:rPr>
        <w:t xml:space="preserve">that </w:t>
      </w:r>
      <w:r w:rsidRPr="00E069DC">
        <w:rPr>
          <w:color w:val="333333"/>
          <w:shd w:val="clear" w:color="auto" w:fill="FFFFFF"/>
        </w:rPr>
        <w:t xml:space="preserve">Senator the Hon George </w:t>
      </w:r>
      <w:proofErr w:type="spellStart"/>
      <w:r w:rsidRPr="00E069DC">
        <w:rPr>
          <w:color w:val="333333"/>
          <w:shd w:val="clear" w:color="auto" w:fill="FFFFFF"/>
        </w:rPr>
        <w:t>Brandis</w:t>
      </w:r>
      <w:proofErr w:type="spellEnd"/>
      <w:r w:rsidRPr="00E069DC">
        <w:rPr>
          <w:color w:val="333333"/>
          <w:shd w:val="clear" w:color="auto" w:fill="FFFFFF"/>
        </w:rPr>
        <w:t xml:space="preserve"> QC, Attorney-General of Australia, </w:t>
      </w:r>
      <w:r w:rsidR="008E2C2B">
        <w:rPr>
          <w:color w:val="333333"/>
          <w:shd w:val="clear" w:color="auto" w:fill="FFFFFF"/>
        </w:rPr>
        <w:t xml:space="preserve">has given </w:t>
      </w:r>
      <w:r w:rsidR="008E2C2B" w:rsidRPr="00E069DC">
        <w:rPr>
          <w:color w:val="333333"/>
          <w:shd w:val="clear" w:color="auto" w:fill="FFFFFF"/>
        </w:rPr>
        <w:t>regard to</w:t>
      </w:r>
      <w:r w:rsidR="008E2C2B">
        <w:rPr>
          <w:color w:val="333333"/>
          <w:shd w:val="clear" w:color="auto" w:fill="FFFFFF"/>
        </w:rPr>
        <w:t xml:space="preserve"> </w:t>
      </w:r>
      <w:r>
        <w:rPr>
          <w:color w:val="333333"/>
          <w:shd w:val="clear" w:color="auto" w:fill="FFFFFF"/>
        </w:rPr>
        <w:t>in drafting this Issues paper</w:t>
      </w:r>
      <w:r w:rsidR="008E2C2B">
        <w:rPr>
          <w:color w:val="333333"/>
          <w:shd w:val="clear" w:color="auto" w:fill="FFFFFF"/>
        </w:rPr>
        <w:t>, namely</w:t>
      </w:r>
      <w:r w:rsidRPr="00E069DC">
        <w:rPr>
          <w:color w:val="333333"/>
          <w:shd w:val="clear" w:color="auto" w:fill="FFFFFF"/>
        </w:rPr>
        <w:t xml:space="preserve">: </w:t>
      </w:r>
    </w:p>
    <w:p w:rsidR="00E069DC" w:rsidRPr="003C29BB" w:rsidRDefault="00E069DC" w:rsidP="00B600DF">
      <w:pPr>
        <w:pStyle w:val="ListParagraph"/>
        <w:numPr>
          <w:ilvl w:val="0"/>
          <w:numId w:val="16"/>
        </w:numPr>
        <w:spacing w:line="360" w:lineRule="auto"/>
        <w:ind w:left="0" w:firstLine="0"/>
        <w:rPr>
          <w:rFonts w:ascii="Arial" w:hAnsi="Arial" w:cs="Arial"/>
          <w:i/>
          <w:color w:val="333333"/>
          <w:shd w:val="clear" w:color="auto" w:fill="FFFFFF"/>
        </w:rPr>
      </w:pPr>
      <w:r w:rsidRPr="003C29BB">
        <w:rPr>
          <w:rFonts w:ascii="Arial" w:hAnsi="Arial" w:cs="Arial"/>
          <w:i/>
          <w:color w:val="333333"/>
          <w:shd w:val="clear" w:color="auto" w:fill="FFFFFF"/>
        </w:rPr>
        <w:t>the principle that all Australians have rights, which do not diminish with age, to live dignified, self-determined lives, free from exploitation, violence and abuse</w:t>
      </w:r>
    </w:p>
    <w:p w:rsidR="00E069DC" w:rsidRPr="003C29BB" w:rsidRDefault="00E069DC" w:rsidP="00B600DF">
      <w:pPr>
        <w:pStyle w:val="ListParagraph"/>
        <w:numPr>
          <w:ilvl w:val="0"/>
          <w:numId w:val="16"/>
        </w:numPr>
        <w:spacing w:line="360" w:lineRule="auto"/>
        <w:ind w:left="0" w:firstLine="0"/>
        <w:rPr>
          <w:rFonts w:ascii="Arial" w:hAnsi="Arial" w:cs="Arial"/>
          <w:i/>
          <w:color w:val="333333"/>
          <w:shd w:val="clear" w:color="auto" w:fill="FFFFFF"/>
        </w:rPr>
      </w:pPr>
      <w:r w:rsidRPr="003C29BB">
        <w:rPr>
          <w:rFonts w:ascii="Arial" w:hAnsi="Arial" w:cs="Arial"/>
          <w:i/>
          <w:color w:val="333333"/>
          <w:shd w:val="clear" w:color="auto" w:fill="FFFFFF"/>
        </w:rPr>
        <w:t xml:space="preserve">the principle that laws and legal frameworks should provide appropriate protections and safeguards for older Australians, while minimising interference with the rights and preferences of the person, and </w:t>
      </w:r>
    </w:p>
    <w:p w:rsidR="00E069DC" w:rsidRPr="008E2C2B" w:rsidRDefault="00E069DC" w:rsidP="00B600DF">
      <w:pPr>
        <w:pStyle w:val="ListParagraph"/>
        <w:numPr>
          <w:ilvl w:val="0"/>
          <w:numId w:val="16"/>
        </w:numPr>
        <w:spacing w:line="360" w:lineRule="auto"/>
        <w:ind w:left="0" w:firstLine="0"/>
        <w:rPr>
          <w:rFonts w:ascii="Arial" w:hAnsi="Arial" w:cs="Arial"/>
        </w:rPr>
      </w:pPr>
      <w:proofErr w:type="gramStart"/>
      <w:r w:rsidRPr="003C29BB">
        <w:rPr>
          <w:rFonts w:ascii="Arial" w:hAnsi="Arial" w:cs="Arial"/>
          <w:i/>
          <w:color w:val="333333"/>
          <w:shd w:val="clear" w:color="auto" w:fill="FFFFFF"/>
        </w:rPr>
        <w:t>relevant</w:t>
      </w:r>
      <w:proofErr w:type="gramEnd"/>
      <w:r w:rsidRPr="003C29BB">
        <w:rPr>
          <w:rFonts w:ascii="Arial" w:hAnsi="Arial" w:cs="Arial"/>
          <w:i/>
          <w:color w:val="333333"/>
          <w:shd w:val="clear" w:color="auto" w:fill="FFFFFF"/>
        </w:rPr>
        <w:t xml:space="preserve"> international obligations relating to the rights of older people under United Nations human rights conventions to which Australia is a party</w:t>
      </w:r>
      <w:r w:rsidRPr="008E2C2B">
        <w:rPr>
          <w:rFonts w:ascii="Arial" w:hAnsi="Arial" w:cs="Arial"/>
          <w:color w:val="333333"/>
          <w:shd w:val="clear" w:color="auto" w:fill="FFFFFF"/>
        </w:rPr>
        <w:t>.</w:t>
      </w:r>
    </w:p>
    <w:p w:rsidR="008E2C2B" w:rsidRDefault="008E2C2B" w:rsidP="00B600DF">
      <w:pPr>
        <w:spacing w:after="0" w:line="360" w:lineRule="auto"/>
        <w:rPr>
          <w:rFonts w:ascii="Arial" w:hAnsi="Arial" w:cs="Arial"/>
          <w:sz w:val="24"/>
          <w:szCs w:val="24"/>
        </w:rPr>
      </w:pPr>
    </w:p>
    <w:p w:rsidR="008E2C2B" w:rsidRDefault="008E2C2B" w:rsidP="00B600DF">
      <w:pPr>
        <w:spacing w:after="0" w:line="360" w:lineRule="auto"/>
        <w:rPr>
          <w:rFonts w:ascii="Arial" w:hAnsi="Arial" w:cs="Arial"/>
          <w:sz w:val="24"/>
          <w:szCs w:val="24"/>
        </w:rPr>
      </w:pPr>
      <w:r>
        <w:rPr>
          <w:rFonts w:ascii="Arial" w:hAnsi="Arial" w:cs="Arial"/>
          <w:sz w:val="24"/>
          <w:szCs w:val="24"/>
        </w:rPr>
        <w:t xml:space="preserve">In this submission Capacity Australia wishes to address the questions posed in the issues paper where we have particular expertise and which speak to the human rights principles outlined above. </w:t>
      </w:r>
    </w:p>
    <w:p w:rsidR="008E2C2B" w:rsidRDefault="008E2C2B" w:rsidP="00B600DF">
      <w:pPr>
        <w:spacing w:after="0" w:line="360" w:lineRule="auto"/>
        <w:rPr>
          <w:rFonts w:ascii="Arial" w:hAnsi="Arial" w:cs="Arial"/>
          <w:sz w:val="24"/>
          <w:szCs w:val="24"/>
        </w:rPr>
      </w:pPr>
    </w:p>
    <w:p w:rsidR="00C85781" w:rsidRPr="0034014C" w:rsidRDefault="000B36D6" w:rsidP="00B600DF">
      <w:pPr>
        <w:spacing w:after="0" w:line="360" w:lineRule="auto"/>
        <w:rPr>
          <w:rFonts w:ascii="Arial" w:hAnsi="Arial" w:cs="Arial"/>
          <w:sz w:val="24"/>
          <w:szCs w:val="24"/>
        </w:rPr>
      </w:pPr>
      <w:r w:rsidRPr="000B36D6">
        <w:rPr>
          <w:rFonts w:ascii="Arial" w:hAnsi="Arial" w:cs="Arial"/>
          <w:sz w:val="24"/>
          <w:szCs w:val="24"/>
        </w:rPr>
        <w:t xml:space="preserve">In </w:t>
      </w:r>
      <w:r w:rsidR="008E2C2B">
        <w:rPr>
          <w:rFonts w:ascii="Arial" w:hAnsi="Arial" w:cs="Arial"/>
          <w:sz w:val="24"/>
          <w:szCs w:val="24"/>
        </w:rPr>
        <w:t xml:space="preserve">early </w:t>
      </w:r>
      <w:r w:rsidRPr="000B36D6">
        <w:rPr>
          <w:rFonts w:ascii="Arial" w:hAnsi="Arial" w:cs="Arial"/>
          <w:sz w:val="24"/>
          <w:szCs w:val="24"/>
        </w:rPr>
        <w:t xml:space="preserve">2016, Capacity Australia made oral and written submissions to the </w:t>
      </w:r>
      <w:proofErr w:type="gramStart"/>
      <w:r w:rsidRPr="000B36D6">
        <w:rPr>
          <w:rFonts w:ascii="Arial" w:hAnsi="Arial" w:cs="Arial"/>
          <w:sz w:val="24"/>
          <w:szCs w:val="24"/>
        </w:rPr>
        <w:t>NSW  Parliament</w:t>
      </w:r>
      <w:proofErr w:type="gramEnd"/>
      <w:r w:rsidRPr="000B36D6">
        <w:rPr>
          <w:rFonts w:ascii="Arial" w:hAnsi="Arial" w:cs="Arial"/>
          <w:sz w:val="24"/>
          <w:szCs w:val="24"/>
        </w:rPr>
        <w:t xml:space="preserve"> Legislative Council. </w:t>
      </w:r>
      <w:proofErr w:type="gramStart"/>
      <w:r w:rsidRPr="000B36D6">
        <w:rPr>
          <w:rFonts w:ascii="Arial" w:hAnsi="Arial" w:cs="Arial"/>
          <w:sz w:val="24"/>
          <w:szCs w:val="24"/>
        </w:rPr>
        <w:t xml:space="preserve">General Purpose Standing Committee No. 2 Elder abuse </w:t>
      </w:r>
      <w:r w:rsidRPr="000B36D6">
        <w:rPr>
          <w:rStyle w:val="FootnoteReference"/>
          <w:rFonts w:ascii="Arial" w:hAnsi="Arial" w:cs="Arial"/>
          <w:sz w:val="24"/>
          <w:szCs w:val="24"/>
        </w:rPr>
        <w:footnoteReference w:id="3"/>
      </w:r>
      <w:r w:rsidRPr="000B36D6">
        <w:rPr>
          <w:rFonts w:ascii="Arial" w:hAnsi="Arial" w:cs="Arial"/>
          <w:sz w:val="24"/>
          <w:szCs w:val="24"/>
        </w:rPr>
        <w:t xml:space="preserve"> </w:t>
      </w:r>
      <w:r w:rsidR="008E2C2B">
        <w:rPr>
          <w:rFonts w:ascii="Arial" w:hAnsi="Arial" w:cs="Arial"/>
          <w:sz w:val="24"/>
          <w:szCs w:val="24"/>
        </w:rPr>
        <w:t>where many of these questions were addressed.</w:t>
      </w:r>
      <w:proofErr w:type="gramEnd"/>
      <w:r w:rsidR="008E2C2B">
        <w:rPr>
          <w:rFonts w:ascii="Arial" w:hAnsi="Arial" w:cs="Arial"/>
          <w:sz w:val="24"/>
          <w:szCs w:val="24"/>
        </w:rPr>
        <w:t xml:space="preserve"> Where relevant, we will refer to these. </w:t>
      </w:r>
    </w:p>
    <w:p w:rsidR="00275FFC" w:rsidRPr="0034014C" w:rsidRDefault="00275FFC" w:rsidP="00B600DF">
      <w:pPr>
        <w:spacing w:after="0" w:line="360" w:lineRule="auto"/>
        <w:rPr>
          <w:rFonts w:ascii="Arial" w:hAnsi="Arial" w:cs="Arial"/>
          <w:sz w:val="24"/>
          <w:szCs w:val="24"/>
        </w:rPr>
      </w:pPr>
    </w:p>
    <w:p w:rsidR="00C85781" w:rsidRPr="00660D77" w:rsidRDefault="00C85781" w:rsidP="00B600DF">
      <w:pPr>
        <w:pStyle w:val="ListParagraph"/>
        <w:numPr>
          <w:ilvl w:val="0"/>
          <w:numId w:val="13"/>
        </w:numPr>
        <w:spacing w:line="360" w:lineRule="auto"/>
        <w:ind w:left="0" w:firstLine="0"/>
        <w:rPr>
          <w:rFonts w:ascii="Arial" w:hAnsi="Arial" w:cs="Arial"/>
          <w:b/>
        </w:rPr>
      </w:pPr>
      <w:r w:rsidRPr="00660D77">
        <w:rPr>
          <w:rFonts w:ascii="Arial" w:hAnsi="Arial" w:cs="Arial"/>
          <w:b/>
        </w:rPr>
        <w:t xml:space="preserve">What is </w:t>
      </w:r>
      <w:r w:rsidR="0019459E" w:rsidRPr="00660D77">
        <w:rPr>
          <w:rFonts w:ascii="Arial" w:hAnsi="Arial" w:cs="Arial"/>
          <w:b/>
        </w:rPr>
        <w:t xml:space="preserve">elder </w:t>
      </w:r>
      <w:proofErr w:type="gramStart"/>
      <w:r w:rsidR="0019459E" w:rsidRPr="00660D77">
        <w:rPr>
          <w:rFonts w:ascii="Arial" w:hAnsi="Arial" w:cs="Arial"/>
          <w:b/>
        </w:rPr>
        <w:t xml:space="preserve">abuse </w:t>
      </w:r>
      <w:r w:rsidRPr="00660D77">
        <w:rPr>
          <w:rFonts w:ascii="Arial" w:hAnsi="Arial" w:cs="Arial"/>
          <w:b/>
        </w:rPr>
        <w:t>?</w:t>
      </w:r>
      <w:proofErr w:type="gramEnd"/>
      <w:r w:rsidRPr="00660D77">
        <w:rPr>
          <w:rFonts w:ascii="Arial" w:hAnsi="Arial" w:cs="Arial"/>
          <w:b/>
        </w:rPr>
        <w:t xml:space="preserve"> </w:t>
      </w:r>
    </w:p>
    <w:p w:rsidR="004071A7" w:rsidRPr="003F3079" w:rsidRDefault="0019459E" w:rsidP="00B600DF">
      <w:pPr>
        <w:spacing w:after="0" w:line="360" w:lineRule="auto"/>
        <w:rPr>
          <w:rFonts w:ascii="Arial" w:hAnsi="Arial" w:cs="Arial"/>
          <w:b/>
          <w:sz w:val="24"/>
          <w:szCs w:val="24"/>
        </w:rPr>
      </w:pPr>
      <w:r w:rsidRPr="003F3079">
        <w:rPr>
          <w:rFonts w:ascii="Arial" w:hAnsi="Arial" w:cs="Arial"/>
          <w:b/>
          <w:sz w:val="24"/>
          <w:szCs w:val="24"/>
        </w:rPr>
        <w:t xml:space="preserve">Question 1 </w:t>
      </w:r>
      <w:proofErr w:type="gramStart"/>
      <w:r w:rsidRPr="003F3079">
        <w:rPr>
          <w:rFonts w:ascii="Arial" w:hAnsi="Arial" w:cs="Arial"/>
          <w:b/>
          <w:sz w:val="24"/>
          <w:szCs w:val="24"/>
        </w:rPr>
        <w:t>To</w:t>
      </w:r>
      <w:proofErr w:type="gramEnd"/>
      <w:r w:rsidRPr="003F3079">
        <w:rPr>
          <w:rFonts w:ascii="Arial" w:hAnsi="Arial" w:cs="Arial"/>
          <w:b/>
          <w:sz w:val="24"/>
          <w:szCs w:val="24"/>
        </w:rPr>
        <w:t xml:space="preserve"> what extent should the following elements, or any others, be taken into account in describing or defining elder abuse: · harm or distress</w:t>
      </w:r>
      <w:r w:rsidR="00796F44" w:rsidRPr="003F3079">
        <w:rPr>
          <w:rFonts w:ascii="Arial" w:hAnsi="Arial" w:cs="Arial"/>
          <w:b/>
          <w:sz w:val="24"/>
          <w:szCs w:val="24"/>
        </w:rPr>
        <w:t>; intention</w:t>
      </w:r>
      <w:r w:rsidRPr="003F3079">
        <w:rPr>
          <w:rFonts w:ascii="Arial" w:hAnsi="Arial" w:cs="Arial"/>
          <w:b/>
          <w:sz w:val="24"/>
          <w:szCs w:val="24"/>
        </w:rPr>
        <w:t xml:space="preserve">; · payment for services? </w:t>
      </w:r>
    </w:p>
    <w:p w:rsidR="00F537C4" w:rsidRDefault="00F537C4" w:rsidP="00B600DF">
      <w:pPr>
        <w:spacing w:after="0" w:line="360" w:lineRule="auto"/>
        <w:rPr>
          <w:rFonts w:ascii="Arial" w:hAnsi="Arial" w:cs="Arial"/>
          <w:color w:val="535656"/>
          <w:sz w:val="24"/>
          <w:szCs w:val="24"/>
        </w:rPr>
      </w:pPr>
      <w:r>
        <w:rPr>
          <w:rFonts w:ascii="Arial" w:hAnsi="Arial" w:cs="Arial"/>
          <w:color w:val="535656"/>
          <w:sz w:val="24"/>
          <w:szCs w:val="24"/>
        </w:rPr>
        <w:t xml:space="preserve">According to the World Health Organisation </w:t>
      </w:r>
      <w:r w:rsidR="003C29BB">
        <w:rPr>
          <w:rStyle w:val="FootnoteReference"/>
          <w:rFonts w:ascii="Arial" w:hAnsi="Arial" w:cs="Arial"/>
          <w:color w:val="535656"/>
          <w:sz w:val="24"/>
          <w:szCs w:val="24"/>
        </w:rPr>
        <w:footnoteReference w:id="4"/>
      </w:r>
      <w:r w:rsidR="00D20A05">
        <w:rPr>
          <w:rFonts w:ascii="Arial" w:hAnsi="Arial" w:cs="Arial"/>
          <w:color w:val="535656"/>
          <w:sz w:val="24"/>
          <w:szCs w:val="24"/>
        </w:rPr>
        <w:t xml:space="preserve"> </w:t>
      </w:r>
      <w:r>
        <w:rPr>
          <w:rFonts w:ascii="Arial" w:hAnsi="Arial" w:cs="Arial"/>
          <w:color w:val="535656"/>
          <w:sz w:val="24"/>
          <w:szCs w:val="24"/>
        </w:rPr>
        <w:t>definition, e</w:t>
      </w:r>
      <w:r w:rsidR="00755C4C" w:rsidRPr="00F537C4">
        <w:rPr>
          <w:rFonts w:ascii="Arial" w:hAnsi="Arial" w:cs="Arial"/>
          <w:color w:val="535656"/>
          <w:sz w:val="24"/>
          <w:szCs w:val="24"/>
        </w:rPr>
        <w:t xml:space="preserve">lder </w:t>
      </w:r>
      <w:r w:rsidR="003324C2">
        <w:rPr>
          <w:rFonts w:ascii="Arial" w:hAnsi="Arial" w:cs="Arial"/>
          <w:color w:val="535656"/>
          <w:sz w:val="24"/>
          <w:szCs w:val="24"/>
        </w:rPr>
        <w:t>a</w:t>
      </w:r>
      <w:r w:rsidR="00755C4C" w:rsidRPr="00F537C4">
        <w:rPr>
          <w:rFonts w:ascii="Arial" w:hAnsi="Arial" w:cs="Arial"/>
          <w:color w:val="535656"/>
          <w:sz w:val="24"/>
          <w:szCs w:val="24"/>
        </w:rPr>
        <w:t>buse can be defined as</w:t>
      </w:r>
      <w:r>
        <w:rPr>
          <w:rFonts w:ascii="Arial" w:hAnsi="Arial" w:cs="Arial"/>
          <w:color w:val="535656"/>
          <w:sz w:val="24"/>
          <w:szCs w:val="24"/>
        </w:rPr>
        <w:t>:</w:t>
      </w:r>
    </w:p>
    <w:p w:rsidR="00755C4C" w:rsidRPr="003324C2" w:rsidRDefault="00755C4C" w:rsidP="00B600DF">
      <w:pPr>
        <w:spacing w:after="0" w:line="360" w:lineRule="auto"/>
        <w:ind w:left="720"/>
        <w:rPr>
          <w:rFonts w:ascii="Arial" w:hAnsi="Arial" w:cs="Arial"/>
          <w:i/>
          <w:color w:val="535656"/>
          <w:sz w:val="24"/>
          <w:szCs w:val="24"/>
        </w:rPr>
      </w:pPr>
      <w:proofErr w:type="gramStart"/>
      <w:r w:rsidRPr="003324C2">
        <w:rPr>
          <w:rFonts w:ascii="Arial" w:hAnsi="Arial" w:cs="Arial"/>
          <w:i/>
          <w:color w:val="535656"/>
          <w:sz w:val="24"/>
          <w:szCs w:val="24"/>
        </w:rPr>
        <w:t>a</w:t>
      </w:r>
      <w:proofErr w:type="gramEnd"/>
      <w:r w:rsidRPr="003324C2">
        <w:rPr>
          <w:rFonts w:ascii="Arial" w:hAnsi="Arial" w:cs="Arial"/>
          <w:i/>
          <w:color w:val="535656"/>
          <w:sz w:val="24"/>
          <w:szCs w:val="24"/>
        </w:rPr>
        <w:t xml:space="preserve"> single, or repeated act, or lack of appropriate action, occurring within any relationship where there is an </w:t>
      </w:r>
      <w:r w:rsidRPr="003324C2">
        <w:rPr>
          <w:rStyle w:val="Strong"/>
          <w:rFonts w:ascii="Arial" w:hAnsi="Arial" w:cs="Arial"/>
          <w:b w:val="0"/>
          <w:i/>
          <w:color w:val="535656"/>
          <w:sz w:val="24"/>
          <w:szCs w:val="24"/>
        </w:rPr>
        <w:t>expectation of trust</w:t>
      </w:r>
      <w:r w:rsidRPr="003324C2">
        <w:rPr>
          <w:rFonts w:ascii="Arial" w:hAnsi="Arial" w:cs="Arial"/>
          <w:i/>
          <w:color w:val="535656"/>
          <w:sz w:val="24"/>
          <w:szCs w:val="24"/>
        </w:rPr>
        <w:t xml:space="preserve"> which </w:t>
      </w:r>
      <w:r w:rsidRPr="0055629B">
        <w:rPr>
          <w:rFonts w:ascii="Arial" w:hAnsi="Arial" w:cs="Arial"/>
          <w:i/>
          <w:color w:val="535656"/>
          <w:sz w:val="24"/>
          <w:szCs w:val="24"/>
          <w:u w:val="single"/>
        </w:rPr>
        <w:t>causes harm or distress</w:t>
      </w:r>
      <w:r w:rsidRPr="003324C2">
        <w:rPr>
          <w:rFonts w:ascii="Arial" w:hAnsi="Arial" w:cs="Arial"/>
          <w:i/>
          <w:color w:val="535656"/>
          <w:sz w:val="24"/>
          <w:szCs w:val="24"/>
        </w:rPr>
        <w:t xml:space="preserve"> to an older person. Elder abuse can take various forms such as physical, psychological or emotional, sexual and financial abuse. It can also be the result of </w:t>
      </w:r>
      <w:r w:rsidRPr="0055629B">
        <w:rPr>
          <w:rFonts w:ascii="Arial" w:hAnsi="Arial" w:cs="Arial"/>
          <w:i/>
          <w:color w:val="535656"/>
          <w:sz w:val="24"/>
          <w:szCs w:val="24"/>
          <w:u w:val="single"/>
        </w:rPr>
        <w:t>intentional or unintentional neglect</w:t>
      </w:r>
      <w:r w:rsidRPr="003324C2">
        <w:rPr>
          <w:rFonts w:ascii="Arial" w:hAnsi="Arial" w:cs="Arial"/>
          <w:i/>
          <w:color w:val="535656"/>
          <w:sz w:val="24"/>
          <w:szCs w:val="24"/>
        </w:rPr>
        <w:t>.</w:t>
      </w:r>
      <w:r w:rsidR="003F3079">
        <w:rPr>
          <w:rStyle w:val="FootnoteReference"/>
          <w:rFonts w:ascii="Arial" w:hAnsi="Arial" w:cs="Arial"/>
          <w:i/>
          <w:color w:val="535656"/>
          <w:sz w:val="24"/>
          <w:szCs w:val="24"/>
        </w:rPr>
        <w:footnoteReference w:id="5"/>
      </w:r>
    </w:p>
    <w:p w:rsidR="00A9193A" w:rsidRDefault="00F537C4" w:rsidP="00B600DF">
      <w:pPr>
        <w:spacing w:after="0" w:line="360" w:lineRule="auto"/>
        <w:rPr>
          <w:rFonts w:ascii="Arial" w:hAnsi="Arial" w:cs="Arial"/>
          <w:color w:val="444444"/>
          <w:sz w:val="24"/>
          <w:szCs w:val="24"/>
        </w:rPr>
      </w:pPr>
      <w:r w:rsidRPr="004C7572">
        <w:rPr>
          <w:rFonts w:ascii="Arial" w:hAnsi="Arial" w:cs="Arial"/>
          <w:color w:val="535656"/>
          <w:sz w:val="24"/>
          <w:szCs w:val="24"/>
        </w:rPr>
        <w:t xml:space="preserve">This definition </w:t>
      </w:r>
      <w:r w:rsidR="003324C2" w:rsidRPr="004C7572">
        <w:rPr>
          <w:rFonts w:ascii="Arial" w:hAnsi="Arial" w:cs="Arial"/>
          <w:color w:val="535656"/>
          <w:sz w:val="24"/>
          <w:szCs w:val="24"/>
        </w:rPr>
        <w:t>clearly includes h</w:t>
      </w:r>
      <w:r w:rsidRPr="004C7572">
        <w:rPr>
          <w:rFonts w:ascii="Arial" w:hAnsi="Arial" w:cs="Arial"/>
          <w:color w:val="535656"/>
          <w:sz w:val="24"/>
          <w:szCs w:val="24"/>
        </w:rPr>
        <w:t>arm and distress</w:t>
      </w:r>
      <w:r w:rsidR="003324C2" w:rsidRPr="004C7572">
        <w:rPr>
          <w:rFonts w:ascii="Arial" w:hAnsi="Arial" w:cs="Arial"/>
          <w:color w:val="535656"/>
          <w:sz w:val="24"/>
          <w:szCs w:val="24"/>
        </w:rPr>
        <w:t xml:space="preserve">, with a clear link between </w:t>
      </w:r>
      <w:r w:rsidRPr="004C7572">
        <w:rPr>
          <w:rFonts w:ascii="Arial" w:hAnsi="Arial" w:cs="Arial"/>
          <w:color w:val="444444"/>
          <w:sz w:val="24"/>
          <w:szCs w:val="24"/>
        </w:rPr>
        <w:t xml:space="preserve">harm </w:t>
      </w:r>
      <w:r w:rsidR="003324C2" w:rsidRPr="004C7572">
        <w:rPr>
          <w:rFonts w:ascii="Arial" w:hAnsi="Arial" w:cs="Arial"/>
          <w:color w:val="444444"/>
          <w:sz w:val="24"/>
          <w:szCs w:val="24"/>
        </w:rPr>
        <w:t>and exploitation of trust and vulnerability, a key factor distinguishing harmful behaviours involving older adults from harmful behaviours involving other adults</w:t>
      </w:r>
      <w:r w:rsidR="004C7572">
        <w:rPr>
          <w:rFonts w:ascii="Arial" w:hAnsi="Arial" w:cs="Arial"/>
          <w:color w:val="444444"/>
          <w:sz w:val="24"/>
          <w:szCs w:val="24"/>
        </w:rPr>
        <w:t>.</w:t>
      </w:r>
      <w:r w:rsidR="004C7572" w:rsidRPr="004C7572">
        <w:rPr>
          <w:rStyle w:val="FootnoteReference"/>
          <w:rFonts w:ascii="Arial" w:hAnsi="Arial" w:cs="Arial"/>
          <w:color w:val="444444"/>
          <w:sz w:val="24"/>
          <w:szCs w:val="24"/>
        </w:rPr>
        <w:footnoteReference w:id="6"/>
      </w:r>
      <w:r w:rsidR="003324C2" w:rsidRPr="004C7572">
        <w:rPr>
          <w:rFonts w:ascii="Arial" w:hAnsi="Arial" w:cs="Arial"/>
          <w:color w:val="444444"/>
          <w:sz w:val="24"/>
          <w:szCs w:val="24"/>
        </w:rPr>
        <w:t xml:space="preserve"> </w:t>
      </w:r>
      <w:r w:rsidR="005E4FB2">
        <w:rPr>
          <w:rFonts w:ascii="Arial" w:hAnsi="Arial" w:cs="Arial"/>
          <w:color w:val="444444"/>
          <w:sz w:val="24"/>
          <w:szCs w:val="24"/>
        </w:rPr>
        <w:t xml:space="preserve">More importantly, understanding </w:t>
      </w:r>
      <w:r w:rsidR="006469C5">
        <w:rPr>
          <w:rFonts w:ascii="Arial" w:hAnsi="Arial" w:cs="Arial"/>
          <w:color w:val="444444"/>
          <w:sz w:val="24"/>
          <w:szCs w:val="24"/>
        </w:rPr>
        <w:t>the link between vulnerability and harm</w:t>
      </w:r>
      <w:r w:rsidR="005E4FB2">
        <w:rPr>
          <w:rFonts w:ascii="Arial" w:hAnsi="Arial" w:cs="Arial"/>
          <w:color w:val="444444"/>
          <w:sz w:val="24"/>
          <w:szCs w:val="24"/>
        </w:rPr>
        <w:t xml:space="preserve"> by undue influence </w:t>
      </w:r>
      <w:r w:rsidR="005E4FB2">
        <w:rPr>
          <w:rStyle w:val="FootnoteReference"/>
          <w:rFonts w:ascii="Arial" w:hAnsi="Arial" w:cs="Arial"/>
          <w:color w:val="444444"/>
          <w:sz w:val="24"/>
          <w:szCs w:val="24"/>
        </w:rPr>
        <w:footnoteReference w:id="7"/>
      </w:r>
      <w:r w:rsidR="00FF2844">
        <w:rPr>
          <w:rFonts w:ascii="Arial" w:hAnsi="Arial" w:cs="Arial"/>
          <w:color w:val="444444"/>
          <w:sz w:val="24"/>
          <w:szCs w:val="24"/>
        </w:rPr>
        <w:t xml:space="preserve"> is an important key to addressing elder abuse, recognised in both Articles 12 and 16 of the CRPD, and a central focus of Capacity Australia’s work locally and internationally.</w:t>
      </w:r>
    </w:p>
    <w:p w:rsidR="00A9193A" w:rsidRDefault="00A9193A" w:rsidP="00B600DF">
      <w:pPr>
        <w:spacing w:after="0" w:line="360" w:lineRule="auto"/>
        <w:rPr>
          <w:rFonts w:ascii="Arial" w:hAnsi="Arial" w:cs="Arial"/>
          <w:color w:val="444444"/>
          <w:sz w:val="24"/>
          <w:szCs w:val="24"/>
        </w:rPr>
      </w:pPr>
    </w:p>
    <w:p w:rsidR="00F537C4" w:rsidRDefault="00A9193A" w:rsidP="00B600DF">
      <w:pPr>
        <w:spacing w:after="0" w:line="360" w:lineRule="auto"/>
        <w:rPr>
          <w:rFonts w:ascii="Arial" w:hAnsi="Arial" w:cs="Arial"/>
          <w:color w:val="444444"/>
          <w:sz w:val="24"/>
          <w:szCs w:val="24"/>
        </w:rPr>
      </w:pPr>
      <w:r>
        <w:rPr>
          <w:rFonts w:ascii="Arial" w:hAnsi="Arial" w:cs="Arial"/>
          <w:color w:val="444444"/>
          <w:sz w:val="24"/>
          <w:szCs w:val="24"/>
        </w:rPr>
        <w:t>N</w:t>
      </w:r>
      <w:r w:rsidR="004C7572" w:rsidRPr="004C7572">
        <w:rPr>
          <w:rFonts w:ascii="Arial" w:hAnsi="Arial" w:cs="Arial"/>
          <w:color w:val="444444"/>
          <w:sz w:val="24"/>
          <w:szCs w:val="24"/>
        </w:rPr>
        <w:t>eglect resulting from failure of p</w:t>
      </w:r>
      <w:r w:rsidR="003324C2" w:rsidRPr="004C7572">
        <w:rPr>
          <w:rFonts w:ascii="Arial" w:hAnsi="Arial" w:cs="Arial"/>
          <w:color w:val="444444"/>
          <w:sz w:val="24"/>
          <w:szCs w:val="24"/>
        </w:rPr>
        <w:t>ayment of services</w:t>
      </w:r>
      <w:r w:rsidR="004C7572">
        <w:rPr>
          <w:rFonts w:ascii="Arial" w:hAnsi="Arial" w:cs="Arial"/>
          <w:color w:val="444444"/>
          <w:sz w:val="24"/>
          <w:szCs w:val="24"/>
        </w:rPr>
        <w:t xml:space="preserve"> is a typical manifestation of elder abuse, resulting from sequestration of the older adults’ finances, limiting access of the older adult to </w:t>
      </w:r>
      <w:r w:rsidR="003F3079">
        <w:rPr>
          <w:rFonts w:ascii="Arial" w:hAnsi="Arial" w:cs="Arial"/>
          <w:color w:val="444444"/>
          <w:sz w:val="24"/>
          <w:szCs w:val="24"/>
        </w:rPr>
        <w:t>their own finances</w:t>
      </w:r>
      <w:r w:rsidR="0055629B">
        <w:rPr>
          <w:rFonts w:ascii="Arial" w:hAnsi="Arial" w:cs="Arial"/>
          <w:color w:val="444444"/>
          <w:sz w:val="24"/>
          <w:szCs w:val="24"/>
        </w:rPr>
        <w:t>, or use of the older adult’s finances in ways that do not benefit the older adult</w:t>
      </w:r>
      <w:r w:rsidR="004C7572">
        <w:rPr>
          <w:rFonts w:ascii="Arial" w:hAnsi="Arial" w:cs="Arial"/>
          <w:color w:val="444444"/>
          <w:sz w:val="24"/>
          <w:szCs w:val="24"/>
        </w:rPr>
        <w:t xml:space="preserve">. This is financial abuse - </w:t>
      </w:r>
      <w:r w:rsidR="004C7572" w:rsidRPr="0034014C">
        <w:rPr>
          <w:rFonts w:ascii="Arial" w:hAnsi="Arial" w:cs="Arial"/>
          <w:sz w:val="24"/>
          <w:szCs w:val="24"/>
        </w:rPr>
        <w:t xml:space="preserve">the </w:t>
      </w:r>
      <w:proofErr w:type="spellStart"/>
      <w:r w:rsidR="004C7572" w:rsidRPr="0034014C">
        <w:rPr>
          <w:rFonts w:ascii="Arial" w:hAnsi="Arial" w:cs="Arial"/>
          <w:sz w:val="24"/>
          <w:szCs w:val="24"/>
        </w:rPr>
        <w:t>i</w:t>
      </w:r>
      <w:r w:rsidR="004C7572">
        <w:rPr>
          <w:rFonts w:ascii="Arial" w:hAnsi="Arial" w:cs="Arial"/>
          <w:sz w:val="24"/>
          <w:szCs w:val="24"/>
        </w:rPr>
        <w:t>l</w:t>
      </w:r>
      <w:proofErr w:type="spellEnd"/>
      <w:r w:rsidR="004C7572" w:rsidRPr="0034014C">
        <w:rPr>
          <w:rFonts w:ascii="Arial" w:hAnsi="Arial" w:cs="Arial"/>
          <w:sz w:val="24"/>
          <w:szCs w:val="24"/>
          <w:lang w:val="en-US"/>
        </w:rPr>
        <w:t xml:space="preserve">legal </w:t>
      </w:r>
      <w:r w:rsidR="004C7572">
        <w:rPr>
          <w:rFonts w:ascii="Arial" w:hAnsi="Arial" w:cs="Arial"/>
          <w:sz w:val="24"/>
          <w:szCs w:val="24"/>
          <w:lang w:val="en-US"/>
        </w:rPr>
        <w:t>or</w:t>
      </w:r>
      <w:r w:rsidR="004C7572" w:rsidRPr="0034014C">
        <w:rPr>
          <w:rFonts w:ascii="Arial" w:hAnsi="Arial" w:cs="Arial"/>
          <w:sz w:val="24"/>
          <w:szCs w:val="24"/>
          <w:lang w:val="en-US"/>
        </w:rPr>
        <w:t xml:space="preserve"> </w:t>
      </w:r>
      <w:r w:rsidR="004C7572" w:rsidRPr="0055629B">
        <w:rPr>
          <w:rFonts w:ascii="Arial" w:hAnsi="Arial" w:cs="Arial"/>
          <w:sz w:val="24"/>
          <w:szCs w:val="24"/>
          <w:lang w:val="en-US"/>
        </w:rPr>
        <w:t xml:space="preserve">improper use or mismanagement of a person’s money, financial resources, or </w:t>
      </w:r>
      <w:r w:rsidR="004C7572" w:rsidRPr="0055629B">
        <w:rPr>
          <w:rFonts w:ascii="Arial" w:hAnsi="Arial" w:cs="Arial"/>
          <w:sz w:val="24"/>
          <w:szCs w:val="24"/>
          <w:lang w:val="en-US"/>
        </w:rPr>
        <w:lastRenderedPageBreak/>
        <w:t xml:space="preserve">property or assets without the person’s knowledge or consent, for </w:t>
      </w:r>
      <w:r w:rsidR="004C7572" w:rsidRPr="0055629B">
        <w:rPr>
          <w:rFonts w:ascii="Arial" w:eastAsiaTheme="minorEastAsia" w:hAnsi="Arial" w:cs="Arial"/>
          <w:bCs/>
          <w:sz w:val="24"/>
          <w:szCs w:val="24"/>
          <w:lang w:val="en-US"/>
        </w:rPr>
        <w:t>purposes other than to serve their wishes or needs</w:t>
      </w:r>
      <w:r w:rsidR="004C7572" w:rsidRPr="0034014C">
        <w:rPr>
          <w:rFonts w:ascii="Arial" w:hAnsi="Arial" w:cs="Arial"/>
          <w:sz w:val="24"/>
          <w:szCs w:val="24"/>
          <w:lang w:val="en-US"/>
        </w:rPr>
        <w:t>.</w:t>
      </w:r>
      <w:r w:rsidR="003F3079">
        <w:rPr>
          <w:rStyle w:val="FootnoteReference"/>
          <w:rFonts w:ascii="Arial" w:hAnsi="Arial" w:cs="Arial"/>
          <w:sz w:val="24"/>
          <w:szCs w:val="24"/>
          <w:lang w:val="en-US"/>
        </w:rPr>
        <w:footnoteReference w:id="8"/>
      </w:r>
    </w:p>
    <w:p w:rsidR="004C7572" w:rsidRDefault="004C7572" w:rsidP="00B600DF">
      <w:pPr>
        <w:spacing w:after="0" w:line="360" w:lineRule="auto"/>
        <w:rPr>
          <w:rFonts w:ascii="Arial" w:hAnsi="Arial" w:cs="Arial"/>
          <w:color w:val="444444"/>
          <w:sz w:val="24"/>
          <w:szCs w:val="24"/>
        </w:rPr>
      </w:pPr>
    </w:p>
    <w:p w:rsidR="004C7572" w:rsidRPr="004C7572" w:rsidRDefault="004C7572" w:rsidP="00B600DF">
      <w:pPr>
        <w:spacing w:after="0" w:line="360" w:lineRule="auto"/>
        <w:rPr>
          <w:rFonts w:ascii="Arial" w:hAnsi="Arial" w:cs="Arial"/>
          <w:sz w:val="24"/>
          <w:szCs w:val="24"/>
          <w:lang w:val="en-US"/>
        </w:rPr>
      </w:pPr>
    </w:p>
    <w:p w:rsidR="00660D77" w:rsidRPr="003F3079" w:rsidRDefault="00B619CF" w:rsidP="00B600DF">
      <w:pPr>
        <w:spacing w:after="0" w:line="360" w:lineRule="auto"/>
        <w:rPr>
          <w:rFonts w:ascii="Arial" w:hAnsi="Arial" w:cs="Arial"/>
          <w:b/>
          <w:sz w:val="24"/>
          <w:szCs w:val="24"/>
        </w:rPr>
      </w:pPr>
      <w:r w:rsidRPr="003F3079">
        <w:rPr>
          <w:rFonts w:ascii="Arial" w:hAnsi="Arial" w:cs="Arial"/>
          <w:b/>
          <w:sz w:val="24"/>
          <w:szCs w:val="24"/>
        </w:rPr>
        <w:t xml:space="preserve">Question 3 The ALRC is interested in hearing examples of elder abuse to provide illustrative case studies, including those concerning: · people from culturally and linguistically diverse communities; </w:t>
      </w:r>
      <w:r w:rsidR="003F3079" w:rsidRPr="00B33E8D">
        <w:rPr>
          <w:rFonts w:ascii="Arial" w:hAnsi="Arial" w:cs="Arial"/>
          <w:b/>
          <w:sz w:val="24"/>
          <w:szCs w:val="24"/>
        </w:rPr>
        <w:t>people with disability</w:t>
      </w:r>
      <w:r w:rsidR="006469C5">
        <w:rPr>
          <w:rFonts w:ascii="Arial" w:hAnsi="Arial" w:cs="Arial"/>
          <w:b/>
          <w:sz w:val="24"/>
          <w:szCs w:val="24"/>
        </w:rPr>
        <w:t>.</w:t>
      </w:r>
      <w:r w:rsidR="00660D77" w:rsidRPr="003F3079">
        <w:rPr>
          <w:rFonts w:ascii="Arial" w:hAnsi="Arial" w:cs="Arial"/>
          <w:b/>
          <w:sz w:val="24"/>
          <w:szCs w:val="24"/>
        </w:rPr>
        <w:t xml:space="preserve"> </w:t>
      </w:r>
    </w:p>
    <w:p w:rsidR="00C46881" w:rsidRDefault="003F3079" w:rsidP="00B600DF">
      <w:pPr>
        <w:spacing w:after="0" w:line="360" w:lineRule="auto"/>
        <w:rPr>
          <w:rFonts w:ascii="Arial" w:hAnsi="Arial" w:cs="Arial"/>
          <w:sz w:val="24"/>
          <w:szCs w:val="24"/>
          <w:lang w:val="en-US"/>
        </w:rPr>
      </w:pPr>
      <w:r>
        <w:rPr>
          <w:rFonts w:ascii="Arial" w:hAnsi="Arial" w:cs="Arial"/>
          <w:sz w:val="24"/>
          <w:szCs w:val="24"/>
          <w:lang w:val="en-US"/>
        </w:rPr>
        <w:t xml:space="preserve">In regards to older people with disabilities, </w:t>
      </w:r>
      <w:r w:rsidRPr="0034014C">
        <w:rPr>
          <w:rFonts w:ascii="Arial" w:hAnsi="Arial" w:cs="Arial"/>
          <w:sz w:val="24"/>
          <w:szCs w:val="24"/>
          <w:lang w:val="en-US"/>
        </w:rPr>
        <w:t xml:space="preserve">undue influence (a term usually referring to coercion in the context of will-making, but also relevant to other transactions) is an important </w:t>
      </w:r>
      <w:r w:rsidR="0055629B">
        <w:rPr>
          <w:rFonts w:ascii="Arial" w:hAnsi="Arial" w:cs="Arial"/>
          <w:sz w:val="24"/>
          <w:szCs w:val="24"/>
          <w:lang w:val="en-US"/>
        </w:rPr>
        <w:t xml:space="preserve">causative </w:t>
      </w:r>
      <w:r w:rsidRPr="0034014C">
        <w:rPr>
          <w:rFonts w:ascii="Arial" w:hAnsi="Arial" w:cs="Arial"/>
          <w:sz w:val="24"/>
          <w:szCs w:val="24"/>
          <w:lang w:val="en-US"/>
        </w:rPr>
        <w:t>factor in elder abuse</w:t>
      </w:r>
      <w:r w:rsidR="0055629B">
        <w:rPr>
          <w:rFonts w:ascii="Arial" w:hAnsi="Arial" w:cs="Arial"/>
          <w:sz w:val="24"/>
          <w:szCs w:val="24"/>
          <w:lang w:val="en-US"/>
        </w:rPr>
        <w:t>, whereby t</w:t>
      </w:r>
      <w:r w:rsidRPr="0034014C">
        <w:rPr>
          <w:rFonts w:ascii="Arial" w:hAnsi="Arial" w:cs="Arial"/>
          <w:sz w:val="24"/>
          <w:szCs w:val="24"/>
          <w:lang w:val="en-US"/>
        </w:rPr>
        <w:t>he physical and cognitive vulnerability of older people</w:t>
      </w:r>
      <w:r w:rsidR="0055629B">
        <w:rPr>
          <w:rFonts w:ascii="Arial" w:hAnsi="Arial" w:cs="Arial"/>
          <w:sz w:val="24"/>
          <w:szCs w:val="24"/>
          <w:lang w:val="en-US"/>
        </w:rPr>
        <w:t xml:space="preserve"> is exploited by others seeking to gain advantage from the older person’s decisions</w:t>
      </w:r>
      <w:r w:rsidRPr="0034014C">
        <w:rPr>
          <w:rFonts w:ascii="Arial" w:hAnsi="Arial" w:cs="Arial"/>
          <w:sz w:val="24"/>
          <w:szCs w:val="24"/>
          <w:lang w:val="en-US"/>
        </w:rPr>
        <w:t>.</w:t>
      </w:r>
      <w:r w:rsidRPr="0034014C">
        <w:rPr>
          <w:rStyle w:val="FootnoteReference"/>
          <w:rFonts w:ascii="Arial" w:hAnsi="Arial" w:cs="Arial"/>
          <w:sz w:val="24"/>
          <w:szCs w:val="24"/>
          <w:lang w:val="en-US"/>
        </w:rPr>
        <w:footnoteReference w:id="9"/>
      </w:r>
      <w:r w:rsidRPr="0034014C">
        <w:rPr>
          <w:rFonts w:ascii="Arial" w:hAnsi="Arial" w:cs="Arial"/>
          <w:sz w:val="24"/>
          <w:szCs w:val="24"/>
          <w:lang w:val="en-US"/>
        </w:rPr>
        <w:t xml:space="preserve">  </w:t>
      </w:r>
      <w:r w:rsidR="00205F84" w:rsidRPr="00205F84">
        <w:rPr>
          <w:rFonts w:ascii="Arial" w:hAnsi="Arial" w:cs="Arial"/>
          <w:sz w:val="24"/>
          <w:szCs w:val="24"/>
        </w:rPr>
        <w:t>Undue influence can occur in all circumstances where one person can benefit from the decision making of another, commonly in the procurement of legal documents that favour, advantage or give power to the “influencer”.  There is an onus on both lawyers and health care professionals to identify and recognise undue influence due to clearly articulated professional obligations in regards to elder abuse prevention and action.</w:t>
      </w:r>
      <w:r w:rsidR="00C46881">
        <w:rPr>
          <w:rStyle w:val="FootnoteReference"/>
          <w:rFonts w:ascii="Arial" w:hAnsi="Arial" w:cs="Arial"/>
          <w:sz w:val="24"/>
          <w:szCs w:val="24"/>
        </w:rPr>
        <w:footnoteReference w:id="10"/>
      </w:r>
      <w:r w:rsidR="00C46881">
        <w:rPr>
          <w:rFonts w:ascii="Arial" w:hAnsi="Arial" w:cs="Arial"/>
          <w:sz w:val="24"/>
          <w:szCs w:val="24"/>
        </w:rPr>
        <w:t xml:space="preserve"> </w:t>
      </w:r>
      <w:r>
        <w:rPr>
          <w:rFonts w:ascii="Arial" w:hAnsi="Arial" w:cs="Arial"/>
          <w:sz w:val="24"/>
          <w:szCs w:val="24"/>
          <w:lang w:val="en-US"/>
        </w:rPr>
        <w:t xml:space="preserve">Undue influence may be unwittingly facilitated by legal and financial professionals engaged for the purposes of executing documents or assisting with the management of financial affairs. </w:t>
      </w:r>
    </w:p>
    <w:p w:rsidR="006469C5" w:rsidRDefault="006469C5" w:rsidP="00B600DF">
      <w:pPr>
        <w:spacing w:after="0" w:line="360" w:lineRule="auto"/>
        <w:rPr>
          <w:rFonts w:ascii="Arial" w:hAnsi="Arial" w:cs="Arial"/>
          <w:sz w:val="24"/>
          <w:szCs w:val="24"/>
          <w:lang w:val="en-US"/>
        </w:rPr>
      </w:pPr>
    </w:p>
    <w:p w:rsidR="003F3079" w:rsidRDefault="003F3079" w:rsidP="00B600DF">
      <w:pPr>
        <w:spacing w:after="0" w:line="360" w:lineRule="auto"/>
        <w:rPr>
          <w:rFonts w:ascii="Arial" w:hAnsi="Arial" w:cs="Arial"/>
          <w:sz w:val="24"/>
          <w:szCs w:val="24"/>
          <w:lang w:val="en-US"/>
        </w:rPr>
      </w:pPr>
      <w:r>
        <w:rPr>
          <w:rFonts w:ascii="Arial" w:hAnsi="Arial" w:cs="Arial"/>
          <w:sz w:val="24"/>
          <w:szCs w:val="24"/>
          <w:lang w:val="en-US"/>
        </w:rPr>
        <w:t>This is often due to a failure to detect when people are struggling with the management of their financial affairs – i</w:t>
      </w:r>
      <w:r w:rsidR="00E71765">
        <w:rPr>
          <w:rFonts w:ascii="Arial" w:hAnsi="Arial" w:cs="Arial"/>
          <w:sz w:val="24"/>
          <w:szCs w:val="24"/>
          <w:lang w:val="en-US"/>
        </w:rPr>
        <w:t>.</w:t>
      </w:r>
      <w:r>
        <w:rPr>
          <w:rFonts w:ascii="Arial" w:hAnsi="Arial" w:cs="Arial"/>
          <w:sz w:val="24"/>
          <w:szCs w:val="24"/>
          <w:lang w:val="en-US"/>
        </w:rPr>
        <w:t>e</w:t>
      </w:r>
      <w:r w:rsidR="00E71765">
        <w:rPr>
          <w:rFonts w:ascii="Arial" w:hAnsi="Arial" w:cs="Arial"/>
          <w:sz w:val="24"/>
          <w:szCs w:val="24"/>
          <w:lang w:val="en-US"/>
        </w:rPr>
        <w:t>.</w:t>
      </w:r>
      <w:r>
        <w:rPr>
          <w:rFonts w:ascii="Arial" w:hAnsi="Arial" w:cs="Arial"/>
          <w:sz w:val="24"/>
          <w:szCs w:val="24"/>
          <w:lang w:val="en-US"/>
        </w:rPr>
        <w:t xml:space="preserve"> when people lack financial capacity. Importantly, financial capacity includes, in addition to basic monetary skills, ability to conduct cash transactions, financial conceptual knowledge and knowledge of assets, </w:t>
      </w:r>
      <w:r w:rsidRPr="00CF526E">
        <w:rPr>
          <w:rFonts w:ascii="Arial" w:hAnsi="Arial" w:cs="Arial"/>
          <w:i/>
          <w:sz w:val="24"/>
          <w:szCs w:val="24"/>
          <w:lang w:val="en-US"/>
        </w:rPr>
        <w:lastRenderedPageBreak/>
        <w:t>financial judgment.</w:t>
      </w:r>
      <w:r>
        <w:rPr>
          <w:rFonts w:ascii="Arial" w:hAnsi="Arial" w:cs="Arial"/>
          <w:sz w:val="24"/>
          <w:szCs w:val="24"/>
          <w:lang w:val="en-US"/>
        </w:rPr>
        <w:t xml:space="preserve"> Financial judgment involves the ability to withstand fraud, exploitation and abuse.</w:t>
      </w:r>
      <w:r>
        <w:rPr>
          <w:rStyle w:val="FootnoteReference"/>
          <w:rFonts w:ascii="Arial" w:hAnsi="Arial" w:cs="Arial"/>
          <w:sz w:val="24"/>
          <w:szCs w:val="24"/>
          <w:lang w:val="en-US"/>
        </w:rPr>
        <w:footnoteReference w:id="11"/>
      </w:r>
      <w:r>
        <w:rPr>
          <w:rFonts w:ascii="Arial" w:hAnsi="Arial" w:cs="Arial"/>
          <w:sz w:val="24"/>
          <w:szCs w:val="24"/>
          <w:lang w:val="en-US"/>
        </w:rPr>
        <w:t xml:space="preserve"> </w:t>
      </w:r>
    </w:p>
    <w:p w:rsidR="006469C5" w:rsidRDefault="006469C5" w:rsidP="00B600DF">
      <w:pPr>
        <w:spacing w:after="0" w:line="360" w:lineRule="auto"/>
        <w:rPr>
          <w:rFonts w:ascii="Arial" w:hAnsi="Arial" w:cs="Arial"/>
          <w:sz w:val="24"/>
          <w:szCs w:val="24"/>
        </w:rPr>
      </w:pPr>
    </w:p>
    <w:p w:rsidR="00905628" w:rsidRDefault="005D4F29" w:rsidP="00B600DF">
      <w:pPr>
        <w:spacing w:after="0" w:line="360" w:lineRule="auto"/>
        <w:rPr>
          <w:rFonts w:ascii="Arial" w:hAnsi="Arial" w:cs="Arial"/>
          <w:sz w:val="24"/>
          <w:szCs w:val="24"/>
          <w:lang w:val="en-US"/>
        </w:rPr>
      </w:pPr>
      <w:r>
        <w:rPr>
          <w:rFonts w:ascii="Arial" w:hAnsi="Arial" w:cs="Arial"/>
          <w:sz w:val="24"/>
          <w:szCs w:val="24"/>
        </w:rPr>
        <w:t xml:space="preserve">In regards to </w:t>
      </w:r>
      <w:r w:rsidRPr="00660D77">
        <w:rPr>
          <w:rFonts w:ascii="Arial" w:hAnsi="Arial" w:cs="Arial"/>
          <w:sz w:val="24"/>
          <w:szCs w:val="24"/>
        </w:rPr>
        <w:t>culturally and linguistically diverse (CALD) groups</w:t>
      </w:r>
      <w:r>
        <w:rPr>
          <w:rFonts w:ascii="Arial" w:hAnsi="Arial" w:cs="Arial"/>
          <w:sz w:val="24"/>
          <w:szCs w:val="24"/>
        </w:rPr>
        <w:t>, c</w:t>
      </w:r>
      <w:r w:rsidR="00660D77" w:rsidRPr="00660D77">
        <w:rPr>
          <w:rFonts w:ascii="Arial" w:hAnsi="Arial" w:cs="Arial"/>
          <w:sz w:val="24"/>
          <w:szCs w:val="24"/>
        </w:rPr>
        <w:t xml:space="preserve">ultural practises and beliefs often influence whether or not behaviour is considered abuse, and whether such abuse is even reported. </w:t>
      </w:r>
      <w:r w:rsidR="00D20A05">
        <w:rPr>
          <w:rFonts w:ascii="Arial" w:hAnsi="Arial" w:cs="Arial"/>
          <w:sz w:val="24"/>
          <w:szCs w:val="24"/>
        </w:rPr>
        <w:t xml:space="preserve">Older people from </w:t>
      </w:r>
      <w:r w:rsidR="00660D77" w:rsidRPr="00660D77">
        <w:rPr>
          <w:rFonts w:ascii="Arial" w:hAnsi="Arial" w:cs="Arial"/>
          <w:sz w:val="24"/>
          <w:szCs w:val="24"/>
        </w:rPr>
        <w:t xml:space="preserve">CALD </w:t>
      </w:r>
      <w:r w:rsidR="00D20A05">
        <w:rPr>
          <w:rFonts w:ascii="Arial" w:hAnsi="Arial" w:cs="Arial"/>
          <w:sz w:val="24"/>
          <w:szCs w:val="24"/>
        </w:rPr>
        <w:t xml:space="preserve">backgrounds may be </w:t>
      </w:r>
      <w:r w:rsidR="00660D77" w:rsidRPr="00660D77">
        <w:rPr>
          <w:rFonts w:ascii="Arial" w:hAnsi="Arial" w:cs="Arial"/>
          <w:sz w:val="24"/>
          <w:szCs w:val="24"/>
        </w:rPr>
        <w:t xml:space="preserve">at particular risk of abuse by virtue of isolation, </w:t>
      </w:r>
      <w:r w:rsidR="00D20A05">
        <w:rPr>
          <w:rFonts w:ascii="Arial" w:hAnsi="Arial" w:cs="Arial"/>
          <w:sz w:val="24"/>
          <w:szCs w:val="24"/>
        </w:rPr>
        <w:t xml:space="preserve">lack of English proficiency, </w:t>
      </w:r>
      <w:r w:rsidR="00660D77" w:rsidRPr="00660D77">
        <w:rPr>
          <w:rFonts w:ascii="Arial" w:hAnsi="Arial" w:cs="Arial"/>
          <w:sz w:val="24"/>
          <w:szCs w:val="24"/>
        </w:rPr>
        <w:t>“</w:t>
      </w:r>
      <w:proofErr w:type="spellStart"/>
      <w:r w:rsidR="00660D77" w:rsidRPr="00660D77">
        <w:rPr>
          <w:rFonts w:ascii="Arial" w:hAnsi="Arial" w:cs="Arial"/>
          <w:sz w:val="24"/>
          <w:szCs w:val="24"/>
        </w:rPr>
        <w:t>familism</w:t>
      </w:r>
      <w:proofErr w:type="spellEnd"/>
      <w:r w:rsidR="00660D77" w:rsidRPr="00660D77">
        <w:rPr>
          <w:rFonts w:ascii="Arial" w:hAnsi="Arial" w:cs="Arial"/>
          <w:sz w:val="24"/>
          <w:szCs w:val="24"/>
        </w:rPr>
        <w:t>” which emphasizes the needs of the family over the needs of the individual, and shame or stigma which leads to concealing mistreatment and inhibiting formal help-seeking.</w:t>
      </w:r>
      <w:r w:rsidR="00660D77" w:rsidRPr="00660D77">
        <w:rPr>
          <w:rStyle w:val="FootnoteReference"/>
          <w:rFonts w:ascii="Arial" w:hAnsi="Arial" w:cs="Arial"/>
          <w:sz w:val="24"/>
          <w:szCs w:val="24"/>
        </w:rPr>
        <w:footnoteReference w:id="12"/>
      </w:r>
      <w:r w:rsidR="00660D77" w:rsidRPr="00660D77">
        <w:rPr>
          <w:rFonts w:ascii="Arial" w:hAnsi="Arial" w:cs="Arial"/>
          <w:sz w:val="24"/>
          <w:szCs w:val="24"/>
          <w:lang w:val="en-US"/>
        </w:rPr>
        <w:t xml:space="preserve">  </w:t>
      </w:r>
      <w:r w:rsidR="006469C5">
        <w:rPr>
          <w:rFonts w:ascii="Arial" w:hAnsi="Arial" w:cs="Arial"/>
          <w:sz w:val="24"/>
          <w:szCs w:val="24"/>
          <w:lang w:val="en-US"/>
        </w:rPr>
        <w:t xml:space="preserve">Capacity Australia has partnered with a variety of ethnic community groups to promote community education and awareness </w:t>
      </w:r>
      <w:proofErr w:type="gramStart"/>
      <w:r w:rsidR="006469C5">
        <w:rPr>
          <w:rFonts w:ascii="Arial" w:hAnsi="Arial" w:cs="Arial"/>
          <w:sz w:val="24"/>
          <w:szCs w:val="24"/>
          <w:lang w:val="en-US"/>
        </w:rPr>
        <w:t>raising</w:t>
      </w:r>
      <w:proofErr w:type="gramEnd"/>
      <w:r w:rsidR="006469C5">
        <w:rPr>
          <w:rFonts w:ascii="Arial" w:hAnsi="Arial" w:cs="Arial"/>
          <w:sz w:val="24"/>
          <w:szCs w:val="24"/>
          <w:lang w:val="en-US"/>
        </w:rPr>
        <w:t xml:space="preserve"> of these issue</w:t>
      </w:r>
      <w:r w:rsidR="00A10557">
        <w:rPr>
          <w:rFonts w:ascii="Arial" w:hAnsi="Arial" w:cs="Arial"/>
          <w:sz w:val="24"/>
          <w:szCs w:val="24"/>
          <w:lang w:val="en-US"/>
        </w:rPr>
        <w:t>s</w:t>
      </w:r>
      <w:r w:rsidR="006469C5">
        <w:rPr>
          <w:rFonts w:ascii="Arial" w:hAnsi="Arial" w:cs="Arial"/>
          <w:sz w:val="24"/>
          <w:szCs w:val="24"/>
          <w:lang w:val="en-US"/>
        </w:rPr>
        <w:t xml:space="preserve">. </w:t>
      </w:r>
      <w:r w:rsidR="00660D77" w:rsidRPr="00660D77">
        <w:rPr>
          <w:rFonts w:ascii="Arial" w:hAnsi="Arial" w:cs="Arial"/>
          <w:sz w:val="24"/>
          <w:szCs w:val="24"/>
          <w:lang w:val="en-US"/>
        </w:rPr>
        <w:t xml:space="preserve"> </w:t>
      </w:r>
    </w:p>
    <w:p w:rsidR="006469C5" w:rsidRDefault="006469C5" w:rsidP="00B600DF">
      <w:pPr>
        <w:spacing w:after="0" w:line="360" w:lineRule="auto"/>
        <w:rPr>
          <w:rFonts w:ascii="Arial" w:hAnsi="Arial" w:cs="Arial"/>
          <w:sz w:val="24"/>
          <w:szCs w:val="24"/>
          <w:lang w:val="en-US"/>
        </w:rPr>
      </w:pPr>
    </w:p>
    <w:p w:rsidR="00905628" w:rsidRDefault="00905628" w:rsidP="00B600DF">
      <w:pPr>
        <w:spacing w:after="0" w:line="360" w:lineRule="auto"/>
        <w:rPr>
          <w:rFonts w:ascii="Arial" w:hAnsi="Arial" w:cs="Arial"/>
          <w:sz w:val="24"/>
          <w:szCs w:val="24"/>
          <w:lang w:val="en-US"/>
        </w:rPr>
      </w:pPr>
      <w:proofErr w:type="gramStart"/>
      <w:r>
        <w:rPr>
          <w:rFonts w:ascii="Arial" w:hAnsi="Arial" w:cs="Arial"/>
          <w:sz w:val="24"/>
          <w:szCs w:val="24"/>
          <w:lang w:val="en-US"/>
        </w:rPr>
        <w:t>In Report 44</w:t>
      </w:r>
      <w:r w:rsidRPr="00905628">
        <w:rPr>
          <w:rFonts w:ascii="Arial" w:hAnsi="Arial" w:cs="Arial"/>
          <w:sz w:val="24"/>
          <w:szCs w:val="24"/>
        </w:rPr>
        <w:t xml:space="preserve"> </w:t>
      </w:r>
      <w:r>
        <w:rPr>
          <w:rFonts w:ascii="Arial" w:hAnsi="Arial" w:cs="Arial"/>
          <w:sz w:val="24"/>
          <w:szCs w:val="24"/>
        </w:rPr>
        <w:t xml:space="preserve">of the </w:t>
      </w:r>
      <w:r w:rsidRPr="000B36D6">
        <w:rPr>
          <w:rFonts w:ascii="Arial" w:hAnsi="Arial" w:cs="Arial"/>
          <w:sz w:val="24"/>
          <w:szCs w:val="24"/>
        </w:rPr>
        <w:t>NSW Parliament Legislative Council.</w:t>
      </w:r>
      <w:proofErr w:type="gramEnd"/>
      <w:r w:rsidRPr="000B36D6">
        <w:rPr>
          <w:rFonts w:ascii="Arial" w:hAnsi="Arial" w:cs="Arial"/>
          <w:sz w:val="24"/>
          <w:szCs w:val="24"/>
        </w:rPr>
        <w:t xml:space="preserve"> General Purpose Standing Committee No. 2 Elder abuse</w:t>
      </w:r>
      <w:r>
        <w:rPr>
          <w:rFonts w:ascii="Arial" w:hAnsi="Arial" w:cs="Arial"/>
          <w:sz w:val="24"/>
          <w:szCs w:val="24"/>
          <w:lang w:val="en-US"/>
        </w:rPr>
        <w:t xml:space="preserve"> it was noted that Professor </w:t>
      </w:r>
      <w:proofErr w:type="spellStart"/>
      <w:r>
        <w:rPr>
          <w:rFonts w:ascii="Arial" w:hAnsi="Arial" w:cs="Arial"/>
          <w:sz w:val="24"/>
          <w:szCs w:val="24"/>
          <w:lang w:val="en-US"/>
        </w:rPr>
        <w:t>Peisah</w:t>
      </w:r>
      <w:proofErr w:type="spellEnd"/>
      <w:r>
        <w:rPr>
          <w:rFonts w:ascii="Arial" w:hAnsi="Arial" w:cs="Arial"/>
          <w:sz w:val="24"/>
          <w:szCs w:val="24"/>
          <w:lang w:val="en-US"/>
        </w:rPr>
        <w:t xml:space="preserve">, speaking on behalf of Capacity Australia:   </w:t>
      </w:r>
    </w:p>
    <w:p w:rsidR="00905628" w:rsidRPr="00905628" w:rsidRDefault="00905628" w:rsidP="00D20A05">
      <w:pPr>
        <w:spacing w:after="0" w:line="360" w:lineRule="auto"/>
        <w:ind w:left="720"/>
        <w:rPr>
          <w:rFonts w:ascii="Arial" w:hAnsi="Arial" w:cs="Arial"/>
          <w:i/>
          <w:sz w:val="24"/>
          <w:szCs w:val="24"/>
          <w:lang w:val="en-US"/>
        </w:rPr>
      </w:pPr>
      <w:proofErr w:type="gramStart"/>
      <w:r w:rsidRPr="00905628">
        <w:rPr>
          <w:rFonts w:ascii="Arial" w:hAnsi="Arial" w:cs="Arial"/>
          <w:i/>
          <w:sz w:val="24"/>
          <w:szCs w:val="24"/>
          <w:lang w:val="en-US"/>
        </w:rPr>
        <w:t>drew</w:t>
      </w:r>
      <w:proofErr w:type="gramEnd"/>
      <w:r w:rsidRPr="00905628">
        <w:rPr>
          <w:rFonts w:ascii="Arial" w:hAnsi="Arial" w:cs="Arial"/>
          <w:i/>
          <w:sz w:val="24"/>
          <w:szCs w:val="24"/>
          <w:lang w:val="en-US"/>
        </w:rPr>
        <w:t xml:space="preserve"> attention to the challenges of reaching CALD communities, which are well known to access a disproportionately low share of services. She asserted that, ‘It is hard enough for culturally and linguistically diverse families to access many health services and many dementia services let alone to ring up a hotline and say, “My son just ripped me off”’. Thus she called for strategies that are integrated into ethnic communities and that address the stigma and shame of abuse. Capacity Australia’s submission recommended specific funding for Aboriginal and CALD communities to enable the development of culturally appropriate tools in collaboration with the communities themselves, which are then </w:t>
      </w:r>
      <w:proofErr w:type="spellStart"/>
      <w:r w:rsidRPr="00905628">
        <w:rPr>
          <w:rFonts w:ascii="Arial" w:hAnsi="Arial" w:cs="Arial"/>
          <w:i/>
          <w:sz w:val="24"/>
          <w:szCs w:val="24"/>
          <w:lang w:val="en-US"/>
        </w:rPr>
        <w:t>utilised</w:t>
      </w:r>
      <w:proofErr w:type="spellEnd"/>
      <w:r w:rsidRPr="00905628">
        <w:rPr>
          <w:rFonts w:ascii="Arial" w:hAnsi="Arial" w:cs="Arial"/>
          <w:i/>
          <w:sz w:val="24"/>
          <w:szCs w:val="24"/>
          <w:lang w:val="en-US"/>
        </w:rPr>
        <w:t xml:space="preserve"> in culturally respectful ways: </w:t>
      </w:r>
    </w:p>
    <w:p w:rsidR="003F3079" w:rsidRDefault="003F3079" w:rsidP="00B600DF">
      <w:pPr>
        <w:spacing w:after="0" w:line="360" w:lineRule="auto"/>
        <w:rPr>
          <w:rFonts w:ascii="Arial" w:hAnsi="Arial" w:cs="Arial"/>
          <w:sz w:val="24"/>
          <w:szCs w:val="24"/>
        </w:rPr>
      </w:pPr>
    </w:p>
    <w:p w:rsidR="003F3079" w:rsidRPr="008602E1" w:rsidRDefault="00B619CF" w:rsidP="00B600DF">
      <w:pPr>
        <w:spacing w:after="0" w:line="360" w:lineRule="auto"/>
        <w:rPr>
          <w:rFonts w:ascii="Arial" w:hAnsi="Arial" w:cs="Arial"/>
          <w:b/>
          <w:sz w:val="24"/>
          <w:szCs w:val="24"/>
        </w:rPr>
      </w:pPr>
      <w:r w:rsidRPr="008602E1">
        <w:rPr>
          <w:rFonts w:ascii="Arial" w:hAnsi="Arial" w:cs="Arial"/>
          <w:b/>
          <w:sz w:val="24"/>
          <w:szCs w:val="24"/>
        </w:rPr>
        <w:t xml:space="preserve">Question 4 </w:t>
      </w:r>
      <w:proofErr w:type="gramStart"/>
      <w:r w:rsidRPr="008602E1">
        <w:rPr>
          <w:rFonts w:ascii="Arial" w:hAnsi="Arial" w:cs="Arial"/>
          <w:b/>
          <w:sz w:val="24"/>
          <w:szCs w:val="24"/>
        </w:rPr>
        <w:t>The</w:t>
      </w:r>
      <w:proofErr w:type="gramEnd"/>
      <w:r w:rsidRPr="008602E1">
        <w:rPr>
          <w:rFonts w:ascii="Arial" w:hAnsi="Arial" w:cs="Arial"/>
          <w:b/>
          <w:sz w:val="24"/>
          <w:szCs w:val="24"/>
        </w:rPr>
        <w:t xml:space="preserve"> ALRC is interested in identifying evidence about elder abuse in Australia. What further research is needed and where are the gaps in the evidence? </w:t>
      </w:r>
    </w:p>
    <w:p w:rsidR="008602E1" w:rsidRDefault="00BC3D6F" w:rsidP="00B600DF">
      <w:pPr>
        <w:spacing w:after="0" w:line="360" w:lineRule="auto"/>
        <w:rPr>
          <w:rFonts w:ascii="Arial" w:hAnsi="Arial" w:cs="Arial"/>
          <w:sz w:val="24"/>
          <w:szCs w:val="24"/>
        </w:rPr>
      </w:pPr>
      <w:r w:rsidRPr="00BC3D6F">
        <w:rPr>
          <w:rFonts w:ascii="Arial" w:hAnsi="Arial" w:cs="Arial"/>
          <w:sz w:val="24"/>
          <w:szCs w:val="24"/>
        </w:rPr>
        <w:lastRenderedPageBreak/>
        <w:t xml:space="preserve">Perhaps the largest study of the nature and prevalence of elder abuse in Australia has been conducted on behalf of State Trustees Limited by Eastern Health Clinical School, Monash University, </w:t>
      </w:r>
      <w:proofErr w:type="gramStart"/>
      <w:r w:rsidRPr="00BC3D6F">
        <w:rPr>
          <w:rFonts w:ascii="Arial" w:hAnsi="Arial" w:cs="Arial"/>
          <w:sz w:val="24"/>
          <w:szCs w:val="24"/>
        </w:rPr>
        <w:t>Melbourne</w:t>
      </w:r>
      <w:proofErr w:type="gramEnd"/>
      <w:r w:rsidRPr="00BC3D6F">
        <w:rPr>
          <w:rFonts w:ascii="Arial" w:hAnsi="Arial" w:cs="Arial"/>
        </w:rPr>
        <w:t>.</w:t>
      </w:r>
      <w:r w:rsidRPr="00BC3D6F">
        <w:rPr>
          <w:rFonts w:ascii="Arial" w:hAnsi="Arial" w:cs="Arial"/>
          <w:vertAlign w:val="superscript"/>
        </w:rPr>
        <w:footnoteReference w:id="13"/>
      </w:r>
      <w:r w:rsidRPr="00BC3D6F">
        <w:rPr>
          <w:rFonts w:ascii="Arial" w:hAnsi="Arial" w:cs="Arial"/>
        </w:rPr>
        <w:t xml:space="preserve"> </w:t>
      </w:r>
      <w:r w:rsidRPr="00BC3D6F">
        <w:rPr>
          <w:rFonts w:ascii="Arial" w:hAnsi="Arial" w:cs="Arial"/>
          <w:vertAlign w:val="superscript"/>
        </w:rPr>
        <w:footnoteReference w:id="14"/>
      </w:r>
      <w:r>
        <w:t xml:space="preserve">  </w:t>
      </w:r>
      <w:r w:rsidR="008602E1">
        <w:rPr>
          <w:rFonts w:ascii="Arial" w:hAnsi="Arial" w:cs="Arial"/>
          <w:sz w:val="24"/>
          <w:szCs w:val="24"/>
        </w:rPr>
        <w:t xml:space="preserve">Further research looking at prevalence and correlates (associations) of abuse in order to identify appropriate targets for intervention is needed. Particular areas where there is no data, include the banking and financial sector. </w:t>
      </w:r>
    </w:p>
    <w:p w:rsidR="00A11D9A" w:rsidRDefault="00A11D9A" w:rsidP="00B600DF">
      <w:pPr>
        <w:spacing w:after="0" w:line="360" w:lineRule="auto"/>
        <w:rPr>
          <w:rFonts w:ascii="Arial" w:hAnsi="Arial" w:cs="Arial"/>
          <w:sz w:val="24"/>
          <w:szCs w:val="24"/>
        </w:rPr>
      </w:pPr>
    </w:p>
    <w:p w:rsidR="008602E1" w:rsidRDefault="008602E1" w:rsidP="00B600DF">
      <w:pPr>
        <w:spacing w:after="0" w:line="360" w:lineRule="auto"/>
        <w:rPr>
          <w:rFonts w:ascii="Arial" w:hAnsi="Arial" w:cs="Arial"/>
          <w:sz w:val="24"/>
          <w:szCs w:val="24"/>
        </w:rPr>
      </w:pPr>
      <w:r>
        <w:rPr>
          <w:rFonts w:ascii="Arial" w:hAnsi="Arial" w:cs="Arial"/>
          <w:sz w:val="24"/>
          <w:szCs w:val="24"/>
        </w:rPr>
        <w:t xml:space="preserve">Given that many of the solutions </w:t>
      </w:r>
      <w:r w:rsidR="00A11D9A">
        <w:rPr>
          <w:rFonts w:ascii="Arial" w:hAnsi="Arial" w:cs="Arial"/>
          <w:sz w:val="24"/>
          <w:szCs w:val="24"/>
        </w:rPr>
        <w:t xml:space="preserve">to this problem </w:t>
      </w:r>
      <w:r>
        <w:rPr>
          <w:rFonts w:ascii="Arial" w:hAnsi="Arial" w:cs="Arial"/>
          <w:sz w:val="24"/>
          <w:szCs w:val="24"/>
        </w:rPr>
        <w:t xml:space="preserve">lie in de-stigmatisation, awareness-raising and education of professionals across health, law and finance, more knowledge translation research (which goes beyond merely delivering a didactic session) such as has been undertaken by Capacity Australia is needed across all sectors. There </w:t>
      </w:r>
      <w:r w:rsidR="00A11D9A">
        <w:rPr>
          <w:rFonts w:ascii="Arial" w:hAnsi="Arial" w:cs="Arial"/>
          <w:sz w:val="24"/>
          <w:szCs w:val="24"/>
        </w:rPr>
        <w:t xml:space="preserve">have been </w:t>
      </w:r>
      <w:r>
        <w:rPr>
          <w:rFonts w:ascii="Arial" w:hAnsi="Arial" w:cs="Arial"/>
          <w:sz w:val="24"/>
          <w:szCs w:val="24"/>
        </w:rPr>
        <w:t>clear processe</w:t>
      </w:r>
      <w:r w:rsidR="00A11D9A">
        <w:rPr>
          <w:rFonts w:ascii="Arial" w:hAnsi="Arial" w:cs="Arial"/>
          <w:sz w:val="24"/>
          <w:szCs w:val="24"/>
        </w:rPr>
        <w:t>s</w:t>
      </w:r>
      <w:r>
        <w:rPr>
          <w:rFonts w:ascii="Arial" w:hAnsi="Arial" w:cs="Arial"/>
          <w:sz w:val="24"/>
          <w:szCs w:val="24"/>
        </w:rPr>
        <w:t xml:space="preserve"> developed for this type of research.   </w:t>
      </w:r>
    </w:p>
    <w:p w:rsidR="008602E1" w:rsidRDefault="008602E1" w:rsidP="00B600DF">
      <w:pPr>
        <w:spacing w:after="0" w:line="360" w:lineRule="auto"/>
        <w:jc w:val="center"/>
        <w:rPr>
          <w:rFonts w:ascii="Arial" w:hAnsi="Arial" w:cs="Arial"/>
          <w:sz w:val="24"/>
          <w:szCs w:val="24"/>
        </w:rPr>
      </w:pPr>
    </w:p>
    <w:p w:rsidR="00B619CF" w:rsidRPr="00D46D0C" w:rsidRDefault="00B619CF" w:rsidP="00D46D0C">
      <w:pPr>
        <w:spacing w:after="0" w:line="360" w:lineRule="auto"/>
        <w:jc w:val="center"/>
        <w:rPr>
          <w:rFonts w:ascii="Arial" w:hAnsi="Arial" w:cs="Arial"/>
          <w:sz w:val="24"/>
          <w:szCs w:val="24"/>
        </w:rPr>
      </w:pPr>
      <w:r w:rsidRPr="00D46D0C">
        <w:rPr>
          <w:rFonts w:ascii="Arial" w:hAnsi="Arial" w:cs="Arial"/>
          <w:b/>
          <w:sz w:val="24"/>
          <w:szCs w:val="24"/>
        </w:rPr>
        <w:t>A</w:t>
      </w:r>
      <w:r w:rsidR="00D46D0C" w:rsidRPr="00D46D0C">
        <w:rPr>
          <w:rFonts w:ascii="Arial" w:hAnsi="Arial" w:cs="Arial"/>
          <w:b/>
          <w:sz w:val="24"/>
          <w:szCs w:val="24"/>
        </w:rPr>
        <w:t>GED CARE</w:t>
      </w:r>
    </w:p>
    <w:p w:rsidR="00B619CF" w:rsidRPr="00525E59" w:rsidRDefault="00B619CF" w:rsidP="00B600DF">
      <w:pPr>
        <w:spacing w:after="0" w:line="360" w:lineRule="auto"/>
        <w:rPr>
          <w:rFonts w:ascii="Arial" w:hAnsi="Arial" w:cs="Arial"/>
          <w:b/>
          <w:sz w:val="24"/>
          <w:szCs w:val="24"/>
        </w:rPr>
      </w:pPr>
      <w:r w:rsidRPr="00525E59">
        <w:rPr>
          <w:rFonts w:ascii="Arial" w:hAnsi="Arial" w:cs="Arial"/>
          <w:b/>
          <w:sz w:val="24"/>
          <w:szCs w:val="24"/>
        </w:rPr>
        <w:t xml:space="preserve">Question 11 </w:t>
      </w:r>
      <w:proofErr w:type="gramStart"/>
      <w:r w:rsidRPr="00525E59">
        <w:rPr>
          <w:rFonts w:ascii="Arial" w:hAnsi="Arial" w:cs="Arial"/>
          <w:b/>
          <w:sz w:val="24"/>
          <w:szCs w:val="24"/>
        </w:rPr>
        <w:t>What</w:t>
      </w:r>
      <w:proofErr w:type="gramEnd"/>
      <w:r w:rsidRPr="00525E59">
        <w:rPr>
          <w:rFonts w:ascii="Arial" w:hAnsi="Arial" w:cs="Arial"/>
          <w:b/>
          <w:sz w:val="24"/>
          <w:szCs w:val="24"/>
        </w:rPr>
        <w:t xml:space="preserve"> evidence exists of elder abuse committed in aged care, including in residential, home and flexible care settings? </w:t>
      </w:r>
    </w:p>
    <w:p w:rsidR="005D4F29" w:rsidRDefault="00B33E8D" w:rsidP="00B600DF">
      <w:pPr>
        <w:spacing w:after="0" w:line="360" w:lineRule="auto"/>
        <w:rPr>
          <w:rFonts w:ascii="Arial" w:hAnsi="Arial" w:cs="Arial"/>
          <w:sz w:val="24"/>
          <w:szCs w:val="24"/>
        </w:rPr>
      </w:pPr>
      <w:r>
        <w:rPr>
          <w:rFonts w:ascii="Arial" w:hAnsi="Arial" w:cs="Arial"/>
          <w:sz w:val="24"/>
          <w:szCs w:val="24"/>
        </w:rPr>
        <w:t xml:space="preserve">Using the above definition </w:t>
      </w:r>
      <w:r w:rsidR="005D4F29">
        <w:rPr>
          <w:rFonts w:ascii="Arial" w:hAnsi="Arial" w:cs="Arial"/>
          <w:sz w:val="24"/>
          <w:szCs w:val="24"/>
        </w:rPr>
        <w:t>of elder abuse which encompasses lack of appropriate action and neglect of older people causing harm, the</w:t>
      </w:r>
      <w:r w:rsidR="008217C6">
        <w:rPr>
          <w:rFonts w:ascii="Arial" w:hAnsi="Arial" w:cs="Arial"/>
          <w:sz w:val="24"/>
          <w:szCs w:val="24"/>
        </w:rPr>
        <w:t xml:space="preserve">re is evidence that </w:t>
      </w:r>
      <w:r w:rsidR="00525E59">
        <w:rPr>
          <w:rFonts w:ascii="Arial" w:hAnsi="Arial" w:cs="Arial"/>
          <w:sz w:val="24"/>
          <w:szCs w:val="24"/>
        </w:rPr>
        <w:t xml:space="preserve">elder abuse manifests in a number of ways in </w:t>
      </w:r>
      <w:r w:rsidR="005D4F29">
        <w:rPr>
          <w:rFonts w:ascii="Arial" w:hAnsi="Arial" w:cs="Arial"/>
          <w:sz w:val="24"/>
          <w:szCs w:val="24"/>
        </w:rPr>
        <w:t>aged care setting</w:t>
      </w:r>
      <w:r w:rsidR="008217C6">
        <w:rPr>
          <w:rFonts w:ascii="Arial" w:hAnsi="Arial" w:cs="Arial"/>
          <w:sz w:val="24"/>
          <w:szCs w:val="24"/>
        </w:rPr>
        <w:t>s</w:t>
      </w:r>
      <w:r w:rsidR="00525E59">
        <w:rPr>
          <w:rFonts w:ascii="Arial" w:hAnsi="Arial" w:cs="Arial"/>
          <w:sz w:val="24"/>
          <w:szCs w:val="24"/>
        </w:rPr>
        <w:t>.</w:t>
      </w:r>
      <w:r w:rsidR="008217C6">
        <w:rPr>
          <w:rFonts w:ascii="Arial" w:hAnsi="Arial" w:cs="Arial"/>
          <w:sz w:val="24"/>
          <w:szCs w:val="24"/>
        </w:rPr>
        <w:t xml:space="preserve"> </w:t>
      </w:r>
    </w:p>
    <w:p w:rsidR="008602E1" w:rsidRDefault="008602E1" w:rsidP="00B600DF">
      <w:pPr>
        <w:spacing w:after="0" w:line="360" w:lineRule="auto"/>
        <w:rPr>
          <w:rFonts w:ascii="Arial" w:hAnsi="Arial" w:cs="Arial"/>
          <w:sz w:val="24"/>
          <w:szCs w:val="24"/>
        </w:rPr>
      </w:pPr>
    </w:p>
    <w:p w:rsidR="00525E59" w:rsidRDefault="00447CC3" w:rsidP="00B600DF">
      <w:pPr>
        <w:spacing w:after="0" w:line="360" w:lineRule="auto"/>
        <w:rPr>
          <w:rFonts w:ascii="Arial" w:hAnsi="Arial" w:cs="Arial"/>
          <w:sz w:val="24"/>
          <w:szCs w:val="24"/>
        </w:rPr>
      </w:pPr>
      <w:r>
        <w:rPr>
          <w:rFonts w:ascii="Arial" w:hAnsi="Arial" w:cs="Arial"/>
          <w:sz w:val="24"/>
          <w:szCs w:val="24"/>
        </w:rPr>
        <w:t xml:space="preserve">More than 50% of residents in Australian Government-subsidised aged care facilities have dementia. </w:t>
      </w:r>
      <w:r>
        <w:rPr>
          <w:rStyle w:val="FootnoteReference"/>
          <w:rFonts w:ascii="Arial" w:hAnsi="Arial" w:cs="Arial"/>
          <w:sz w:val="24"/>
          <w:szCs w:val="24"/>
        </w:rPr>
        <w:footnoteReference w:id="15"/>
      </w:r>
      <w:r>
        <w:rPr>
          <w:rFonts w:ascii="Arial" w:hAnsi="Arial" w:cs="Arial"/>
          <w:sz w:val="24"/>
          <w:szCs w:val="24"/>
        </w:rPr>
        <w:t xml:space="preserve"> </w:t>
      </w:r>
      <w:r w:rsidR="008217C6">
        <w:rPr>
          <w:rFonts w:ascii="Arial" w:hAnsi="Arial" w:cs="Arial"/>
          <w:sz w:val="24"/>
          <w:szCs w:val="24"/>
        </w:rPr>
        <w:t xml:space="preserve">Separately, approximately 25% </w:t>
      </w:r>
      <w:r w:rsidR="00525E59">
        <w:rPr>
          <w:rFonts w:ascii="Arial" w:hAnsi="Arial" w:cs="Arial"/>
          <w:sz w:val="24"/>
          <w:szCs w:val="24"/>
        </w:rPr>
        <w:t xml:space="preserve">of older people in residential care </w:t>
      </w:r>
      <w:r w:rsidR="008217C6">
        <w:rPr>
          <w:rFonts w:ascii="Arial" w:hAnsi="Arial" w:cs="Arial"/>
          <w:sz w:val="24"/>
          <w:szCs w:val="24"/>
        </w:rPr>
        <w:t>have depression.</w:t>
      </w:r>
      <w:r>
        <w:rPr>
          <w:rStyle w:val="FootnoteReference"/>
          <w:rFonts w:ascii="Arial" w:hAnsi="Arial" w:cs="Arial"/>
          <w:sz w:val="24"/>
          <w:szCs w:val="24"/>
        </w:rPr>
        <w:footnoteReference w:id="16"/>
      </w:r>
      <w:r w:rsidR="008217C6">
        <w:rPr>
          <w:rFonts w:ascii="Arial" w:hAnsi="Arial" w:cs="Arial"/>
          <w:sz w:val="24"/>
          <w:szCs w:val="24"/>
        </w:rPr>
        <w:t xml:space="preserve"> Many of these people are unable to communicate their needs (e.g. pain, loneliness, hunger, intimacy) due to expressive </w:t>
      </w:r>
      <w:r w:rsidR="00525E59">
        <w:rPr>
          <w:rFonts w:ascii="Arial" w:hAnsi="Arial" w:cs="Arial"/>
          <w:sz w:val="24"/>
          <w:szCs w:val="24"/>
        </w:rPr>
        <w:t xml:space="preserve">(speaking) </w:t>
      </w:r>
      <w:r w:rsidR="008217C6">
        <w:rPr>
          <w:rFonts w:ascii="Arial" w:hAnsi="Arial" w:cs="Arial"/>
          <w:sz w:val="24"/>
          <w:szCs w:val="24"/>
        </w:rPr>
        <w:t xml:space="preserve">or receptive </w:t>
      </w:r>
      <w:r w:rsidR="00525E59">
        <w:rPr>
          <w:rFonts w:ascii="Arial" w:hAnsi="Arial" w:cs="Arial"/>
          <w:sz w:val="24"/>
          <w:szCs w:val="24"/>
        </w:rPr>
        <w:t xml:space="preserve">(understanding) </w:t>
      </w:r>
      <w:r w:rsidR="008217C6">
        <w:rPr>
          <w:rFonts w:ascii="Arial" w:hAnsi="Arial" w:cs="Arial"/>
          <w:sz w:val="24"/>
          <w:szCs w:val="24"/>
        </w:rPr>
        <w:t>language disturbance, hopelessness or apathy.</w:t>
      </w:r>
      <w:r w:rsidR="00525E59">
        <w:rPr>
          <w:rFonts w:ascii="Arial" w:hAnsi="Arial" w:cs="Arial"/>
          <w:sz w:val="24"/>
          <w:szCs w:val="24"/>
        </w:rPr>
        <w:t xml:space="preserve"> As a result, these </w:t>
      </w:r>
      <w:r w:rsidR="00525E59">
        <w:rPr>
          <w:rFonts w:ascii="Arial" w:hAnsi="Arial" w:cs="Arial"/>
          <w:sz w:val="24"/>
          <w:szCs w:val="24"/>
        </w:rPr>
        <w:lastRenderedPageBreak/>
        <w:t>needs are not met. This is neglect. Moreover, while depression screening is mandated in residential care, poor scores are not followed up.</w:t>
      </w:r>
      <w:r w:rsidR="008602E1">
        <w:rPr>
          <w:rStyle w:val="FootnoteReference"/>
          <w:rFonts w:ascii="Arial" w:hAnsi="Arial" w:cs="Arial"/>
          <w:sz w:val="24"/>
          <w:szCs w:val="24"/>
        </w:rPr>
        <w:footnoteReference w:id="17"/>
      </w:r>
      <w:r w:rsidR="00525E59">
        <w:rPr>
          <w:rFonts w:ascii="Arial" w:hAnsi="Arial" w:cs="Arial"/>
          <w:sz w:val="24"/>
          <w:szCs w:val="24"/>
        </w:rPr>
        <w:t xml:space="preserve"> This is neglect.    </w:t>
      </w:r>
    </w:p>
    <w:p w:rsidR="008602E1" w:rsidRDefault="008602E1" w:rsidP="00B600DF">
      <w:pPr>
        <w:pStyle w:val="NormalWeb"/>
        <w:spacing w:before="0" w:beforeAutospacing="0" w:after="0" w:afterAutospacing="0" w:line="360" w:lineRule="auto"/>
        <w:rPr>
          <w:rFonts w:ascii="Arial" w:hAnsi="Arial" w:cs="Arial"/>
          <w:color w:val="000000"/>
        </w:rPr>
      </w:pPr>
    </w:p>
    <w:p w:rsidR="008E7092" w:rsidRPr="009278A5" w:rsidRDefault="008E7092" w:rsidP="00B600DF">
      <w:pPr>
        <w:pStyle w:val="NormalWeb"/>
        <w:spacing w:before="0" w:beforeAutospacing="0" w:after="0" w:afterAutospacing="0" w:line="360" w:lineRule="auto"/>
        <w:rPr>
          <w:rFonts w:ascii="Arial" w:hAnsi="Arial" w:cs="Arial"/>
          <w:color w:val="000000"/>
        </w:rPr>
      </w:pPr>
      <w:proofErr w:type="spellStart"/>
      <w:r w:rsidRPr="009278A5">
        <w:rPr>
          <w:rFonts w:ascii="Arial" w:hAnsi="Arial" w:cs="Arial"/>
          <w:color w:val="000000"/>
        </w:rPr>
        <w:t>Behavioral</w:t>
      </w:r>
      <w:proofErr w:type="spellEnd"/>
      <w:r w:rsidRPr="009278A5">
        <w:rPr>
          <w:rFonts w:ascii="Arial" w:hAnsi="Arial" w:cs="Arial"/>
          <w:color w:val="000000"/>
        </w:rPr>
        <w:t xml:space="preserve"> and psychological symptoms of dementia (BPSD) </w:t>
      </w:r>
      <w:r w:rsidRPr="009278A5">
        <w:rPr>
          <w:rFonts w:ascii="Arial" w:hAnsi="Arial" w:cs="Arial"/>
        </w:rPr>
        <w:t>are symptoms of disturbed perception, thinking, mood and behaviour occurring in people with dementia</w:t>
      </w:r>
      <w:r w:rsidR="00C54C6C">
        <w:rPr>
          <w:rFonts w:ascii="Arial" w:hAnsi="Arial" w:cs="Arial"/>
        </w:rPr>
        <w:t>,</w:t>
      </w:r>
      <w:r w:rsidRPr="009278A5">
        <w:rPr>
          <w:rFonts w:ascii="Arial" w:hAnsi="Arial" w:cs="Arial"/>
        </w:rPr>
        <w:t xml:space="preserve"> often </w:t>
      </w:r>
      <w:r w:rsidR="00C54C6C">
        <w:rPr>
          <w:rFonts w:ascii="Arial" w:hAnsi="Arial" w:cs="Arial"/>
        </w:rPr>
        <w:t xml:space="preserve">an expression of </w:t>
      </w:r>
      <w:r w:rsidRPr="009278A5">
        <w:rPr>
          <w:rFonts w:ascii="Arial" w:hAnsi="Arial" w:cs="Arial"/>
        </w:rPr>
        <w:t>these unmet needs.</w:t>
      </w:r>
      <w:r w:rsidR="00E55D01">
        <w:rPr>
          <w:rStyle w:val="FootnoteReference"/>
          <w:rFonts w:ascii="Arial" w:hAnsi="Arial" w:cs="Arial"/>
        </w:rPr>
        <w:footnoteReference w:id="18"/>
      </w:r>
      <w:r w:rsidRPr="009278A5">
        <w:rPr>
          <w:rFonts w:ascii="Arial" w:hAnsi="Arial" w:cs="Arial"/>
        </w:rPr>
        <w:t xml:space="preserve"> </w:t>
      </w:r>
      <w:r w:rsidR="00C54C6C">
        <w:rPr>
          <w:rFonts w:ascii="Arial" w:hAnsi="Arial" w:cs="Arial"/>
        </w:rPr>
        <w:t xml:space="preserve">BPSD </w:t>
      </w:r>
      <w:r w:rsidRPr="009278A5">
        <w:rPr>
          <w:rFonts w:ascii="Arial" w:hAnsi="Arial" w:cs="Arial"/>
        </w:rPr>
        <w:t xml:space="preserve">include </w:t>
      </w:r>
      <w:r w:rsidRPr="009278A5">
        <w:rPr>
          <w:rFonts w:ascii="Arial" w:hAnsi="Arial" w:cs="Arial"/>
          <w:bCs/>
        </w:rPr>
        <w:t xml:space="preserve">agitation, aggression, calling out/ screaming, </w:t>
      </w:r>
      <w:proofErr w:type="spellStart"/>
      <w:r w:rsidRPr="009278A5">
        <w:rPr>
          <w:rFonts w:ascii="Arial" w:hAnsi="Arial" w:cs="Arial"/>
          <w:bCs/>
        </w:rPr>
        <w:t>disinhibition</w:t>
      </w:r>
      <w:proofErr w:type="spellEnd"/>
      <w:r w:rsidRPr="009278A5">
        <w:rPr>
          <w:rFonts w:ascii="Arial" w:hAnsi="Arial" w:cs="Arial"/>
          <w:bCs/>
        </w:rPr>
        <w:t xml:space="preserve"> (sexual), wandering, night time disturbance, shadowing, swearing, depression, anxiety, apathy, delusions, hallucinations, irritability and elation/euphoria. They occur </w:t>
      </w:r>
      <w:r w:rsidRPr="009278A5">
        <w:rPr>
          <w:rFonts w:ascii="Arial" w:hAnsi="Arial" w:cs="Arial"/>
        </w:rPr>
        <w:t xml:space="preserve">so </w:t>
      </w:r>
      <w:r w:rsidRPr="009278A5">
        <w:rPr>
          <w:rFonts w:ascii="Arial" w:hAnsi="Arial" w:cs="Arial"/>
          <w:color w:val="000000"/>
        </w:rPr>
        <w:t xml:space="preserve">commonly as to be virtually ubiquitous in </w:t>
      </w:r>
      <w:r w:rsidR="008602E1">
        <w:rPr>
          <w:rFonts w:ascii="Arial" w:hAnsi="Arial" w:cs="Arial"/>
          <w:color w:val="000000"/>
        </w:rPr>
        <w:t>dementia</w:t>
      </w:r>
      <w:r w:rsidRPr="009278A5">
        <w:rPr>
          <w:rFonts w:ascii="Arial" w:hAnsi="Arial" w:cs="Arial"/>
          <w:color w:val="000000"/>
        </w:rPr>
        <w:t xml:space="preserve">, </w:t>
      </w:r>
      <w:r w:rsidRPr="009278A5">
        <w:rPr>
          <w:rFonts w:ascii="Arial" w:hAnsi="Arial" w:cs="Arial"/>
        </w:rPr>
        <w:t>with up to 97% of people experiencing BPSD of variable severity during the course of their illness</w:t>
      </w:r>
      <w:r w:rsidR="00BC3D6F">
        <w:rPr>
          <w:rFonts w:ascii="Arial" w:hAnsi="Arial" w:cs="Arial"/>
        </w:rPr>
        <w:t>.</w:t>
      </w:r>
      <w:r w:rsidR="00BC3D6F">
        <w:rPr>
          <w:rStyle w:val="FootnoteReference"/>
          <w:rFonts w:ascii="Arial" w:hAnsi="Arial" w:cs="Arial"/>
          <w:color w:val="000000"/>
        </w:rPr>
        <w:footnoteReference w:id="19"/>
      </w:r>
      <w:r w:rsidR="00BC3D6F">
        <w:rPr>
          <w:rFonts w:ascii="Arial" w:hAnsi="Arial" w:cs="Arial"/>
          <w:color w:val="000000"/>
        </w:rPr>
        <w:t xml:space="preserve"> </w:t>
      </w:r>
      <w:r w:rsidRPr="009278A5">
        <w:rPr>
          <w:rFonts w:ascii="Arial" w:hAnsi="Arial" w:cs="Arial"/>
          <w:color w:val="000000"/>
        </w:rPr>
        <w:t xml:space="preserve"> </w:t>
      </w:r>
    </w:p>
    <w:p w:rsidR="00525E59" w:rsidRPr="009278A5" w:rsidRDefault="00525E59" w:rsidP="00B600DF">
      <w:pPr>
        <w:spacing w:after="0" w:line="360" w:lineRule="auto"/>
        <w:rPr>
          <w:rFonts w:ascii="Arial" w:hAnsi="Arial" w:cs="Arial"/>
          <w:sz w:val="24"/>
          <w:szCs w:val="24"/>
        </w:rPr>
      </w:pPr>
    </w:p>
    <w:p w:rsidR="008E7092" w:rsidRDefault="008E7092" w:rsidP="00B600DF">
      <w:pPr>
        <w:spacing w:after="0" w:line="360" w:lineRule="auto"/>
        <w:rPr>
          <w:rFonts w:ascii="Arial" w:hAnsi="Arial" w:cs="Arial"/>
          <w:sz w:val="24"/>
          <w:szCs w:val="24"/>
        </w:rPr>
      </w:pPr>
      <w:r>
        <w:rPr>
          <w:rFonts w:ascii="Arial" w:hAnsi="Arial" w:cs="Arial"/>
          <w:sz w:val="24"/>
          <w:szCs w:val="24"/>
        </w:rPr>
        <w:t>Very often, rather than meeting these needs, people are restrained chemically or physically (see Question 16)</w:t>
      </w:r>
      <w:r w:rsidR="007E373F">
        <w:rPr>
          <w:rFonts w:ascii="Arial" w:hAnsi="Arial" w:cs="Arial"/>
          <w:sz w:val="24"/>
          <w:szCs w:val="24"/>
        </w:rPr>
        <w:t xml:space="preserve">. </w:t>
      </w:r>
      <w:r>
        <w:rPr>
          <w:rFonts w:ascii="Arial" w:hAnsi="Arial" w:cs="Arial"/>
          <w:sz w:val="24"/>
          <w:szCs w:val="24"/>
        </w:rPr>
        <w:t xml:space="preserve">Both </w:t>
      </w:r>
      <w:r w:rsidR="008602E1">
        <w:rPr>
          <w:rFonts w:ascii="Arial" w:hAnsi="Arial" w:cs="Arial"/>
          <w:sz w:val="24"/>
          <w:szCs w:val="24"/>
        </w:rPr>
        <w:t xml:space="preserve">types of restraints </w:t>
      </w:r>
      <w:r>
        <w:rPr>
          <w:rFonts w:ascii="Arial" w:hAnsi="Arial" w:cs="Arial"/>
          <w:sz w:val="24"/>
          <w:szCs w:val="24"/>
        </w:rPr>
        <w:t>cause harm.</w:t>
      </w:r>
      <w:r>
        <w:rPr>
          <w:rStyle w:val="FootnoteReference"/>
          <w:rFonts w:ascii="Arial" w:hAnsi="Arial" w:cs="Arial"/>
          <w:sz w:val="24"/>
          <w:szCs w:val="24"/>
        </w:rPr>
        <w:footnoteReference w:id="20"/>
      </w:r>
      <w:r>
        <w:rPr>
          <w:rFonts w:ascii="Arial" w:hAnsi="Arial" w:cs="Arial"/>
          <w:sz w:val="24"/>
          <w:szCs w:val="24"/>
        </w:rPr>
        <w:t xml:space="preserve"> This is abuse by lack of action, neglect and harm.   </w:t>
      </w:r>
    </w:p>
    <w:p w:rsidR="008602E1" w:rsidRDefault="008602E1" w:rsidP="00B600DF">
      <w:pPr>
        <w:spacing w:after="0" w:line="360" w:lineRule="auto"/>
        <w:rPr>
          <w:rFonts w:ascii="Arial" w:hAnsi="Arial" w:cs="Arial"/>
          <w:sz w:val="24"/>
          <w:szCs w:val="24"/>
        </w:rPr>
      </w:pPr>
    </w:p>
    <w:p w:rsidR="00B619CF" w:rsidRPr="005F4F7F" w:rsidRDefault="00B619CF" w:rsidP="00B600DF">
      <w:pPr>
        <w:spacing w:after="0" w:line="360" w:lineRule="auto"/>
        <w:rPr>
          <w:rFonts w:ascii="Arial" w:hAnsi="Arial" w:cs="Arial"/>
          <w:b/>
          <w:sz w:val="24"/>
          <w:szCs w:val="24"/>
        </w:rPr>
      </w:pPr>
      <w:r w:rsidRPr="005F4F7F">
        <w:rPr>
          <w:rFonts w:ascii="Arial" w:hAnsi="Arial" w:cs="Arial"/>
          <w:b/>
          <w:sz w:val="24"/>
          <w:szCs w:val="24"/>
        </w:rPr>
        <w:t xml:space="preserve">Question 12 </w:t>
      </w:r>
      <w:proofErr w:type="gramStart"/>
      <w:r w:rsidRPr="005F4F7F">
        <w:rPr>
          <w:rFonts w:ascii="Arial" w:hAnsi="Arial" w:cs="Arial"/>
          <w:b/>
          <w:sz w:val="24"/>
          <w:szCs w:val="24"/>
        </w:rPr>
        <w:t>What</w:t>
      </w:r>
      <w:proofErr w:type="gramEnd"/>
      <w:r w:rsidRPr="005F4F7F">
        <w:rPr>
          <w:rFonts w:ascii="Arial" w:hAnsi="Arial" w:cs="Arial"/>
          <w:b/>
          <w:sz w:val="24"/>
          <w:szCs w:val="24"/>
        </w:rPr>
        <w:t xml:space="preserve"> further role should aged care assessment programs play in identifying and responding to people at risk of elder abuse?</w:t>
      </w:r>
    </w:p>
    <w:p w:rsidR="00B33E8D" w:rsidRDefault="005F4F7F" w:rsidP="00B600DF">
      <w:pPr>
        <w:spacing w:after="0" w:line="360" w:lineRule="auto"/>
        <w:rPr>
          <w:rFonts w:ascii="Arial" w:hAnsi="Arial" w:cs="Arial"/>
          <w:sz w:val="24"/>
          <w:szCs w:val="24"/>
        </w:rPr>
      </w:pPr>
      <w:r>
        <w:rPr>
          <w:rFonts w:ascii="Arial" w:hAnsi="Arial" w:cs="Arial"/>
          <w:sz w:val="24"/>
          <w:szCs w:val="24"/>
        </w:rPr>
        <w:t>Aged care assessment teams are often at the forefront of contact with older people who are at risk or victims of abuse</w:t>
      </w:r>
      <w:r w:rsidR="003C29BB">
        <w:rPr>
          <w:rFonts w:ascii="Arial" w:hAnsi="Arial" w:cs="Arial"/>
          <w:sz w:val="24"/>
          <w:szCs w:val="24"/>
        </w:rPr>
        <w:t>, and as such have a duty of care in regards to identification and response</w:t>
      </w:r>
      <w:r>
        <w:rPr>
          <w:rFonts w:ascii="Arial" w:hAnsi="Arial" w:cs="Arial"/>
          <w:sz w:val="24"/>
          <w:szCs w:val="24"/>
        </w:rPr>
        <w:t xml:space="preserve">. The following exchange </w:t>
      </w:r>
      <w:r w:rsidR="003C29BB">
        <w:rPr>
          <w:rFonts w:ascii="Arial" w:hAnsi="Arial" w:cs="Arial"/>
          <w:sz w:val="24"/>
          <w:szCs w:val="24"/>
        </w:rPr>
        <w:t xml:space="preserve">during the Inquiry into </w:t>
      </w:r>
      <w:r w:rsidR="003C29BB" w:rsidRPr="000B36D6">
        <w:rPr>
          <w:rFonts w:ascii="Arial" w:hAnsi="Arial" w:cs="Arial"/>
          <w:sz w:val="24"/>
          <w:szCs w:val="24"/>
        </w:rPr>
        <w:t>Elder abuse</w:t>
      </w:r>
      <w:r w:rsidR="003C29BB">
        <w:rPr>
          <w:rFonts w:ascii="Arial" w:hAnsi="Arial" w:cs="Arial"/>
          <w:sz w:val="24"/>
          <w:szCs w:val="24"/>
        </w:rPr>
        <w:t xml:space="preserve">, </w:t>
      </w:r>
      <w:r w:rsidR="003C29BB" w:rsidRPr="000B36D6">
        <w:rPr>
          <w:rFonts w:ascii="Arial" w:hAnsi="Arial" w:cs="Arial"/>
          <w:sz w:val="24"/>
          <w:szCs w:val="24"/>
        </w:rPr>
        <w:t xml:space="preserve">NSW Legislative Council. General Purpose Standing Committee No. 2 </w:t>
      </w:r>
      <w:r w:rsidR="003C29BB">
        <w:rPr>
          <w:rFonts w:ascii="Arial" w:hAnsi="Arial" w:cs="Arial"/>
          <w:sz w:val="24"/>
          <w:szCs w:val="24"/>
        </w:rPr>
        <w:t>(Transcript Friday 20</w:t>
      </w:r>
      <w:r w:rsidR="003C29BB" w:rsidRPr="003C29BB">
        <w:rPr>
          <w:rFonts w:ascii="Arial" w:hAnsi="Arial" w:cs="Arial"/>
          <w:sz w:val="24"/>
          <w:szCs w:val="24"/>
          <w:vertAlign w:val="superscript"/>
        </w:rPr>
        <w:t>th</w:t>
      </w:r>
      <w:r w:rsidR="003C29BB">
        <w:rPr>
          <w:rFonts w:ascii="Arial" w:hAnsi="Arial" w:cs="Arial"/>
          <w:sz w:val="24"/>
          <w:szCs w:val="24"/>
        </w:rPr>
        <w:t xml:space="preserve"> November, 2015, p14), </w:t>
      </w:r>
      <w:r>
        <w:rPr>
          <w:rFonts w:ascii="Arial" w:hAnsi="Arial" w:cs="Arial"/>
          <w:sz w:val="24"/>
          <w:szCs w:val="24"/>
        </w:rPr>
        <w:t xml:space="preserve">between the </w:t>
      </w:r>
      <w:r w:rsidR="00E44181">
        <w:rPr>
          <w:rFonts w:ascii="Arial" w:hAnsi="Arial" w:cs="Arial"/>
          <w:sz w:val="24"/>
          <w:szCs w:val="24"/>
        </w:rPr>
        <w:t xml:space="preserve">Manager of the </w:t>
      </w:r>
      <w:r>
        <w:rPr>
          <w:rFonts w:ascii="Arial" w:hAnsi="Arial" w:cs="Arial"/>
          <w:sz w:val="24"/>
          <w:szCs w:val="24"/>
        </w:rPr>
        <w:t xml:space="preserve">Leader from </w:t>
      </w:r>
      <w:r w:rsidR="00E44181">
        <w:rPr>
          <w:rFonts w:ascii="Arial" w:hAnsi="Arial" w:cs="Arial"/>
          <w:sz w:val="24"/>
          <w:szCs w:val="24"/>
        </w:rPr>
        <w:t xml:space="preserve">the NSW Elder Abuse Helpline and Resource Unit and Hon </w:t>
      </w:r>
      <w:proofErr w:type="spellStart"/>
      <w:r w:rsidR="00E44181">
        <w:rPr>
          <w:rFonts w:ascii="Arial" w:hAnsi="Arial" w:cs="Arial"/>
          <w:sz w:val="24"/>
          <w:szCs w:val="24"/>
        </w:rPr>
        <w:t>Bronnie</w:t>
      </w:r>
      <w:proofErr w:type="spellEnd"/>
      <w:r w:rsidR="00E44181">
        <w:rPr>
          <w:rFonts w:ascii="Arial" w:hAnsi="Arial" w:cs="Arial"/>
          <w:sz w:val="24"/>
          <w:szCs w:val="24"/>
        </w:rPr>
        <w:t xml:space="preserve"> Taylor illustrates these issues perfectly:</w:t>
      </w:r>
      <w:r w:rsidR="009F27BD">
        <w:rPr>
          <w:rFonts w:ascii="Arial" w:hAnsi="Arial" w:cs="Arial"/>
          <w:sz w:val="24"/>
          <w:szCs w:val="24"/>
        </w:rPr>
        <w:t xml:space="preserve"> </w:t>
      </w:r>
      <w:r w:rsidR="00B33E8D">
        <w:rPr>
          <w:rFonts w:ascii="Arial" w:hAnsi="Arial" w:cs="Arial"/>
          <w:sz w:val="24"/>
          <w:szCs w:val="24"/>
        </w:rPr>
        <w:t xml:space="preserve"> </w:t>
      </w:r>
    </w:p>
    <w:p w:rsidR="00C51C39" w:rsidRPr="009F27BD" w:rsidRDefault="00F45861" w:rsidP="00B600DF">
      <w:pPr>
        <w:spacing w:after="0" w:line="360" w:lineRule="auto"/>
        <w:rPr>
          <w:rFonts w:ascii="Arial" w:hAnsi="Arial" w:cs="Arial"/>
          <w:i/>
          <w:sz w:val="24"/>
          <w:szCs w:val="24"/>
        </w:rPr>
      </w:pPr>
      <w:r w:rsidRPr="009F27BD">
        <w:rPr>
          <w:rFonts w:ascii="Arial" w:hAnsi="Arial" w:cs="Arial"/>
          <w:bCs/>
          <w:i/>
          <w:sz w:val="24"/>
          <w:szCs w:val="24"/>
        </w:rPr>
        <w:lastRenderedPageBreak/>
        <w:t>Ms MARSHALL: Mandatory education across all organisations that serve older people is essential. Further, this education needs to be supported by government and local policies and procedures that are compatible with the law and made explicit to staff, and provide explicit directions and responsibilities.</w:t>
      </w:r>
    </w:p>
    <w:p w:rsidR="00C51C39" w:rsidRPr="009F27BD" w:rsidRDefault="00F45861" w:rsidP="00B600DF">
      <w:pPr>
        <w:spacing w:after="0" w:line="360" w:lineRule="auto"/>
        <w:rPr>
          <w:rFonts w:ascii="Arial" w:hAnsi="Arial" w:cs="Arial"/>
          <w:i/>
          <w:sz w:val="24"/>
          <w:szCs w:val="24"/>
        </w:rPr>
      </w:pPr>
      <w:r w:rsidRPr="009F27BD">
        <w:rPr>
          <w:rFonts w:ascii="Arial" w:hAnsi="Arial" w:cs="Arial"/>
          <w:bCs/>
          <w:i/>
          <w:sz w:val="24"/>
          <w:szCs w:val="24"/>
        </w:rPr>
        <w:t xml:space="preserve">Hon. BRONNIE TAYLOR: One of your recommendations is looking at training and identifying responding to elder abuse for all front-line staff. In thinking about practising as a nurse and going into someone's home, I knew what to do if I thought something was not right. Do you think some front-line staff almost </w:t>
      </w:r>
      <w:proofErr w:type="gramStart"/>
      <w:r w:rsidRPr="009F27BD">
        <w:rPr>
          <w:rFonts w:ascii="Arial" w:hAnsi="Arial" w:cs="Arial"/>
          <w:bCs/>
          <w:i/>
          <w:sz w:val="24"/>
          <w:szCs w:val="24"/>
        </w:rPr>
        <w:t>need</w:t>
      </w:r>
      <w:proofErr w:type="gramEnd"/>
      <w:r w:rsidRPr="009F27BD">
        <w:rPr>
          <w:rFonts w:ascii="Arial" w:hAnsi="Arial" w:cs="Arial"/>
          <w:bCs/>
          <w:i/>
          <w:sz w:val="24"/>
          <w:szCs w:val="24"/>
        </w:rPr>
        <w:t xml:space="preserve"> to go through a checklist when someone contacts a service? Do we need to flag to people to start thinking more about elder abuse?</w:t>
      </w:r>
    </w:p>
    <w:p w:rsidR="00C51C39" w:rsidRPr="009F27BD" w:rsidRDefault="00F45861" w:rsidP="00B600DF">
      <w:pPr>
        <w:spacing w:after="0" w:line="360" w:lineRule="auto"/>
        <w:rPr>
          <w:rFonts w:ascii="Arial" w:hAnsi="Arial" w:cs="Arial"/>
          <w:i/>
          <w:sz w:val="24"/>
          <w:szCs w:val="24"/>
        </w:rPr>
      </w:pPr>
      <w:r w:rsidRPr="009F27BD">
        <w:rPr>
          <w:rFonts w:ascii="Arial" w:hAnsi="Arial" w:cs="Arial"/>
          <w:bCs/>
          <w:i/>
          <w:sz w:val="24"/>
          <w:szCs w:val="24"/>
        </w:rPr>
        <w:t xml:space="preserve">Ms MARSHALL: I think it is both. My understanding is that the new Regional Assessment Service [RAS] </w:t>
      </w:r>
      <w:proofErr w:type="gramStart"/>
      <w:r w:rsidRPr="009F27BD">
        <w:rPr>
          <w:rFonts w:ascii="Arial" w:hAnsi="Arial" w:cs="Arial"/>
          <w:bCs/>
          <w:i/>
          <w:sz w:val="24"/>
          <w:szCs w:val="24"/>
        </w:rPr>
        <w:t>do</w:t>
      </w:r>
      <w:proofErr w:type="gramEnd"/>
      <w:r w:rsidRPr="009F27BD">
        <w:rPr>
          <w:rFonts w:ascii="Arial" w:hAnsi="Arial" w:cs="Arial"/>
          <w:bCs/>
          <w:i/>
          <w:sz w:val="24"/>
          <w:szCs w:val="24"/>
        </w:rPr>
        <w:t xml:space="preserve"> actually have a box to tick to say that they have checked for elder abuse. But we are still going back to the question of whether they have a basic understanding of what they are looking for when it comes to elder abuse, because there are so many different symptoms or things that they could be checking for to know</w:t>
      </w:r>
      <w:r w:rsidR="00B803ED" w:rsidRPr="009F27BD">
        <w:rPr>
          <w:rFonts w:ascii="Arial" w:hAnsi="Arial" w:cs="Arial"/>
          <w:bCs/>
          <w:i/>
          <w:sz w:val="24"/>
          <w:szCs w:val="24"/>
        </w:rPr>
        <w:t xml:space="preserve">. There </w:t>
      </w:r>
      <w:r w:rsidRPr="009F27BD">
        <w:rPr>
          <w:rFonts w:ascii="Arial" w:hAnsi="Arial" w:cs="Arial"/>
          <w:bCs/>
          <w:i/>
          <w:sz w:val="24"/>
          <w:szCs w:val="24"/>
        </w:rPr>
        <w:t>just does not seem to be an eyes wide open approach to the fact that this could be elder abuse (transcript, p14)</w:t>
      </w:r>
      <w:r w:rsidR="00B803ED" w:rsidRPr="009F27BD">
        <w:rPr>
          <w:rFonts w:ascii="Arial" w:hAnsi="Arial" w:cs="Arial"/>
          <w:bCs/>
          <w:i/>
          <w:sz w:val="24"/>
          <w:szCs w:val="24"/>
        </w:rPr>
        <w:t>.</w:t>
      </w:r>
    </w:p>
    <w:p w:rsidR="008602E1" w:rsidRDefault="008602E1" w:rsidP="00B600DF">
      <w:pPr>
        <w:spacing w:after="0" w:line="360" w:lineRule="auto"/>
        <w:rPr>
          <w:rFonts w:ascii="Arial" w:hAnsi="Arial" w:cs="Arial"/>
          <w:sz w:val="24"/>
          <w:szCs w:val="24"/>
        </w:rPr>
      </w:pPr>
    </w:p>
    <w:p w:rsidR="00B33E8D" w:rsidRDefault="003C29BB" w:rsidP="00B600DF">
      <w:pPr>
        <w:spacing w:after="0" w:line="360" w:lineRule="auto"/>
        <w:rPr>
          <w:rFonts w:ascii="Arial" w:hAnsi="Arial" w:cs="Arial"/>
          <w:sz w:val="24"/>
          <w:szCs w:val="24"/>
        </w:rPr>
      </w:pPr>
      <w:r>
        <w:rPr>
          <w:rFonts w:ascii="Arial" w:hAnsi="Arial" w:cs="Arial"/>
          <w:sz w:val="24"/>
          <w:szCs w:val="24"/>
        </w:rPr>
        <w:t xml:space="preserve">Capacity Australia supports an “eyes wide open approach” facilitated by </w:t>
      </w:r>
      <w:r w:rsidR="00A11D9A">
        <w:rPr>
          <w:rFonts w:ascii="Arial" w:hAnsi="Arial" w:cs="Arial"/>
          <w:sz w:val="24"/>
          <w:szCs w:val="24"/>
        </w:rPr>
        <w:t xml:space="preserve">development of policies, procedures and </w:t>
      </w:r>
      <w:r>
        <w:rPr>
          <w:rFonts w:ascii="Arial" w:hAnsi="Arial" w:cs="Arial"/>
          <w:sz w:val="24"/>
          <w:szCs w:val="24"/>
        </w:rPr>
        <w:t>mandatory training</w:t>
      </w:r>
      <w:r w:rsidR="008602E1">
        <w:rPr>
          <w:rFonts w:ascii="Arial" w:hAnsi="Arial" w:cs="Arial"/>
          <w:sz w:val="24"/>
          <w:szCs w:val="24"/>
        </w:rPr>
        <w:t xml:space="preserve"> across the health sector</w:t>
      </w:r>
      <w:r w:rsidR="007E373F">
        <w:rPr>
          <w:rFonts w:ascii="Arial" w:hAnsi="Arial" w:cs="Arial"/>
          <w:sz w:val="24"/>
          <w:szCs w:val="24"/>
        </w:rPr>
        <w:t>, where there is often at present, “eyes wide shut”.</w:t>
      </w:r>
      <w:r>
        <w:rPr>
          <w:rFonts w:ascii="Arial" w:hAnsi="Arial" w:cs="Arial"/>
          <w:sz w:val="24"/>
          <w:szCs w:val="24"/>
        </w:rPr>
        <w:t xml:space="preserve">   </w:t>
      </w:r>
    </w:p>
    <w:p w:rsidR="008602E1" w:rsidRDefault="008602E1" w:rsidP="00B600DF">
      <w:pPr>
        <w:spacing w:after="0" w:line="360" w:lineRule="auto"/>
        <w:rPr>
          <w:rFonts w:ascii="Arial" w:hAnsi="Arial" w:cs="Arial"/>
          <w:sz w:val="24"/>
          <w:szCs w:val="24"/>
        </w:rPr>
      </w:pPr>
    </w:p>
    <w:p w:rsidR="00B619CF" w:rsidRPr="00C40F9B" w:rsidRDefault="00B619CF" w:rsidP="00B600DF">
      <w:pPr>
        <w:spacing w:after="0" w:line="360" w:lineRule="auto"/>
        <w:rPr>
          <w:rFonts w:ascii="Arial" w:hAnsi="Arial" w:cs="Arial"/>
          <w:b/>
          <w:sz w:val="24"/>
          <w:szCs w:val="24"/>
        </w:rPr>
      </w:pPr>
      <w:r w:rsidRPr="00C40F9B">
        <w:rPr>
          <w:rFonts w:ascii="Arial" w:hAnsi="Arial" w:cs="Arial"/>
          <w:b/>
          <w:sz w:val="24"/>
          <w:szCs w:val="24"/>
        </w:rPr>
        <w:t xml:space="preserve">Question 15 </w:t>
      </w:r>
      <w:proofErr w:type="gramStart"/>
      <w:r w:rsidRPr="00C40F9B">
        <w:rPr>
          <w:rFonts w:ascii="Arial" w:hAnsi="Arial" w:cs="Arial"/>
          <w:b/>
          <w:sz w:val="24"/>
          <w:szCs w:val="24"/>
        </w:rPr>
        <w:t>What</w:t>
      </w:r>
      <w:proofErr w:type="gramEnd"/>
      <w:r w:rsidRPr="00C40F9B">
        <w:rPr>
          <w:rFonts w:ascii="Arial" w:hAnsi="Arial" w:cs="Arial"/>
          <w:b/>
          <w:sz w:val="24"/>
          <w:szCs w:val="24"/>
        </w:rPr>
        <w:t xml:space="preserve"> changes to the requirements concerning quality of care in aged care should be made to improve safeguards against elder abuse? </w:t>
      </w:r>
    </w:p>
    <w:p w:rsidR="00D46D0C" w:rsidRDefault="008E7092" w:rsidP="00B600DF">
      <w:pPr>
        <w:spacing w:after="0" w:line="360" w:lineRule="auto"/>
        <w:rPr>
          <w:rFonts w:ascii="Arial" w:hAnsi="Arial" w:cs="Arial"/>
          <w:sz w:val="24"/>
          <w:szCs w:val="24"/>
        </w:rPr>
      </w:pPr>
      <w:r>
        <w:rPr>
          <w:rFonts w:ascii="Arial" w:hAnsi="Arial" w:cs="Arial"/>
          <w:sz w:val="24"/>
          <w:szCs w:val="24"/>
        </w:rPr>
        <w:t xml:space="preserve">In order to address the harm caused by neglect of needs, higher staff ratios are needed, including higher ratios of experienced registered nurses. </w:t>
      </w:r>
      <w:r w:rsidR="00D46D0C">
        <w:rPr>
          <w:rFonts w:ascii="Arial" w:hAnsi="Arial" w:cs="Arial"/>
          <w:sz w:val="24"/>
          <w:szCs w:val="24"/>
        </w:rPr>
        <w:t xml:space="preserve">The current mandated minimum of registered nurses within facilities is insufficient to prevent elder abuse by neglect and overuse of restraint. </w:t>
      </w:r>
    </w:p>
    <w:p w:rsidR="00D46D0C" w:rsidRDefault="00D46D0C" w:rsidP="00B600DF">
      <w:pPr>
        <w:spacing w:after="0" w:line="360" w:lineRule="auto"/>
        <w:rPr>
          <w:rFonts w:ascii="Arial" w:hAnsi="Arial" w:cs="Arial"/>
          <w:sz w:val="24"/>
          <w:szCs w:val="24"/>
        </w:rPr>
      </w:pPr>
    </w:p>
    <w:p w:rsidR="00B33E8D" w:rsidRPr="00660D77" w:rsidRDefault="00C27964" w:rsidP="00B600DF">
      <w:pPr>
        <w:spacing w:after="0" w:line="360" w:lineRule="auto"/>
        <w:rPr>
          <w:rFonts w:ascii="Arial" w:hAnsi="Arial" w:cs="Arial"/>
          <w:sz w:val="24"/>
          <w:szCs w:val="24"/>
        </w:rPr>
      </w:pPr>
      <w:r>
        <w:rPr>
          <w:rFonts w:ascii="Arial" w:hAnsi="Arial" w:cs="Arial"/>
          <w:sz w:val="24"/>
          <w:szCs w:val="24"/>
        </w:rPr>
        <w:t xml:space="preserve">Training in identifying </w:t>
      </w:r>
      <w:r w:rsidR="00C40F9B">
        <w:rPr>
          <w:rFonts w:ascii="Arial" w:hAnsi="Arial" w:cs="Arial"/>
          <w:sz w:val="24"/>
          <w:szCs w:val="24"/>
        </w:rPr>
        <w:t xml:space="preserve">and </w:t>
      </w:r>
      <w:r>
        <w:rPr>
          <w:rFonts w:ascii="Arial" w:hAnsi="Arial" w:cs="Arial"/>
          <w:sz w:val="24"/>
          <w:szCs w:val="24"/>
        </w:rPr>
        <w:t xml:space="preserve">meeting needs is also required, and a culture that promotes person centred care over task orientated care. Despite this rubric being touted for some ten years, abuse and overuse of restraint continues. </w:t>
      </w:r>
      <w:r w:rsidR="00B33E8D">
        <w:rPr>
          <w:rFonts w:ascii="Arial" w:hAnsi="Arial" w:cs="Arial"/>
          <w:sz w:val="24"/>
          <w:szCs w:val="24"/>
        </w:rPr>
        <w:t>Mandatory reporting of data relating to psychotropic use</w:t>
      </w:r>
      <w:r w:rsidR="008E7092">
        <w:rPr>
          <w:rFonts w:ascii="Arial" w:hAnsi="Arial" w:cs="Arial"/>
          <w:sz w:val="24"/>
          <w:szCs w:val="24"/>
        </w:rPr>
        <w:t xml:space="preserve"> will address accountability in regards to </w:t>
      </w:r>
      <w:r w:rsidR="008E7092">
        <w:rPr>
          <w:rFonts w:ascii="Arial" w:hAnsi="Arial" w:cs="Arial"/>
          <w:sz w:val="24"/>
          <w:szCs w:val="24"/>
        </w:rPr>
        <w:lastRenderedPageBreak/>
        <w:t xml:space="preserve">overuse of </w:t>
      </w:r>
      <w:proofErr w:type="spellStart"/>
      <w:r w:rsidR="008E7092">
        <w:rPr>
          <w:rFonts w:ascii="Arial" w:hAnsi="Arial" w:cs="Arial"/>
          <w:sz w:val="24"/>
          <w:szCs w:val="24"/>
        </w:rPr>
        <w:t>psychotropics</w:t>
      </w:r>
      <w:proofErr w:type="spellEnd"/>
      <w:r w:rsidR="008E7092">
        <w:rPr>
          <w:rFonts w:ascii="Arial" w:hAnsi="Arial" w:cs="Arial"/>
          <w:sz w:val="24"/>
          <w:szCs w:val="24"/>
        </w:rPr>
        <w:t xml:space="preserve">. </w:t>
      </w:r>
      <w:r w:rsidR="007E373F">
        <w:rPr>
          <w:rFonts w:ascii="Arial" w:hAnsi="Arial" w:cs="Arial"/>
          <w:sz w:val="24"/>
          <w:szCs w:val="24"/>
        </w:rPr>
        <w:t xml:space="preserve">Evidence - beyond a tick box approach – of person centred care in facilities will address abuse by neglect of needs. </w:t>
      </w:r>
      <w:r w:rsidR="00B33E8D">
        <w:rPr>
          <w:rFonts w:ascii="Arial" w:hAnsi="Arial" w:cs="Arial"/>
          <w:sz w:val="24"/>
          <w:szCs w:val="24"/>
        </w:rPr>
        <w:t xml:space="preserve"> </w:t>
      </w:r>
    </w:p>
    <w:p w:rsidR="00A11D9A" w:rsidRDefault="00A11D9A" w:rsidP="00B600DF">
      <w:pPr>
        <w:spacing w:after="0" w:line="360" w:lineRule="auto"/>
        <w:rPr>
          <w:rFonts w:ascii="Arial" w:hAnsi="Arial" w:cs="Arial"/>
          <w:b/>
          <w:sz w:val="24"/>
          <w:szCs w:val="24"/>
        </w:rPr>
      </w:pPr>
    </w:p>
    <w:p w:rsidR="00B619CF" w:rsidRPr="00612512" w:rsidRDefault="00B619CF" w:rsidP="00B600DF">
      <w:pPr>
        <w:spacing w:after="0" w:line="360" w:lineRule="auto"/>
        <w:rPr>
          <w:rFonts w:ascii="Arial" w:hAnsi="Arial" w:cs="Arial"/>
          <w:b/>
          <w:sz w:val="24"/>
          <w:szCs w:val="24"/>
        </w:rPr>
      </w:pPr>
      <w:r w:rsidRPr="00612512">
        <w:rPr>
          <w:rFonts w:ascii="Arial" w:hAnsi="Arial" w:cs="Arial"/>
          <w:b/>
          <w:sz w:val="24"/>
          <w:szCs w:val="24"/>
        </w:rPr>
        <w:t xml:space="preserve">Question 16 </w:t>
      </w:r>
      <w:proofErr w:type="gramStart"/>
      <w:r w:rsidRPr="00612512">
        <w:rPr>
          <w:rFonts w:ascii="Arial" w:hAnsi="Arial" w:cs="Arial"/>
          <w:b/>
          <w:sz w:val="24"/>
          <w:szCs w:val="24"/>
        </w:rPr>
        <w:t>In</w:t>
      </w:r>
      <w:proofErr w:type="gramEnd"/>
      <w:r w:rsidRPr="00612512">
        <w:rPr>
          <w:rFonts w:ascii="Arial" w:hAnsi="Arial" w:cs="Arial"/>
          <w:b/>
          <w:sz w:val="24"/>
          <w:szCs w:val="24"/>
        </w:rPr>
        <w:t xml:space="preserve"> what ways should the use of restrictive practices in aged care be regulated to improve safeguards against elder abuse? </w:t>
      </w:r>
    </w:p>
    <w:p w:rsidR="00612512" w:rsidRPr="00EF5E1B" w:rsidRDefault="00C54C6C" w:rsidP="00B600DF">
      <w:pPr>
        <w:pStyle w:val="NormalWeb"/>
        <w:spacing w:before="0" w:beforeAutospacing="0" w:after="0" w:afterAutospacing="0" w:line="360" w:lineRule="auto"/>
        <w:rPr>
          <w:rFonts w:cs="Arial"/>
          <w:b/>
        </w:rPr>
      </w:pPr>
      <w:r>
        <w:rPr>
          <w:rFonts w:ascii="Arial" w:hAnsi="Arial" w:cs="Arial"/>
          <w:color w:val="000000"/>
        </w:rPr>
        <w:t xml:space="preserve">Restrictive practices include both chemical and physical restraint. </w:t>
      </w:r>
      <w:r w:rsidR="00612512" w:rsidRPr="00E55D01">
        <w:rPr>
          <w:rFonts w:ascii="Arial" w:hAnsi="Arial" w:cs="Arial"/>
          <w:color w:val="000000"/>
        </w:rPr>
        <w:t>Chemical restraint is the intentional sedation or control of an individual’s behaviour through the use of medicines.</w:t>
      </w:r>
      <w:r w:rsidR="00612512" w:rsidRPr="00E55D01">
        <w:rPr>
          <w:rFonts w:ascii="Arial" w:hAnsi="Arial" w:cs="Arial"/>
        </w:rPr>
        <w:t xml:space="preserve"> </w:t>
      </w:r>
      <w:r>
        <w:rPr>
          <w:rFonts w:ascii="Arial" w:hAnsi="Arial" w:cs="Arial"/>
        </w:rPr>
        <w:t xml:space="preserve">Physical </w:t>
      </w:r>
      <w:r w:rsidR="00E55D01" w:rsidRPr="00E55D01">
        <w:rPr>
          <w:rFonts w:ascii="Arial" w:hAnsi="Arial" w:cs="Arial"/>
        </w:rPr>
        <w:t>restraint is the restriction of an individual’s movement by physical means</w:t>
      </w:r>
      <w:r>
        <w:rPr>
          <w:rFonts w:ascii="Arial" w:hAnsi="Arial" w:cs="Arial"/>
        </w:rPr>
        <w:t xml:space="preserve"> </w:t>
      </w:r>
      <w:r w:rsidR="00E55D01" w:rsidRPr="00E55D01">
        <w:rPr>
          <w:rFonts w:ascii="Arial" w:hAnsi="Arial" w:cs="Arial"/>
        </w:rPr>
        <w:t xml:space="preserve">including </w:t>
      </w:r>
      <w:r w:rsidR="00612512" w:rsidRPr="00E55D01">
        <w:rPr>
          <w:rFonts w:ascii="Arial" w:hAnsi="Arial" w:cs="Arial"/>
        </w:rPr>
        <w:t xml:space="preserve">bed boundary markers, chairs with deep seats or </w:t>
      </w:r>
      <w:r>
        <w:rPr>
          <w:rFonts w:ascii="Arial" w:hAnsi="Arial" w:cs="Arial"/>
        </w:rPr>
        <w:t xml:space="preserve">tables, </w:t>
      </w:r>
      <w:r w:rsidR="00612512" w:rsidRPr="00E55D01">
        <w:rPr>
          <w:rFonts w:ascii="Arial" w:hAnsi="Arial" w:cs="Arial"/>
        </w:rPr>
        <w:t>rockers and recliners, lap belts, hand mitts and seat belts. Bed rails and removing mobility aids are considered “high risk restraints” and seclusion, leg, wrist or ankle restraint “extreme restraints”.  “Environmental restraint” is the restriction of movement of the client without the client’s explicit and informed consent (</w:t>
      </w:r>
      <w:proofErr w:type="spellStart"/>
      <w:r w:rsidR="00612512" w:rsidRPr="00E55D01">
        <w:rPr>
          <w:rFonts w:ascii="Arial" w:hAnsi="Arial" w:cs="Arial"/>
        </w:rPr>
        <w:t>eg</w:t>
      </w:r>
      <w:proofErr w:type="spellEnd"/>
      <w:r w:rsidR="00612512" w:rsidRPr="00E55D01">
        <w:rPr>
          <w:rFonts w:ascii="Arial" w:hAnsi="Arial" w:cs="Arial"/>
        </w:rPr>
        <w:t>. locked units, fenced areas).</w:t>
      </w:r>
      <w:r w:rsidR="00612512">
        <w:rPr>
          <w:rFonts w:cs="Arial"/>
        </w:rPr>
        <w:t xml:space="preserve"> </w:t>
      </w:r>
      <w:r w:rsidR="00612512">
        <w:rPr>
          <w:rStyle w:val="FootnoteReference"/>
          <w:rFonts w:cs="Arial"/>
        </w:rPr>
        <w:footnoteReference w:id="21"/>
      </w:r>
    </w:p>
    <w:p w:rsidR="00612512" w:rsidRDefault="00612512" w:rsidP="00B600DF">
      <w:pPr>
        <w:shd w:val="clear" w:color="auto" w:fill="FFFFFF"/>
        <w:spacing w:after="0" w:line="360" w:lineRule="auto"/>
        <w:rPr>
          <w:rFonts w:cs="Arial"/>
          <w:color w:val="000000"/>
        </w:rPr>
      </w:pPr>
    </w:p>
    <w:p w:rsidR="00A8002B" w:rsidRDefault="00BF5306" w:rsidP="00B600DF">
      <w:pPr>
        <w:shd w:val="clear" w:color="auto" w:fill="FFFFFF"/>
        <w:spacing w:after="0" w:line="360" w:lineRule="auto"/>
        <w:rPr>
          <w:rFonts w:ascii="Arial" w:hAnsi="Arial" w:cs="Arial"/>
        </w:rPr>
      </w:pPr>
      <w:r w:rsidRPr="009278A5">
        <w:rPr>
          <w:rFonts w:ascii="Arial" w:hAnsi="Arial" w:cs="Arial"/>
          <w:color w:val="000000"/>
          <w:sz w:val="24"/>
          <w:szCs w:val="24"/>
        </w:rPr>
        <w:t xml:space="preserve">Reliance on </w:t>
      </w:r>
      <w:r w:rsidR="009278A5">
        <w:rPr>
          <w:rFonts w:ascii="Arial" w:hAnsi="Arial" w:cs="Arial"/>
          <w:color w:val="000000"/>
          <w:sz w:val="24"/>
          <w:szCs w:val="24"/>
        </w:rPr>
        <w:t xml:space="preserve">chemical restraint </w:t>
      </w:r>
      <w:r w:rsidRPr="009278A5">
        <w:rPr>
          <w:rFonts w:ascii="Arial" w:hAnsi="Arial" w:cs="Arial"/>
          <w:color w:val="000000"/>
          <w:sz w:val="24"/>
          <w:szCs w:val="24"/>
        </w:rPr>
        <w:t xml:space="preserve">to “manage” </w:t>
      </w:r>
      <w:r w:rsidR="008E7092" w:rsidRPr="009278A5">
        <w:rPr>
          <w:rFonts w:ascii="Arial" w:hAnsi="Arial" w:cs="Arial"/>
          <w:color w:val="000000"/>
          <w:sz w:val="24"/>
          <w:szCs w:val="24"/>
        </w:rPr>
        <w:t xml:space="preserve">BPSD </w:t>
      </w:r>
      <w:r w:rsidRPr="009278A5">
        <w:rPr>
          <w:rFonts w:ascii="Arial" w:hAnsi="Arial" w:cs="Arial"/>
          <w:color w:val="000000"/>
          <w:sz w:val="24"/>
          <w:szCs w:val="24"/>
        </w:rPr>
        <w:t>symptoms occurs commonly and is increasing in Australia.</w:t>
      </w:r>
      <w:r w:rsidR="009278A5" w:rsidRPr="009278A5">
        <w:rPr>
          <w:rStyle w:val="FootnoteReference"/>
          <w:rFonts w:ascii="Arial" w:hAnsi="Arial" w:cs="Arial"/>
          <w:color w:val="000000"/>
          <w:sz w:val="24"/>
          <w:szCs w:val="24"/>
        </w:rPr>
        <w:footnoteReference w:id="22"/>
      </w:r>
      <w:r w:rsidRPr="009278A5">
        <w:rPr>
          <w:rFonts w:ascii="Arial" w:hAnsi="Arial" w:cs="Arial"/>
          <w:color w:val="000000"/>
          <w:sz w:val="24"/>
          <w:szCs w:val="24"/>
        </w:rPr>
        <w:t xml:space="preserve"> </w:t>
      </w:r>
      <w:r w:rsidR="00A8002B" w:rsidRPr="009278A5">
        <w:rPr>
          <w:rFonts w:ascii="Arial" w:hAnsi="Arial" w:cs="Arial"/>
          <w:color w:val="000000"/>
          <w:sz w:val="24"/>
          <w:szCs w:val="24"/>
        </w:rPr>
        <w:t xml:space="preserve">These </w:t>
      </w:r>
      <w:proofErr w:type="gramStart"/>
      <w:r w:rsidR="00A8002B" w:rsidRPr="009278A5">
        <w:rPr>
          <w:rFonts w:ascii="Arial" w:hAnsi="Arial" w:cs="Arial"/>
          <w:color w:val="000000"/>
          <w:sz w:val="24"/>
          <w:szCs w:val="24"/>
        </w:rPr>
        <w:t>medication</w:t>
      </w:r>
      <w:proofErr w:type="gramEnd"/>
      <w:r w:rsidR="00A8002B" w:rsidRPr="009278A5">
        <w:rPr>
          <w:rFonts w:ascii="Arial" w:hAnsi="Arial" w:cs="Arial"/>
          <w:color w:val="000000"/>
          <w:sz w:val="24"/>
          <w:szCs w:val="24"/>
        </w:rPr>
        <w:t xml:space="preserve"> </w:t>
      </w:r>
      <w:r w:rsidR="00A8002B" w:rsidRPr="009278A5">
        <w:rPr>
          <w:rFonts w:ascii="Arial" w:hAnsi="Arial" w:cs="Arial"/>
          <w:sz w:val="24"/>
          <w:szCs w:val="24"/>
        </w:rPr>
        <w:t xml:space="preserve">have a range of serious side effects and are associated with increased mortality for people with dementia, while the evidence supporting the effectiveness of </w:t>
      </w:r>
      <w:r w:rsidR="009278A5">
        <w:rPr>
          <w:rFonts w:ascii="Arial" w:hAnsi="Arial" w:cs="Arial"/>
          <w:sz w:val="24"/>
          <w:szCs w:val="24"/>
        </w:rPr>
        <w:t xml:space="preserve">chemical restraint </w:t>
      </w:r>
      <w:r w:rsidR="00A8002B" w:rsidRPr="009278A5">
        <w:rPr>
          <w:rFonts w:ascii="Arial" w:hAnsi="Arial" w:cs="Arial"/>
          <w:sz w:val="24"/>
          <w:szCs w:val="24"/>
        </w:rPr>
        <w:t>in treating BPSD is modest at best.</w:t>
      </w:r>
      <w:r w:rsidR="00A8002B" w:rsidRPr="009278A5">
        <w:rPr>
          <w:rStyle w:val="FootnoteReference"/>
          <w:rFonts w:ascii="Arial" w:hAnsi="Arial" w:cs="Arial"/>
          <w:color w:val="000000"/>
          <w:sz w:val="24"/>
          <w:szCs w:val="24"/>
        </w:rPr>
        <w:t xml:space="preserve"> </w:t>
      </w:r>
      <w:r w:rsidR="00A8002B" w:rsidRPr="009278A5">
        <w:rPr>
          <w:rStyle w:val="FootnoteReference"/>
          <w:rFonts w:ascii="Arial" w:hAnsi="Arial" w:cs="Arial"/>
          <w:color w:val="000000"/>
          <w:sz w:val="24"/>
          <w:szCs w:val="24"/>
        </w:rPr>
        <w:footnoteReference w:id="23"/>
      </w:r>
      <w:r w:rsidR="00A8002B" w:rsidRPr="009278A5">
        <w:rPr>
          <w:rFonts w:ascii="Arial" w:hAnsi="Arial" w:cs="Arial"/>
          <w:sz w:val="24"/>
          <w:szCs w:val="24"/>
        </w:rPr>
        <w:t xml:space="preserve"> T</w:t>
      </w:r>
      <w:r w:rsidRPr="009278A5">
        <w:rPr>
          <w:rFonts w:ascii="Arial" w:hAnsi="Arial" w:cs="Arial"/>
          <w:color w:val="000000"/>
          <w:sz w:val="24"/>
          <w:szCs w:val="24"/>
        </w:rPr>
        <w:t>his is despite a growing body of evidence for non-</w:t>
      </w:r>
      <w:r w:rsidR="00A8002B" w:rsidRPr="009278A5">
        <w:rPr>
          <w:rFonts w:ascii="Arial" w:hAnsi="Arial" w:cs="Arial"/>
          <w:color w:val="000000"/>
          <w:sz w:val="24"/>
          <w:szCs w:val="24"/>
        </w:rPr>
        <w:t xml:space="preserve">drug </w:t>
      </w:r>
      <w:r w:rsidRPr="009278A5">
        <w:rPr>
          <w:rFonts w:ascii="Arial" w:hAnsi="Arial" w:cs="Arial"/>
          <w:color w:val="000000"/>
          <w:sz w:val="24"/>
          <w:szCs w:val="24"/>
        </w:rPr>
        <w:t>interventions</w:t>
      </w:r>
      <w:r w:rsidR="009278A5">
        <w:rPr>
          <w:rFonts w:ascii="Arial" w:hAnsi="Arial" w:cs="Arial"/>
          <w:color w:val="000000"/>
          <w:sz w:val="24"/>
          <w:szCs w:val="24"/>
        </w:rPr>
        <w:t>.</w:t>
      </w:r>
      <w:r w:rsidRPr="005171EB">
        <w:rPr>
          <w:rFonts w:ascii="Arial" w:hAnsi="Arial" w:cs="Arial"/>
        </w:rPr>
        <w:t xml:space="preserve"> </w:t>
      </w:r>
      <w:r>
        <w:rPr>
          <w:rStyle w:val="FootnoteReference"/>
          <w:rFonts w:ascii="Arial" w:hAnsi="Arial" w:cs="Arial"/>
        </w:rPr>
        <w:footnoteReference w:id="24"/>
      </w:r>
      <w:r w:rsidR="00A8002B">
        <w:rPr>
          <w:rFonts w:ascii="Arial" w:hAnsi="Arial" w:cs="Arial"/>
        </w:rPr>
        <w:t xml:space="preserve"> </w:t>
      </w:r>
      <w:r>
        <w:rPr>
          <w:rStyle w:val="FootnoteReference"/>
          <w:rFonts w:ascii="Arial" w:hAnsi="Arial" w:cs="Arial"/>
        </w:rPr>
        <w:footnoteReference w:id="25"/>
      </w:r>
      <w:r>
        <w:rPr>
          <w:rFonts w:ascii="Arial" w:hAnsi="Arial" w:cs="Arial"/>
        </w:rPr>
        <w:t xml:space="preserve"> </w:t>
      </w:r>
      <w:r>
        <w:rPr>
          <w:rStyle w:val="FootnoteReference"/>
          <w:rFonts w:ascii="Arial" w:hAnsi="Arial" w:cs="Arial"/>
        </w:rPr>
        <w:footnoteReference w:id="26"/>
      </w:r>
      <w:r>
        <w:rPr>
          <w:rFonts w:ascii="Arial" w:hAnsi="Arial" w:cs="Arial"/>
        </w:rPr>
        <w:t xml:space="preserve"> </w:t>
      </w:r>
    </w:p>
    <w:p w:rsidR="007E373F" w:rsidRDefault="007E373F" w:rsidP="00B600DF">
      <w:pPr>
        <w:shd w:val="clear" w:color="auto" w:fill="FFFFFF"/>
        <w:spacing w:after="0" w:line="360" w:lineRule="auto"/>
        <w:rPr>
          <w:rFonts w:ascii="Arial" w:hAnsi="Arial" w:cs="Arial"/>
          <w:sz w:val="24"/>
          <w:szCs w:val="24"/>
        </w:rPr>
      </w:pPr>
    </w:p>
    <w:p w:rsidR="009278A5" w:rsidRDefault="009278A5" w:rsidP="00B600DF">
      <w:pPr>
        <w:shd w:val="clear" w:color="auto" w:fill="FFFFFF"/>
        <w:spacing w:after="0" w:line="360" w:lineRule="auto"/>
        <w:rPr>
          <w:rFonts w:ascii="Arial" w:hAnsi="Arial" w:cs="Arial"/>
          <w:sz w:val="24"/>
          <w:szCs w:val="24"/>
        </w:rPr>
      </w:pPr>
      <w:r w:rsidRPr="009278A5">
        <w:rPr>
          <w:rFonts w:ascii="Arial" w:hAnsi="Arial" w:cs="Arial"/>
          <w:sz w:val="24"/>
          <w:szCs w:val="24"/>
        </w:rPr>
        <w:lastRenderedPageBreak/>
        <w:t xml:space="preserve">International </w:t>
      </w:r>
      <w:r w:rsidR="00BF5306" w:rsidRPr="009278A5">
        <w:rPr>
          <w:rFonts w:ascii="Arial" w:hAnsi="Arial" w:cs="Arial"/>
          <w:sz w:val="24"/>
          <w:szCs w:val="24"/>
        </w:rPr>
        <w:t>c</w:t>
      </w:r>
      <w:r w:rsidR="00BF5306" w:rsidRPr="009278A5">
        <w:rPr>
          <w:rFonts w:ascii="Arial" w:hAnsi="Arial" w:cs="Arial"/>
          <w:color w:val="000000"/>
          <w:sz w:val="24"/>
          <w:szCs w:val="24"/>
        </w:rPr>
        <w:t>onsensus guidelines recommend the use of multidisciplinary, individualised (person-centred) psycho</w:t>
      </w:r>
      <w:r w:rsidR="00A8002B" w:rsidRPr="009278A5">
        <w:rPr>
          <w:rFonts w:ascii="Arial" w:hAnsi="Arial" w:cs="Arial"/>
          <w:color w:val="000000"/>
          <w:sz w:val="24"/>
          <w:szCs w:val="24"/>
        </w:rPr>
        <w:t xml:space="preserve">logical and </w:t>
      </w:r>
      <w:r w:rsidR="00BF5306" w:rsidRPr="009278A5">
        <w:rPr>
          <w:rFonts w:ascii="Arial" w:hAnsi="Arial" w:cs="Arial"/>
          <w:color w:val="000000"/>
          <w:sz w:val="24"/>
          <w:szCs w:val="24"/>
        </w:rPr>
        <w:t xml:space="preserve">social approaches as a first line approach to behavioural symptoms of dementia. Such person-centred care relies on assessment involving </w:t>
      </w:r>
      <w:r w:rsidR="00BF5306" w:rsidRPr="009278A5">
        <w:rPr>
          <w:rFonts w:ascii="Arial" w:hAnsi="Arial" w:cs="Arial"/>
          <w:sz w:val="24"/>
          <w:szCs w:val="24"/>
        </w:rPr>
        <w:t xml:space="preserve">observation, measurement and monitoring of BPSD to assess the antecedents, triggers and consequences of </w:t>
      </w:r>
      <w:proofErr w:type="gramStart"/>
      <w:r w:rsidR="00BF5306" w:rsidRPr="009278A5">
        <w:rPr>
          <w:rFonts w:ascii="Arial" w:hAnsi="Arial" w:cs="Arial"/>
          <w:sz w:val="24"/>
          <w:szCs w:val="24"/>
        </w:rPr>
        <w:t>behaviours  –</w:t>
      </w:r>
      <w:proofErr w:type="gramEnd"/>
      <w:r w:rsidR="00BF5306" w:rsidRPr="009278A5">
        <w:rPr>
          <w:rFonts w:ascii="Arial" w:hAnsi="Arial" w:cs="Arial"/>
          <w:sz w:val="24"/>
          <w:szCs w:val="24"/>
        </w:rPr>
        <w:t xml:space="preserve"> often a communication of unmet needs or a response to too much or not enough stimulation in the environment. </w:t>
      </w:r>
      <w:r w:rsidRPr="009278A5">
        <w:rPr>
          <w:rFonts w:ascii="Arial" w:hAnsi="Arial" w:cs="Arial"/>
          <w:sz w:val="24"/>
          <w:szCs w:val="24"/>
        </w:rPr>
        <w:t xml:space="preserve">Thought needs to be given into working out why the behaviour is occurring, </w:t>
      </w:r>
      <w:proofErr w:type="gramStart"/>
      <w:r w:rsidRPr="009278A5">
        <w:rPr>
          <w:rFonts w:ascii="Arial" w:hAnsi="Arial" w:cs="Arial"/>
          <w:sz w:val="24"/>
          <w:szCs w:val="24"/>
        </w:rPr>
        <w:t>not a phone call</w:t>
      </w:r>
      <w:proofErr w:type="gramEnd"/>
      <w:r w:rsidRPr="009278A5">
        <w:rPr>
          <w:rFonts w:ascii="Arial" w:hAnsi="Arial" w:cs="Arial"/>
          <w:sz w:val="24"/>
          <w:szCs w:val="24"/>
        </w:rPr>
        <w:t xml:space="preserve"> to the GP for a prescription of sedation. </w:t>
      </w:r>
    </w:p>
    <w:p w:rsidR="00A11D9A" w:rsidRDefault="00A11D9A" w:rsidP="00B600DF">
      <w:pPr>
        <w:shd w:val="clear" w:color="auto" w:fill="FFFFFF"/>
        <w:spacing w:after="0" w:line="360" w:lineRule="auto"/>
        <w:rPr>
          <w:rFonts w:ascii="Arial" w:hAnsi="Arial" w:cs="Arial"/>
          <w:sz w:val="24"/>
          <w:szCs w:val="24"/>
        </w:rPr>
      </w:pPr>
    </w:p>
    <w:p w:rsidR="00BF5306" w:rsidRPr="009278A5" w:rsidRDefault="00BF5306" w:rsidP="00B600DF">
      <w:pPr>
        <w:shd w:val="clear" w:color="auto" w:fill="FFFFFF"/>
        <w:spacing w:after="0" w:line="360" w:lineRule="auto"/>
        <w:rPr>
          <w:rFonts w:ascii="Arial" w:hAnsi="Arial" w:cs="Arial"/>
          <w:sz w:val="24"/>
          <w:szCs w:val="24"/>
        </w:rPr>
      </w:pPr>
      <w:r w:rsidRPr="009278A5">
        <w:rPr>
          <w:rFonts w:ascii="Arial" w:hAnsi="Arial" w:cs="Arial"/>
          <w:sz w:val="24"/>
          <w:szCs w:val="24"/>
        </w:rPr>
        <w:t>One of the most common unmet needs in dementia is pain, the detection of which can be problematic in people who have language deficits</w:t>
      </w:r>
      <w:r w:rsidR="00A47F04">
        <w:rPr>
          <w:rFonts w:ascii="Arial" w:hAnsi="Arial" w:cs="Arial"/>
          <w:sz w:val="24"/>
          <w:szCs w:val="24"/>
        </w:rPr>
        <w:t>, rendering may people with dementia in nursing homes “silent and suffering”</w:t>
      </w:r>
      <w:r w:rsidRPr="009278A5">
        <w:rPr>
          <w:rFonts w:ascii="Arial" w:hAnsi="Arial" w:cs="Arial"/>
          <w:sz w:val="24"/>
          <w:szCs w:val="24"/>
        </w:rPr>
        <w:t>.</w:t>
      </w:r>
      <w:r w:rsidR="00A47F04">
        <w:rPr>
          <w:rStyle w:val="FootnoteReference"/>
          <w:rFonts w:ascii="Arial" w:hAnsi="Arial" w:cs="Arial"/>
          <w:sz w:val="24"/>
          <w:szCs w:val="24"/>
        </w:rPr>
        <w:footnoteReference w:id="27"/>
      </w:r>
      <w:r w:rsidRPr="009278A5">
        <w:rPr>
          <w:rFonts w:ascii="Arial" w:hAnsi="Arial" w:cs="Arial"/>
          <w:sz w:val="24"/>
          <w:szCs w:val="24"/>
        </w:rPr>
        <w:t xml:space="preserve"> </w:t>
      </w:r>
      <w:r w:rsidR="009278A5" w:rsidRPr="009278A5">
        <w:rPr>
          <w:rFonts w:ascii="Arial" w:hAnsi="Arial" w:cs="Arial"/>
          <w:sz w:val="24"/>
          <w:szCs w:val="24"/>
        </w:rPr>
        <w:t xml:space="preserve">To ignore and neglect pain is elder abuse. </w:t>
      </w:r>
    </w:p>
    <w:p w:rsidR="00A11D9A" w:rsidRDefault="00A11D9A" w:rsidP="00B600DF">
      <w:pPr>
        <w:shd w:val="clear" w:color="auto" w:fill="FFFFFF"/>
        <w:spacing w:after="0" w:line="360" w:lineRule="auto"/>
        <w:rPr>
          <w:rFonts w:ascii="Arial" w:hAnsi="Arial" w:cs="Arial"/>
          <w:sz w:val="24"/>
          <w:szCs w:val="24"/>
        </w:rPr>
      </w:pPr>
    </w:p>
    <w:p w:rsidR="0093174D" w:rsidRDefault="00A8002B" w:rsidP="00B600DF">
      <w:pPr>
        <w:shd w:val="clear" w:color="auto" w:fill="FFFFFF"/>
        <w:spacing w:after="0" w:line="360" w:lineRule="auto"/>
        <w:rPr>
          <w:rFonts w:ascii="Arial" w:hAnsi="Arial" w:cs="Arial"/>
          <w:sz w:val="24"/>
          <w:szCs w:val="24"/>
        </w:rPr>
      </w:pPr>
      <w:r w:rsidRPr="009278A5">
        <w:rPr>
          <w:rFonts w:ascii="Arial" w:hAnsi="Arial" w:cs="Arial"/>
          <w:sz w:val="24"/>
          <w:szCs w:val="24"/>
        </w:rPr>
        <w:t>Finally, there is evidence that consent is often not obtained for the use of these medications by either the person or their authorised substitute decision-maker.</w:t>
      </w:r>
      <w:r w:rsidR="00E55D01">
        <w:rPr>
          <w:rStyle w:val="FootnoteReference"/>
          <w:rFonts w:ascii="Arial" w:hAnsi="Arial" w:cs="Arial"/>
          <w:sz w:val="24"/>
          <w:szCs w:val="24"/>
        </w:rPr>
        <w:footnoteReference w:id="28"/>
      </w:r>
      <w:r w:rsidRPr="009278A5">
        <w:rPr>
          <w:rFonts w:ascii="Arial" w:hAnsi="Arial" w:cs="Arial"/>
          <w:sz w:val="24"/>
          <w:szCs w:val="24"/>
        </w:rPr>
        <w:t xml:space="preserve"> </w:t>
      </w:r>
      <w:r w:rsidR="009278A5" w:rsidRPr="009278A5">
        <w:rPr>
          <w:rFonts w:ascii="Arial" w:hAnsi="Arial" w:cs="Arial"/>
          <w:sz w:val="24"/>
          <w:szCs w:val="24"/>
        </w:rPr>
        <w:t xml:space="preserve">To treat without consent is battery. </w:t>
      </w:r>
      <w:r w:rsidR="005E5651">
        <w:rPr>
          <w:rFonts w:ascii="Arial" w:hAnsi="Arial" w:cs="Arial"/>
          <w:sz w:val="24"/>
          <w:szCs w:val="24"/>
        </w:rPr>
        <w:t xml:space="preserve">There is </w:t>
      </w:r>
      <w:r w:rsidR="0093174D">
        <w:rPr>
          <w:rFonts w:ascii="Arial" w:hAnsi="Arial" w:cs="Arial"/>
          <w:sz w:val="24"/>
          <w:szCs w:val="24"/>
        </w:rPr>
        <w:t xml:space="preserve">both </w:t>
      </w:r>
      <w:proofErr w:type="spellStart"/>
      <w:r w:rsidR="0093174D">
        <w:rPr>
          <w:rFonts w:ascii="Arial" w:hAnsi="Arial" w:cs="Arial"/>
          <w:sz w:val="24"/>
          <w:szCs w:val="24"/>
        </w:rPr>
        <w:t>anecodotal</w:t>
      </w:r>
      <w:proofErr w:type="spellEnd"/>
      <w:r w:rsidR="0093174D">
        <w:rPr>
          <w:rFonts w:ascii="Arial" w:hAnsi="Arial" w:cs="Arial"/>
          <w:sz w:val="24"/>
          <w:szCs w:val="24"/>
        </w:rPr>
        <w:t xml:space="preserve"> and research </w:t>
      </w:r>
      <w:r w:rsidR="005E5651">
        <w:rPr>
          <w:rFonts w:ascii="Arial" w:hAnsi="Arial" w:cs="Arial"/>
          <w:sz w:val="24"/>
          <w:szCs w:val="24"/>
        </w:rPr>
        <w:t xml:space="preserve">evidence </w:t>
      </w:r>
      <w:r w:rsidR="007F6A74">
        <w:rPr>
          <w:rStyle w:val="FootnoteReference"/>
          <w:rFonts w:ascii="Arial" w:hAnsi="Arial" w:cs="Arial"/>
          <w:sz w:val="24"/>
          <w:szCs w:val="24"/>
        </w:rPr>
        <w:footnoteReference w:id="29"/>
      </w:r>
      <w:r w:rsidR="0093174D">
        <w:rPr>
          <w:rStyle w:val="FootnoteReference"/>
          <w:rFonts w:ascii="Arial" w:hAnsi="Arial" w:cs="Arial"/>
          <w:sz w:val="24"/>
          <w:szCs w:val="24"/>
        </w:rPr>
        <w:footnoteReference w:id="30"/>
      </w:r>
      <w:r w:rsidR="00654352">
        <w:rPr>
          <w:rFonts w:ascii="Arial" w:hAnsi="Arial" w:cs="Arial"/>
          <w:sz w:val="24"/>
          <w:szCs w:val="24"/>
        </w:rPr>
        <w:t xml:space="preserve"> </w:t>
      </w:r>
      <w:r w:rsidR="005E5651">
        <w:rPr>
          <w:rFonts w:ascii="Arial" w:hAnsi="Arial" w:cs="Arial"/>
          <w:sz w:val="24"/>
          <w:szCs w:val="24"/>
        </w:rPr>
        <w:t xml:space="preserve">that </w:t>
      </w:r>
      <w:r w:rsidR="0093174D">
        <w:rPr>
          <w:rFonts w:ascii="Arial" w:hAnsi="Arial" w:cs="Arial"/>
          <w:sz w:val="24"/>
          <w:szCs w:val="24"/>
        </w:rPr>
        <w:t>f</w:t>
      </w:r>
      <w:r w:rsidR="005E5651">
        <w:rPr>
          <w:rFonts w:ascii="Arial" w:hAnsi="Arial" w:cs="Arial"/>
          <w:sz w:val="24"/>
          <w:szCs w:val="24"/>
        </w:rPr>
        <w:t>amil</w:t>
      </w:r>
      <w:r w:rsidR="0093174D">
        <w:rPr>
          <w:rFonts w:ascii="Arial" w:hAnsi="Arial" w:cs="Arial"/>
          <w:sz w:val="24"/>
          <w:szCs w:val="24"/>
        </w:rPr>
        <w:t xml:space="preserve">y members who are designated decision makers are: </w:t>
      </w:r>
    </w:p>
    <w:p w:rsidR="0093174D" w:rsidRPr="0093174D" w:rsidRDefault="005E5651" w:rsidP="00B600DF">
      <w:pPr>
        <w:pStyle w:val="ListParagraph"/>
        <w:numPr>
          <w:ilvl w:val="0"/>
          <w:numId w:val="19"/>
        </w:numPr>
        <w:shd w:val="clear" w:color="auto" w:fill="FFFFFF"/>
        <w:spacing w:line="360" w:lineRule="auto"/>
        <w:ind w:left="0" w:firstLine="0"/>
        <w:rPr>
          <w:rFonts w:ascii="Arial" w:hAnsi="Arial" w:cs="Arial"/>
        </w:rPr>
      </w:pPr>
      <w:r w:rsidRPr="0093174D">
        <w:rPr>
          <w:rFonts w:ascii="Arial" w:hAnsi="Arial" w:cs="Arial"/>
        </w:rPr>
        <w:t xml:space="preserve">not consulted </w:t>
      </w:r>
      <w:r w:rsidR="001F0C6F" w:rsidRPr="0093174D">
        <w:rPr>
          <w:rFonts w:ascii="Arial" w:hAnsi="Arial" w:cs="Arial"/>
        </w:rPr>
        <w:t>in regards to consent for chemical restraint</w:t>
      </w:r>
      <w:r w:rsidR="0093174D" w:rsidRPr="0093174D">
        <w:rPr>
          <w:rFonts w:ascii="Arial" w:hAnsi="Arial" w:cs="Arial"/>
        </w:rPr>
        <w:t>;</w:t>
      </w:r>
    </w:p>
    <w:p w:rsidR="0093174D" w:rsidRDefault="0093174D" w:rsidP="00B600DF">
      <w:pPr>
        <w:pStyle w:val="ListParagraph"/>
        <w:numPr>
          <w:ilvl w:val="0"/>
          <w:numId w:val="19"/>
        </w:numPr>
        <w:shd w:val="clear" w:color="auto" w:fill="FFFFFF"/>
        <w:spacing w:line="360" w:lineRule="auto"/>
        <w:ind w:left="0" w:firstLine="0"/>
        <w:rPr>
          <w:rFonts w:ascii="Arial" w:hAnsi="Arial" w:cs="Arial"/>
        </w:rPr>
      </w:pPr>
      <w:r w:rsidRPr="0093174D">
        <w:rPr>
          <w:rFonts w:ascii="Arial" w:hAnsi="Arial" w:cs="Arial"/>
        </w:rPr>
        <w:t>not informed about the major side effects including mortality risk of chemical restraints</w:t>
      </w:r>
      <w:r>
        <w:rPr>
          <w:rFonts w:ascii="Arial" w:hAnsi="Arial" w:cs="Arial"/>
        </w:rPr>
        <w:t xml:space="preserve">; and </w:t>
      </w:r>
    </w:p>
    <w:p w:rsidR="0093174D" w:rsidRPr="00DB2BD6" w:rsidRDefault="0093174D" w:rsidP="00DB2BD6">
      <w:pPr>
        <w:pStyle w:val="ListParagraph"/>
        <w:numPr>
          <w:ilvl w:val="0"/>
          <w:numId w:val="19"/>
        </w:numPr>
        <w:shd w:val="clear" w:color="auto" w:fill="FFFFFF"/>
        <w:spacing w:line="360" w:lineRule="auto"/>
        <w:ind w:left="0" w:firstLine="0"/>
        <w:rPr>
          <w:rFonts w:ascii="Arial" w:hAnsi="Arial" w:cs="Arial"/>
        </w:rPr>
      </w:pPr>
      <w:r>
        <w:rPr>
          <w:rFonts w:ascii="Arial" w:hAnsi="Arial" w:cs="Arial"/>
        </w:rPr>
        <w:t xml:space="preserve">often </w:t>
      </w:r>
      <w:r w:rsidRPr="0093174D">
        <w:rPr>
          <w:rFonts w:ascii="Arial" w:hAnsi="Arial" w:cs="Arial"/>
        </w:rPr>
        <w:t xml:space="preserve">subject to pressure by residential care facilities to accede to chemical </w:t>
      </w:r>
      <w:r w:rsidRPr="00DB2BD6">
        <w:rPr>
          <w:rFonts w:ascii="Arial" w:hAnsi="Arial" w:cs="Arial"/>
        </w:rPr>
        <w:t>restraint for fear of the</w:t>
      </w:r>
      <w:r w:rsidR="00A11D9A" w:rsidRPr="00DB2BD6">
        <w:rPr>
          <w:rFonts w:ascii="Arial" w:hAnsi="Arial" w:cs="Arial"/>
        </w:rPr>
        <w:t xml:space="preserve"> resident </w:t>
      </w:r>
      <w:r w:rsidRPr="00DB2BD6">
        <w:rPr>
          <w:rFonts w:ascii="Arial" w:hAnsi="Arial" w:cs="Arial"/>
        </w:rPr>
        <w:t>with BPSD losing tenure in the facility;</w:t>
      </w:r>
    </w:p>
    <w:p w:rsidR="00A8002B" w:rsidRPr="00DB2BD6" w:rsidRDefault="0093174D" w:rsidP="00DB2BD6">
      <w:pPr>
        <w:pStyle w:val="ListParagraph"/>
        <w:numPr>
          <w:ilvl w:val="0"/>
          <w:numId w:val="19"/>
        </w:numPr>
        <w:shd w:val="clear" w:color="auto" w:fill="FFFFFF"/>
        <w:spacing w:line="360" w:lineRule="auto"/>
        <w:ind w:left="0" w:firstLine="0"/>
        <w:rPr>
          <w:rFonts w:ascii="Arial" w:hAnsi="Arial" w:cs="Arial"/>
        </w:rPr>
      </w:pPr>
      <w:proofErr w:type="gramStart"/>
      <w:r w:rsidRPr="00DB2BD6">
        <w:rPr>
          <w:rFonts w:ascii="Arial" w:hAnsi="Arial" w:cs="Arial"/>
        </w:rPr>
        <w:t>fearful</w:t>
      </w:r>
      <w:proofErr w:type="gramEnd"/>
      <w:r w:rsidRPr="00DB2BD6">
        <w:rPr>
          <w:rFonts w:ascii="Arial" w:hAnsi="Arial" w:cs="Arial"/>
        </w:rPr>
        <w:t xml:space="preserve"> of </w:t>
      </w:r>
      <w:proofErr w:type="spellStart"/>
      <w:r w:rsidRPr="00DB2BD6">
        <w:rPr>
          <w:rFonts w:ascii="Arial" w:hAnsi="Arial" w:cs="Arial"/>
        </w:rPr>
        <w:t>deprescribing</w:t>
      </w:r>
      <w:proofErr w:type="spellEnd"/>
      <w:r w:rsidR="00654352" w:rsidRPr="00DB2BD6">
        <w:rPr>
          <w:rFonts w:ascii="Arial" w:hAnsi="Arial" w:cs="Arial"/>
        </w:rPr>
        <w:t xml:space="preserve"> (reducing medications) because of misinformation about the efficacy of these medications and alternatives available.  </w:t>
      </w:r>
      <w:r w:rsidR="005E5651" w:rsidRPr="00DB2BD6">
        <w:rPr>
          <w:rFonts w:ascii="Arial" w:hAnsi="Arial" w:cs="Arial"/>
        </w:rPr>
        <w:t xml:space="preserve"> </w:t>
      </w:r>
      <w:r w:rsidR="009278A5" w:rsidRPr="00DB2BD6">
        <w:rPr>
          <w:rFonts w:ascii="Arial" w:hAnsi="Arial" w:cs="Arial"/>
        </w:rPr>
        <w:t xml:space="preserve"> </w:t>
      </w:r>
      <w:r w:rsidR="00A8002B" w:rsidRPr="00DB2BD6">
        <w:rPr>
          <w:rFonts w:ascii="Arial" w:hAnsi="Arial" w:cs="Arial"/>
        </w:rPr>
        <w:t xml:space="preserve"> </w:t>
      </w:r>
    </w:p>
    <w:p w:rsidR="00654352" w:rsidRPr="00DB2BD6" w:rsidRDefault="00654352" w:rsidP="00DB2BD6">
      <w:pPr>
        <w:spacing w:after="0" w:line="360" w:lineRule="auto"/>
        <w:rPr>
          <w:rFonts w:ascii="Arial" w:hAnsi="Arial" w:cs="Arial"/>
          <w:sz w:val="24"/>
          <w:szCs w:val="24"/>
        </w:rPr>
      </w:pPr>
    </w:p>
    <w:p w:rsidR="00DB2BD6" w:rsidRDefault="00654352" w:rsidP="00DB2BD6">
      <w:pPr>
        <w:spacing w:after="0" w:line="360" w:lineRule="auto"/>
        <w:rPr>
          <w:rFonts w:ascii="Arial" w:hAnsi="Arial" w:cs="Arial"/>
          <w:sz w:val="24"/>
          <w:szCs w:val="24"/>
          <w:lang w:val="en-US"/>
        </w:rPr>
      </w:pPr>
      <w:r w:rsidRPr="00DB2BD6">
        <w:rPr>
          <w:rFonts w:ascii="Arial" w:hAnsi="Arial" w:cs="Arial"/>
          <w:sz w:val="24"/>
          <w:szCs w:val="24"/>
        </w:rPr>
        <w:lastRenderedPageBreak/>
        <w:t xml:space="preserve">Compliance with the Aged Care Act </w:t>
      </w:r>
      <w:r w:rsidR="008128C8" w:rsidRPr="00DB2BD6">
        <w:rPr>
          <w:rFonts w:ascii="Arial" w:hAnsi="Arial" w:cs="Arial"/>
          <w:sz w:val="24"/>
          <w:szCs w:val="24"/>
        </w:rPr>
        <w:t xml:space="preserve">1997 may be </w:t>
      </w:r>
      <w:r w:rsidRPr="00DB2BD6">
        <w:rPr>
          <w:rFonts w:ascii="Arial" w:hAnsi="Arial" w:cs="Arial"/>
          <w:sz w:val="24"/>
          <w:szCs w:val="24"/>
        </w:rPr>
        <w:t xml:space="preserve">compromised when </w:t>
      </w:r>
      <w:r w:rsidR="008128C8" w:rsidRPr="00DB2BD6">
        <w:rPr>
          <w:rFonts w:ascii="Arial" w:hAnsi="Arial" w:cs="Arial"/>
          <w:sz w:val="24"/>
          <w:szCs w:val="24"/>
        </w:rPr>
        <w:t>facilities transfer patients to hospital due to “unmanageable” BPSD, with threat of loss of a bed. This is not uncommon</w:t>
      </w:r>
      <w:r w:rsidR="00A11D9A" w:rsidRPr="00DB2BD6">
        <w:rPr>
          <w:rFonts w:ascii="Arial" w:hAnsi="Arial" w:cs="Arial"/>
          <w:sz w:val="24"/>
          <w:szCs w:val="24"/>
        </w:rPr>
        <w:t>, although there is no data available regarding this</w:t>
      </w:r>
      <w:r w:rsidR="008128C8" w:rsidRPr="00DB2BD6">
        <w:rPr>
          <w:rFonts w:ascii="Arial" w:hAnsi="Arial" w:cs="Arial"/>
          <w:sz w:val="24"/>
          <w:szCs w:val="24"/>
        </w:rPr>
        <w:t>.</w:t>
      </w:r>
      <w:r w:rsidR="00A11D9A" w:rsidRPr="00DB2BD6">
        <w:rPr>
          <w:rFonts w:ascii="Arial" w:hAnsi="Arial" w:cs="Arial"/>
          <w:sz w:val="24"/>
          <w:szCs w:val="24"/>
        </w:rPr>
        <w:t xml:space="preserve"> </w:t>
      </w:r>
      <w:r w:rsidR="00DB2BD6">
        <w:rPr>
          <w:rFonts w:ascii="Arial" w:hAnsi="Arial" w:cs="Arial"/>
          <w:sz w:val="24"/>
          <w:szCs w:val="24"/>
        </w:rPr>
        <w:t>I</w:t>
      </w:r>
      <w:r w:rsidR="00B43956" w:rsidRPr="00DB2BD6">
        <w:rPr>
          <w:rFonts w:ascii="Arial" w:hAnsi="Arial" w:cs="Arial"/>
          <w:sz w:val="24"/>
          <w:szCs w:val="24"/>
        </w:rPr>
        <w:t xml:space="preserve">t is </w:t>
      </w:r>
      <w:r w:rsidR="00A11D9A" w:rsidRPr="00DB2BD6">
        <w:rPr>
          <w:rFonts w:ascii="Arial" w:hAnsi="Arial" w:cs="Arial"/>
          <w:sz w:val="24"/>
          <w:szCs w:val="24"/>
        </w:rPr>
        <w:t xml:space="preserve">important to </w:t>
      </w:r>
      <w:r w:rsidR="007E373F">
        <w:rPr>
          <w:rFonts w:ascii="Arial" w:hAnsi="Arial" w:cs="Arial"/>
          <w:sz w:val="24"/>
          <w:szCs w:val="24"/>
        </w:rPr>
        <w:t>understand t</w:t>
      </w:r>
      <w:r w:rsidR="00A11D9A" w:rsidRPr="00DB2BD6">
        <w:rPr>
          <w:rFonts w:ascii="Arial" w:hAnsi="Arial" w:cs="Arial"/>
          <w:sz w:val="24"/>
          <w:szCs w:val="24"/>
        </w:rPr>
        <w:t xml:space="preserve">hat there is scientific consensus that </w:t>
      </w:r>
      <w:r w:rsidR="00DB2BD6">
        <w:rPr>
          <w:rFonts w:ascii="Arial" w:hAnsi="Arial" w:cs="Arial"/>
          <w:sz w:val="24"/>
          <w:szCs w:val="24"/>
        </w:rPr>
        <w:t xml:space="preserve">the acute hospital setting is associated with </w:t>
      </w:r>
      <w:r w:rsidR="00B43956" w:rsidRPr="00DB2BD6">
        <w:rPr>
          <w:rFonts w:ascii="Arial" w:hAnsi="Arial" w:cs="Arial"/>
          <w:sz w:val="24"/>
          <w:szCs w:val="24"/>
        </w:rPr>
        <w:t xml:space="preserve">adverse outcomes for patients with dementia </w:t>
      </w:r>
      <w:r w:rsidR="00DB2BD6">
        <w:rPr>
          <w:rFonts w:ascii="Arial" w:hAnsi="Arial" w:cs="Arial"/>
          <w:sz w:val="24"/>
          <w:szCs w:val="24"/>
        </w:rPr>
        <w:t xml:space="preserve">(high use of chemical restraint, </w:t>
      </w:r>
      <w:r w:rsidR="00B43956" w:rsidRPr="00DB2BD6">
        <w:rPr>
          <w:rFonts w:ascii="Arial" w:hAnsi="Arial" w:cs="Arial"/>
          <w:sz w:val="24"/>
          <w:szCs w:val="24"/>
          <w:lang w:val="en-US"/>
        </w:rPr>
        <w:t>infections, skin tears, functional decline</w:t>
      </w:r>
      <w:r w:rsidR="00DB2BD6">
        <w:rPr>
          <w:rFonts w:ascii="Arial" w:hAnsi="Arial" w:cs="Arial"/>
          <w:sz w:val="24"/>
          <w:szCs w:val="24"/>
          <w:lang w:val="en-US"/>
        </w:rPr>
        <w:t xml:space="preserve">, pressure injuries, </w:t>
      </w:r>
      <w:r w:rsidR="00B43956" w:rsidRPr="00DB2BD6">
        <w:rPr>
          <w:rFonts w:ascii="Arial" w:hAnsi="Arial" w:cs="Arial"/>
          <w:sz w:val="24"/>
          <w:szCs w:val="24"/>
          <w:lang w:val="en-US"/>
        </w:rPr>
        <w:t>under-nutrition; falls-related injuries; prolonged length of stay and mortality</w:t>
      </w:r>
      <w:r w:rsidR="00DB2BD6">
        <w:rPr>
          <w:rFonts w:ascii="Arial" w:hAnsi="Arial" w:cs="Arial"/>
          <w:sz w:val="24"/>
          <w:szCs w:val="24"/>
          <w:lang w:val="en-US"/>
        </w:rPr>
        <w:t>)</w:t>
      </w:r>
      <w:r w:rsidR="00B43956" w:rsidRPr="00DB2BD6">
        <w:rPr>
          <w:rFonts w:ascii="Arial" w:hAnsi="Arial" w:cs="Arial"/>
          <w:sz w:val="24"/>
          <w:szCs w:val="24"/>
          <w:lang w:val="en-US"/>
        </w:rPr>
        <w:t>.</w:t>
      </w:r>
      <w:r w:rsidR="00DB2BD6">
        <w:rPr>
          <w:rFonts w:ascii="Arial" w:hAnsi="Arial" w:cs="Arial"/>
          <w:sz w:val="24"/>
          <w:szCs w:val="24"/>
          <w:lang w:val="en-US"/>
        </w:rPr>
        <w:t xml:space="preserve"> </w:t>
      </w:r>
      <w:r w:rsidR="00DB2BD6" w:rsidRPr="00DB2BD6">
        <w:rPr>
          <w:rStyle w:val="FootnoteReference"/>
          <w:rFonts w:ascii="Arial" w:hAnsi="Arial" w:cs="Arial"/>
          <w:sz w:val="24"/>
          <w:szCs w:val="24"/>
        </w:rPr>
        <w:footnoteReference w:id="31"/>
      </w:r>
      <w:r w:rsidR="00DB2BD6">
        <w:rPr>
          <w:rFonts w:ascii="Arial" w:hAnsi="Arial" w:cs="Arial"/>
          <w:sz w:val="24"/>
          <w:szCs w:val="24"/>
          <w:lang w:val="en-US"/>
        </w:rPr>
        <w:t xml:space="preserve"> Thus, while transferring a person with BPSD to hospital may benefit the facility who cannot manage the BPSD </w:t>
      </w:r>
      <w:proofErr w:type="gramStart"/>
      <w:r w:rsidR="00DB2BD6">
        <w:rPr>
          <w:rFonts w:ascii="Arial" w:hAnsi="Arial" w:cs="Arial"/>
          <w:sz w:val="24"/>
          <w:szCs w:val="24"/>
          <w:lang w:val="en-US"/>
        </w:rPr>
        <w:t>symptoms,</w:t>
      </w:r>
      <w:proofErr w:type="gramEnd"/>
      <w:r w:rsidR="00DB2BD6">
        <w:rPr>
          <w:rFonts w:ascii="Arial" w:hAnsi="Arial" w:cs="Arial"/>
          <w:sz w:val="24"/>
          <w:szCs w:val="24"/>
          <w:lang w:val="en-US"/>
        </w:rPr>
        <w:t xml:space="preserve"> it does not benefit the patient. </w:t>
      </w:r>
    </w:p>
    <w:p w:rsidR="00A11D9A" w:rsidRPr="00DB2BD6" w:rsidRDefault="00A11D9A" w:rsidP="00DB2BD6">
      <w:pPr>
        <w:spacing w:after="0" w:line="360" w:lineRule="auto"/>
        <w:rPr>
          <w:rFonts w:ascii="Arial" w:hAnsi="Arial" w:cs="Arial"/>
          <w:sz w:val="24"/>
          <w:szCs w:val="24"/>
        </w:rPr>
      </w:pPr>
    </w:p>
    <w:p w:rsidR="00D22B26" w:rsidRDefault="00612512" w:rsidP="00DB2BD6">
      <w:pPr>
        <w:spacing w:after="0" w:line="360" w:lineRule="auto"/>
        <w:rPr>
          <w:rFonts w:ascii="Arial" w:hAnsi="Arial" w:cs="Arial"/>
          <w:sz w:val="24"/>
          <w:szCs w:val="24"/>
        </w:rPr>
      </w:pPr>
      <w:r w:rsidRPr="00DB2BD6">
        <w:rPr>
          <w:rFonts w:ascii="Arial" w:hAnsi="Arial" w:cs="Arial"/>
          <w:sz w:val="24"/>
          <w:szCs w:val="24"/>
        </w:rPr>
        <w:t>Drug use for treating BPSD symptoms of unmet need should and can be reduced, if not stopped.</w:t>
      </w:r>
      <w:r w:rsidR="006925AD" w:rsidRPr="00DB2BD6">
        <w:rPr>
          <w:rStyle w:val="FootnoteReference"/>
          <w:rFonts w:ascii="Arial" w:hAnsi="Arial" w:cs="Arial"/>
          <w:sz w:val="24"/>
          <w:szCs w:val="24"/>
        </w:rPr>
        <w:footnoteReference w:id="32"/>
      </w:r>
      <w:r w:rsidRPr="00DB2BD6">
        <w:rPr>
          <w:rFonts w:ascii="Arial" w:hAnsi="Arial" w:cs="Arial"/>
          <w:sz w:val="24"/>
          <w:szCs w:val="24"/>
        </w:rPr>
        <w:t xml:space="preserve"> </w:t>
      </w:r>
      <w:r w:rsidR="00A47F04" w:rsidRPr="00DB2BD6">
        <w:rPr>
          <w:rFonts w:ascii="Arial" w:hAnsi="Arial" w:cs="Arial"/>
          <w:sz w:val="24"/>
          <w:szCs w:val="24"/>
        </w:rPr>
        <w:t xml:space="preserve">A recent Australian study “HALT” showed that </w:t>
      </w:r>
      <w:r w:rsidR="005E5651" w:rsidRPr="00DB2BD6">
        <w:rPr>
          <w:rFonts w:ascii="Arial" w:hAnsi="Arial" w:cs="Arial"/>
          <w:sz w:val="24"/>
          <w:szCs w:val="24"/>
        </w:rPr>
        <w:t xml:space="preserve">75% </w:t>
      </w:r>
      <w:r w:rsidR="00A47F04" w:rsidRPr="00DB2BD6">
        <w:rPr>
          <w:rFonts w:ascii="Arial" w:hAnsi="Arial" w:cs="Arial"/>
          <w:sz w:val="24"/>
          <w:szCs w:val="24"/>
        </w:rPr>
        <w:t xml:space="preserve">of </w:t>
      </w:r>
      <w:r w:rsidR="005E5651" w:rsidRPr="00DB2BD6">
        <w:rPr>
          <w:rFonts w:ascii="Arial" w:hAnsi="Arial" w:cs="Arial"/>
          <w:sz w:val="24"/>
          <w:szCs w:val="24"/>
        </w:rPr>
        <w:t>patients were able to stop chemical restraint in facilities where residential care nurses and facility managers were educated</w:t>
      </w:r>
      <w:r w:rsidR="005E5651">
        <w:rPr>
          <w:rFonts w:ascii="Arial" w:hAnsi="Arial" w:cs="Arial"/>
          <w:sz w:val="24"/>
          <w:szCs w:val="24"/>
        </w:rPr>
        <w:t xml:space="preserve"> on how to identify, manage and prevent BPSD</w:t>
      </w:r>
      <w:r w:rsidR="00D46D0C">
        <w:rPr>
          <w:rFonts w:ascii="Arial" w:hAnsi="Arial" w:cs="Arial"/>
          <w:sz w:val="24"/>
          <w:szCs w:val="24"/>
        </w:rPr>
        <w:t xml:space="preserve">. </w:t>
      </w:r>
      <w:r w:rsidR="00D46D0C">
        <w:rPr>
          <w:rStyle w:val="FootnoteReference"/>
          <w:rFonts w:ascii="Arial" w:hAnsi="Arial" w:cs="Arial"/>
          <w:sz w:val="24"/>
          <w:szCs w:val="24"/>
        </w:rPr>
        <w:footnoteReference w:id="33"/>
      </w:r>
      <w:r w:rsidR="005E5651">
        <w:rPr>
          <w:rFonts w:ascii="Arial" w:hAnsi="Arial" w:cs="Arial"/>
          <w:sz w:val="24"/>
          <w:szCs w:val="24"/>
        </w:rPr>
        <w:t xml:space="preserve">  </w:t>
      </w:r>
      <w:r w:rsidR="00D22B26">
        <w:rPr>
          <w:rFonts w:ascii="Arial" w:hAnsi="Arial" w:cs="Arial"/>
          <w:sz w:val="24"/>
          <w:szCs w:val="24"/>
        </w:rPr>
        <w:t>Additionally, g</w:t>
      </w:r>
      <w:r w:rsidR="009E1CDB">
        <w:rPr>
          <w:rFonts w:ascii="Arial" w:hAnsi="Arial" w:cs="Arial"/>
          <w:sz w:val="24"/>
          <w:szCs w:val="24"/>
        </w:rPr>
        <w:t xml:space="preserve">eneral practitioners who care for patients in aged facilities need more training in the </w:t>
      </w:r>
      <w:r w:rsidR="00EF3312">
        <w:rPr>
          <w:rFonts w:ascii="Arial" w:hAnsi="Arial" w:cs="Arial"/>
          <w:sz w:val="24"/>
          <w:szCs w:val="24"/>
        </w:rPr>
        <w:t xml:space="preserve">management of BPSD and the </w:t>
      </w:r>
      <w:r w:rsidR="009E1CDB">
        <w:rPr>
          <w:rFonts w:ascii="Arial" w:hAnsi="Arial" w:cs="Arial"/>
          <w:sz w:val="24"/>
          <w:szCs w:val="24"/>
        </w:rPr>
        <w:t xml:space="preserve">use and avoidance of use of chemical restraint, this being a recommendation of a Coronial Enquiry </w:t>
      </w:r>
      <w:r w:rsidR="00D22B26">
        <w:rPr>
          <w:rFonts w:ascii="Arial" w:hAnsi="Arial" w:cs="Arial"/>
          <w:sz w:val="24"/>
          <w:szCs w:val="24"/>
        </w:rPr>
        <w:t>in South Australia some 5 years ago.</w:t>
      </w:r>
      <w:r w:rsidR="00D22B26">
        <w:rPr>
          <w:rStyle w:val="FootnoteReference"/>
          <w:rFonts w:ascii="Arial" w:hAnsi="Arial" w:cs="Arial"/>
          <w:sz w:val="24"/>
          <w:szCs w:val="24"/>
        </w:rPr>
        <w:footnoteReference w:id="34"/>
      </w:r>
    </w:p>
    <w:p w:rsidR="00D22B26" w:rsidRDefault="00D22B26" w:rsidP="00DB2BD6">
      <w:pPr>
        <w:spacing w:after="0" w:line="360" w:lineRule="auto"/>
        <w:rPr>
          <w:rFonts w:ascii="Arial" w:hAnsi="Arial" w:cs="Arial"/>
          <w:sz w:val="24"/>
          <w:szCs w:val="24"/>
        </w:rPr>
      </w:pPr>
    </w:p>
    <w:p w:rsidR="00DB2BD6" w:rsidRDefault="00A8002B" w:rsidP="00DB2BD6">
      <w:pPr>
        <w:spacing w:after="0" w:line="360" w:lineRule="auto"/>
        <w:rPr>
          <w:rFonts w:ascii="Arial" w:hAnsi="Arial" w:cs="Arial"/>
          <w:sz w:val="24"/>
          <w:szCs w:val="24"/>
        </w:rPr>
      </w:pPr>
      <w:r w:rsidRPr="009278A5">
        <w:rPr>
          <w:rFonts w:ascii="Arial" w:hAnsi="Arial" w:cs="Arial"/>
          <w:sz w:val="24"/>
          <w:szCs w:val="24"/>
        </w:rPr>
        <w:t>The use of restrictive practices in aged care can be regulated by monitoring psychotropic use and residential facilities graded on this</w:t>
      </w:r>
      <w:r w:rsidR="008128C8">
        <w:rPr>
          <w:rFonts w:ascii="Arial" w:hAnsi="Arial" w:cs="Arial"/>
          <w:sz w:val="24"/>
          <w:szCs w:val="24"/>
        </w:rPr>
        <w:t xml:space="preserve"> and given incentives for demonstrated best practice. </w:t>
      </w:r>
      <w:proofErr w:type="gramStart"/>
      <w:r w:rsidR="00DB2BD6">
        <w:rPr>
          <w:rFonts w:ascii="Arial" w:hAnsi="Arial" w:cs="Arial"/>
          <w:sz w:val="24"/>
          <w:szCs w:val="24"/>
        </w:rPr>
        <w:t>Transfers to the acute hospital setting need to be justified and in keeping with the person’s advance care plans or directives.</w:t>
      </w:r>
      <w:proofErr w:type="gramEnd"/>
      <w:r w:rsidR="00DB2BD6">
        <w:rPr>
          <w:rFonts w:ascii="Arial" w:hAnsi="Arial" w:cs="Arial"/>
          <w:sz w:val="24"/>
          <w:szCs w:val="24"/>
        </w:rPr>
        <w:t xml:space="preserve"> This can be audited. </w:t>
      </w:r>
    </w:p>
    <w:p w:rsidR="00DB2BD6" w:rsidRDefault="00DB2BD6" w:rsidP="00DB2BD6">
      <w:pPr>
        <w:spacing w:after="0" w:line="360" w:lineRule="auto"/>
        <w:rPr>
          <w:rFonts w:ascii="Arial" w:hAnsi="Arial" w:cs="Arial"/>
          <w:sz w:val="24"/>
          <w:szCs w:val="24"/>
        </w:rPr>
      </w:pPr>
    </w:p>
    <w:p w:rsidR="00C40F9B" w:rsidRDefault="00A8002B" w:rsidP="00DB2BD6">
      <w:pPr>
        <w:spacing w:after="0" w:line="360" w:lineRule="auto"/>
        <w:rPr>
          <w:rFonts w:ascii="Arial" w:hAnsi="Arial" w:cs="Arial"/>
          <w:sz w:val="24"/>
          <w:szCs w:val="24"/>
        </w:rPr>
      </w:pPr>
      <w:r w:rsidRPr="009278A5">
        <w:rPr>
          <w:rFonts w:ascii="Arial" w:hAnsi="Arial" w:cs="Arial"/>
          <w:sz w:val="24"/>
          <w:szCs w:val="24"/>
        </w:rPr>
        <w:lastRenderedPageBreak/>
        <w:t xml:space="preserve">Additionally, audits of consent documentation should be encouraged. </w:t>
      </w:r>
      <w:r w:rsidR="005E5651">
        <w:rPr>
          <w:rFonts w:ascii="Arial" w:hAnsi="Arial" w:cs="Arial"/>
          <w:sz w:val="24"/>
          <w:szCs w:val="24"/>
        </w:rPr>
        <w:t>Families need to be educated about the adverse effects of chemical restraints</w:t>
      </w:r>
      <w:r w:rsidR="008128C8">
        <w:rPr>
          <w:rFonts w:ascii="Arial" w:hAnsi="Arial" w:cs="Arial"/>
          <w:sz w:val="24"/>
          <w:szCs w:val="24"/>
        </w:rPr>
        <w:t xml:space="preserve"> and their role in consent in appropriate circumstances. </w:t>
      </w:r>
      <w:r w:rsidR="005E5651">
        <w:rPr>
          <w:rFonts w:ascii="Arial" w:hAnsi="Arial" w:cs="Arial"/>
          <w:sz w:val="24"/>
          <w:szCs w:val="24"/>
        </w:rPr>
        <w:t xml:space="preserve"> </w:t>
      </w:r>
    </w:p>
    <w:p w:rsidR="00C40F9B" w:rsidRDefault="00C40F9B" w:rsidP="00DB2BD6">
      <w:pPr>
        <w:spacing w:after="0" w:line="360" w:lineRule="auto"/>
        <w:rPr>
          <w:rFonts w:ascii="Arial" w:hAnsi="Arial" w:cs="Arial"/>
          <w:sz w:val="24"/>
          <w:szCs w:val="24"/>
        </w:rPr>
      </w:pPr>
    </w:p>
    <w:p w:rsidR="00B600DF" w:rsidRPr="00B600DF" w:rsidRDefault="008128C8" w:rsidP="00DB2BD6">
      <w:pPr>
        <w:spacing w:after="0" w:line="360" w:lineRule="auto"/>
        <w:rPr>
          <w:rFonts w:ascii="Arial" w:hAnsi="Arial" w:cs="Arial"/>
          <w:sz w:val="24"/>
          <w:szCs w:val="24"/>
        </w:rPr>
      </w:pPr>
      <w:r>
        <w:rPr>
          <w:rFonts w:ascii="Arial" w:hAnsi="Arial" w:cs="Arial"/>
          <w:sz w:val="24"/>
          <w:szCs w:val="24"/>
        </w:rPr>
        <w:t xml:space="preserve">Finally, more scrutiny in regards to the </w:t>
      </w:r>
      <w:r w:rsidRPr="00B600DF">
        <w:rPr>
          <w:rFonts w:ascii="Arial" w:hAnsi="Arial" w:cs="Arial"/>
          <w:sz w:val="24"/>
          <w:szCs w:val="24"/>
        </w:rPr>
        <w:t>compliance of facilities under the Aged Care Act 1997 in regards to obligations of care provision and tenure of accommodation is required.</w:t>
      </w:r>
      <w:r w:rsidR="000826E4">
        <w:rPr>
          <w:rFonts w:ascii="Arial" w:hAnsi="Arial" w:cs="Arial"/>
          <w:sz w:val="24"/>
          <w:szCs w:val="24"/>
        </w:rPr>
        <w:t xml:space="preserve"> The</w:t>
      </w:r>
      <w:r w:rsidR="00C40F9B">
        <w:rPr>
          <w:rFonts w:ascii="Arial" w:hAnsi="Arial" w:cs="Arial"/>
          <w:sz w:val="24"/>
          <w:szCs w:val="24"/>
        </w:rPr>
        <w:t xml:space="preserve"> Australian Residential Care Manual (2014) </w:t>
      </w:r>
      <w:r w:rsidR="00C40F9B">
        <w:rPr>
          <w:rStyle w:val="FootnoteReference"/>
          <w:rFonts w:ascii="Arial" w:hAnsi="Arial" w:cs="Arial"/>
          <w:sz w:val="24"/>
          <w:szCs w:val="24"/>
        </w:rPr>
        <w:footnoteReference w:id="35"/>
      </w:r>
      <w:r w:rsidR="00C40F9B">
        <w:rPr>
          <w:rFonts w:ascii="Arial" w:hAnsi="Arial" w:cs="Arial"/>
          <w:sz w:val="24"/>
          <w:szCs w:val="24"/>
        </w:rPr>
        <w:t xml:space="preserve">  articulates these obligations with legislative references to </w:t>
      </w:r>
      <w:r w:rsidR="000826E4">
        <w:rPr>
          <w:rFonts w:ascii="Arial" w:hAnsi="Arial" w:cs="Arial"/>
          <w:sz w:val="24"/>
          <w:szCs w:val="24"/>
        </w:rPr>
        <w:t>Sections 23.5</w:t>
      </w:r>
      <w:r w:rsidR="00C40F9B">
        <w:rPr>
          <w:rFonts w:ascii="Arial" w:hAnsi="Arial" w:cs="Arial"/>
          <w:sz w:val="24"/>
          <w:szCs w:val="24"/>
        </w:rPr>
        <w:t>,</w:t>
      </w:r>
      <w:r w:rsidR="000826E4">
        <w:rPr>
          <w:rFonts w:ascii="Arial" w:hAnsi="Arial" w:cs="Arial"/>
          <w:sz w:val="24"/>
          <w:szCs w:val="24"/>
        </w:rPr>
        <w:t xml:space="preserve"> 23.6, </w:t>
      </w:r>
      <w:r w:rsidR="00C40F9B">
        <w:rPr>
          <w:rFonts w:ascii="Arial" w:hAnsi="Arial" w:cs="Arial"/>
          <w:sz w:val="24"/>
          <w:szCs w:val="24"/>
        </w:rPr>
        <w:t xml:space="preserve">23.15, </w:t>
      </w:r>
      <w:r w:rsidR="000826E4">
        <w:rPr>
          <w:rFonts w:ascii="Arial" w:hAnsi="Arial" w:cs="Arial"/>
          <w:sz w:val="24"/>
          <w:szCs w:val="24"/>
        </w:rPr>
        <w:t>User Rights Principles 1997.</w:t>
      </w:r>
      <w:r w:rsidR="00C40F9B">
        <w:rPr>
          <w:rFonts w:ascii="Arial" w:hAnsi="Arial" w:cs="Arial"/>
          <w:sz w:val="24"/>
          <w:szCs w:val="24"/>
        </w:rPr>
        <w:t xml:space="preserve"> </w:t>
      </w:r>
      <w:r w:rsidR="000826E4">
        <w:rPr>
          <w:rFonts w:ascii="Arial" w:hAnsi="Arial" w:cs="Arial"/>
          <w:sz w:val="24"/>
          <w:szCs w:val="24"/>
        </w:rPr>
        <w:t>Further</w:t>
      </w:r>
      <w:r w:rsidR="00C40F9B">
        <w:rPr>
          <w:rFonts w:ascii="Arial" w:hAnsi="Arial" w:cs="Arial"/>
          <w:sz w:val="24"/>
          <w:szCs w:val="24"/>
        </w:rPr>
        <w:t>,</w:t>
      </w:r>
      <w:r w:rsidR="000826E4">
        <w:rPr>
          <w:rFonts w:ascii="Arial" w:hAnsi="Arial" w:cs="Arial"/>
          <w:sz w:val="24"/>
          <w:szCs w:val="24"/>
        </w:rPr>
        <w:t xml:space="preserve"> i</w:t>
      </w:r>
      <w:r w:rsidR="00DB2BD6">
        <w:rPr>
          <w:rFonts w:ascii="Arial" w:hAnsi="Arial" w:cs="Arial"/>
          <w:sz w:val="24"/>
          <w:szCs w:val="24"/>
        </w:rPr>
        <w:t xml:space="preserve">n </w:t>
      </w:r>
      <w:r w:rsidR="00B600DF" w:rsidRPr="00B600DF">
        <w:rPr>
          <w:rFonts w:ascii="Arial" w:hAnsi="Arial" w:cs="Arial"/>
          <w:sz w:val="24"/>
          <w:szCs w:val="24"/>
        </w:rPr>
        <w:t xml:space="preserve">regards to the Aged Care Act 1997, there is agreement that the </w:t>
      </w:r>
      <w:r w:rsidR="00B600DF" w:rsidRPr="00B600DF">
        <w:rPr>
          <w:rFonts w:ascii="Arial" w:hAnsi="Arial" w:cs="Arial"/>
          <w:color w:val="444444"/>
          <w:sz w:val="24"/>
          <w:szCs w:val="24"/>
        </w:rPr>
        <w:t xml:space="preserve">Charter of </w:t>
      </w:r>
      <w:r w:rsidR="00B600DF">
        <w:rPr>
          <w:rFonts w:ascii="Arial" w:hAnsi="Arial" w:cs="Arial"/>
          <w:color w:val="444444"/>
          <w:sz w:val="24"/>
          <w:szCs w:val="24"/>
        </w:rPr>
        <w:t xml:space="preserve">Care Recipients </w:t>
      </w:r>
      <w:r w:rsidR="00B600DF" w:rsidRPr="00B600DF">
        <w:rPr>
          <w:rFonts w:ascii="Arial" w:hAnsi="Arial" w:cs="Arial"/>
          <w:color w:val="444444"/>
          <w:sz w:val="24"/>
          <w:szCs w:val="24"/>
        </w:rPr>
        <w:t xml:space="preserve">Rights </w:t>
      </w:r>
      <w:r w:rsidR="00B600DF">
        <w:rPr>
          <w:rFonts w:ascii="Arial" w:hAnsi="Arial" w:cs="Arial"/>
          <w:color w:val="444444"/>
          <w:sz w:val="24"/>
          <w:szCs w:val="24"/>
        </w:rPr>
        <w:t xml:space="preserve">and Responsibilities </w:t>
      </w:r>
      <w:r w:rsidR="00B600DF" w:rsidRPr="00B600DF">
        <w:rPr>
          <w:rFonts w:ascii="Arial" w:hAnsi="Arial" w:cs="Arial"/>
          <w:color w:val="444444"/>
          <w:sz w:val="24"/>
          <w:szCs w:val="24"/>
        </w:rPr>
        <w:t xml:space="preserve">need to </w:t>
      </w:r>
      <w:r w:rsidR="00DB2BD6">
        <w:rPr>
          <w:rFonts w:ascii="Arial" w:hAnsi="Arial" w:cs="Arial"/>
          <w:color w:val="444444"/>
          <w:sz w:val="24"/>
          <w:szCs w:val="24"/>
        </w:rPr>
        <w:t xml:space="preserve">be </w:t>
      </w:r>
      <w:r w:rsidR="00B600DF" w:rsidRPr="00B600DF">
        <w:rPr>
          <w:rFonts w:ascii="Arial" w:hAnsi="Arial" w:cs="Arial"/>
          <w:color w:val="444444"/>
          <w:sz w:val="24"/>
          <w:szCs w:val="24"/>
        </w:rPr>
        <w:t xml:space="preserve">prioritised in the legislative framework and elevated from schedules </w:t>
      </w:r>
      <w:r w:rsidR="00B600DF">
        <w:rPr>
          <w:rFonts w:ascii="Arial" w:hAnsi="Arial" w:cs="Arial"/>
          <w:color w:val="444444"/>
          <w:sz w:val="24"/>
          <w:szCs w:val="24"/>
        </w:rPr>
        <w:t xml:space="preserve">(where they are treated by many providers as optional) </w:t>
      </w:r>
      <w:r w:rsidR="00B600DF" w:rsidRPr="00B600DF">
        <w:rPr>
          <w:rFonts w:ascii="Arial" w:hAnsi="Arial" w:cs="Arial"/>
          <w:color w:val="444444"/>
          <w:sz w:val="24"/>
          <w:szCs w:val="24"/>
        </w:rPr>
        <w:t>to the body of the Act</w:t>
      </w:r>
      <w:r w:rsidR="00D20A05">
        <w:rPr>
          <w:rFonts w:ascii="Arial" w:hAnsi="Arial" w:cs="Arial"/>
          <w:color w:val="444444"/>
          <w:sz w:val="24"/>
          <w:szCs w:val="24"/>
        </w:rPr>
        <w:t>.</w:t>
      </w:r>
      <w:r w:rsidR="00D20A05">
        <w:rPr>
          <w:rStyle w:val="FootnoteReference"/>
          <w:rFonts w:ascii="Arial" w:hAnsi="Arial" w:cs="Arial"/>
          <w:color w:val="444444"/>
          <w:sz w:val="24"/>
          <w:szCs w:val="24"/>
        </w:rPr>
        <w:footnoteReference w:id="36"/>
      </w:r>
      <w:r w:rsidR="00D20A05">
        <w:rPr>
          <w:rFonts w:ascii="Arial" w:hAnsi="Arial" w:cs="Arial"/>
          <w:color w:val="444444"/>
          <w:sz w:val="24"/>
          <w:szCs w:val="24"/>
        </w:rPr>
        <w:t xml:space="preserve"> </w:t>
      </w:r>
      <w:r w:rsidR="00D20A05">
        <w:rPr>
          <w:rStyle w:val="FootnoteReference"/>
          <w:rFonts w:ascii="Arial" w:hAnsi="Arial" w:cs="Arial"/>
          <w:color w:val="444444"/>
          <w:sz w:val="24"/>
          <w:szCs w:val="24"/>
        </w:rPr>
        <w:footnoteReference w:id="37"/>
      </w:r>
      <w:r w:rsidR="00B600DF" w:rsidRPr="00B600DF">
        <w:rPr>
          <w:rFonts w:ascii="Arial" w:hAnsi="Arial" w:cs="Arial"/>
          <w:sz w:val="24"/>
          <w:szCs w:val="24"/>
        </w:rPr>
        <w:t xml:space="preserve"> </w:t>
      </w:r>
    </w:p>
    <w:p w:rsidR="00B600DF" w:rsidRDefault="00B600DF" w:rsidP="00B600DF">
      <w:pPr>
        <w:spacing w:after="0" w:line="360" w:lineRule="auto"/>
        <w:rPr>
          <w:rFonts w:ascii="OpenSansRegular" w:hAnsi="OpenSansRegular" w:cs="Arial"/>
          <w:color w:val="444444"/>
          <w:sz w:val="23"/>
          <w:szCs w:val="23"/>
        </w:rPr>
      </w:pPr>
    </w:p>
    <w:p w:rsidR="00B619CF" w:rsidRPr="00DF4730" w:rsidRDefault="00B619CF" w:rsidP="00B600DF">
      <w:pPr>
        <w:pStyle w:val="ListParagraph"/>
        <w:numPr>
          <w:ilvl w:val="0"/>
          <w:numId w:val="13"/>
        </w:numPr>
        <w:spacing w:line="360" w:lineRule="auto"/>
        <w:ind w:left="0" w:firstLine="0"/>
        <w:rPr>
          <w:rFonts w:ascii="Arial" w:hAnsi="Arial" w:cs="Arial"/>
          <w:b/>
        </w:rPr>
      </w:pPr>
      <w:r w:rsidRPr="00DF4730">
        <w:rPr>
          <w:rFonts w:ascii="Arial" w:hAnsi="Arial" w:cs="Arial"/>
          <w:b/>
        </w:rPr>
        <w:t xml:space="preserve">Financial institutions </w:t>
      </w:r>
    </w:p>
    <w:p w:rsidR="00B619CF" w:rsidRPr="00DF4730" w:rsidRDefault="00B619CF" w:rsidP="00B600DF">
      <w:pPr>
        <w:spacing w:after="0" w:line="360" w:lineRule="auto"/>
        <w:rPr>
          <w:rFonts w:ascii="Arial" w:hAnsi="Arial" w:cs="Arial"/>
          <w:b/>
          <w:sz w:val="24"/>
          <w:szCs w:val="24"/>
        </w:rPr>
      </w:pPr>
      <w:r w:rsidRPr="00DF4730">
        <w:rPr>
          <w:rFonts w:ascii="Arial" w:hAnsi="Arial" w:cs="Arial"/>
          <w:b/>
          <w:sz w:val="24"/>
          <w:szCs w:val="24"/>
        </w:rPr>
        <w:t xml:space="preserve">Question 25 </w:t>
      </w:r>
      <w:proofErr w:type="gramStart"/>
      <w:r w:rsidRPr="00DF4730">
        <w:rPr>
          <w:rFonts w:ascii="Arial" w:hAnsi="Arial" w:cs="Arial"/>
          <w:b/>
          <w:sz w:val="24"/>
          <w:szCs w:val="24"/>
        </w:rPr>
        <w:t>What</w:t>
      </w:r>
      <w:proofErr w:type="gramEnd"/>
      <w:r w:rsidRPr="00DF4730">
        <w:rPr>
          <w:rFonts w:ascii="Arial" w:hAnsi="Arial" w:cs="Arial"/>
          <w:b/>
          <w:sz w:val="24"/>
          <w:szCs w:val="24"/>
        </w:rPr>
        <w:t xml:space="preserve"> evidence is there of elder abuse in banking or financial systems? </w:t>
      </w:r>
    </w:p>
    <w:p w:rsidR="00A8002B" w:rsidRPr="00660D77" w:rsidRDefault="00A8002B" w:rsidP="00B600DF">
      <w:pPr>
        <w:spacing w:after="0" w:line="360" w:lineRule="auto"/>
        <w:rPr>
          <w:rFonts w:ascii="Arial" w:hAnsi="Arial" w:cs="Arial"/>
          <w:sz w:val="24"/>
          <w:szCs w:val="24"/>
        </w:rPr>
      </w:pPr>
      <w:r>
        <w:rPr>
          <w:rFonts w:ascii="Arial" w:hAnsi="Arial" w:cs="Arial"/>
          <w:sz w:val="24"/>
          <w:szCs w:val="24"/>
        </w:rPr>
        <w:t>There is no reporting of elder abuse</w:t>
      </w:r>
      <w:r w:rsidR="009E4A00">
        <w:rPr>
          <w:rFonts w:ascii="Arial" w:hAnsi="Arial" w:cs="Arial"/>
          <w:sz w:val="24"/>
          <w:szCs w:val="24"/>
        </w:rPr>
        <w:t xml:space="preserve"> in banking or financial systems</w:t>
      </w:r>
      <w:r>
        <w:rPr>
          <w:rFonts w:ascii="Arial" w:hAnsi="Arial" w:cs="Arial"/>
          <w:sz w:val="24"/>
          <w:szCs w:val="24"/>
        </w:rPr>
        <w:t xml:space="preserve">. </w:t>
      </w:r>
      <w:r w:rsidR="00DF4730">
        <w:rPr>
          <w:rFonts w:ascii="Arial" w:hAnsi="Arial" w:cs="Arial"/>
          <w:sz w:val="24"/>
          <w:szCs w:val="24"/>
        </w:rPr>
        <w:t xml:space="preserve">Thus, there is no evidence. Yet we know that at least 5% of older Australians are subject to financial abuse and that banking and financial systems provide the means of access to those exploiting them. </w:t>
      </w:r>
      <w:r w:rsidR="00DF4730">
        <w:rPr>
          <w:rStyle w:val="FootnoteReference"/>
          <w:rFonts w:ascii="Arial" w:hAnsi="Arial" w:cs="Arial"/>
          <w:sz w:val="24"/>
          <w:szCs w:val="24"/>
        </w:rPr>
        <w:footnoteReference w:id="38"/>
      </w:r>
      <w:r w:rsidR="00C54C6C">
        <w:rPr>
          <w:rFonts w:ascii="Arial" w:hAnsi="Arial" w:cs="Arial"/>
          <w:sz w:val="24"/>
          <w:szCs w:val="24"/>
        </w:rPr>
        <w:t xml:space="preserve"> </w:t>
      </w:r>
      <w:r>
        <w:rPr>
          <w:rFonts w:ascii="Arial" w:hAnsi="Arial" w:cs="Arial"/>
          <w:sz w:val="24"/>
          <w:szCs w:val="24"/>
        </w:rPr>
        <w:t xml:space="preserve">This lack of </w:t>
      </w:r>
      <w:r w:rsidR="00386320">
        <w:rPr>
          <w:rFonts w:ascii="Arial" w:hAnsi="Arial" w:cs="Arial"/>
          <w:sz w:val="24"/>
          <w:szCs w:val="24"/>
        </w:rPr>
        <w:t xml:space="preserve">transparency and accordingly, lack of data </w:t>
      </w:r>
      <w:r w:rsidR="007D2F85">
        <w:rPr>
          <w:rStyle w:val="FootnoteReference"/>
          <w:rFonts w:ascii="Arial" w:hAnsi="Arial" w:cs="Arial"/>
          <w:sz w:val="24"/>
          <w:szCs w:val="24"/>
        </w:rPr>
        <w:footnoteReference w:id="39"/>
      </w:r>
      <w:r w:rsidR="00D25C37">
        <w:rPr>
          <w:rFonts w:ascii="Arial" w:hAnsi="Arial" w:cs="Arial"/>
          <w:sz w:val="24"/>
          <w:szCs w:val="24"/>
        </w:rPr>
        <w:t xml:space="preserve"> t</w:t>
      </w:r>
      <w:r w:rsidR="00386320">
        <w:rPr>
          <w:rFonts w:ascii="Arial" w:hAnsi="Arial" w:cs="Arial"/>
          <w:sz w:val="24"/>
          <w:szCs w:val="24"/>
        </w:rPr>
        <w:t xml:space="preserve">o truly enable us to </w:t>
      </w:r>
      <w:r w:rsidR="00DF4730">
        <w:rPr>
          <w:rFonts w:ascii="Arial" w:hAnsi="Arial" w:cs="Arial"/>
          <w:sz w:val="24"/>
          <w:szCs w:val="24"/>
        </w:rPr>
        <w:t xml:space="preserve">prevent and deal with financial elder abuse </w:t>
      </w:r>
      <w:r w:rsidR="00386320">
        <w:rPr>
          <w:rFonts w:ascii="Arial" w:hAnsi="Arial" w:cs="Arial"/>
          <w:sz w:val="24"/>
          <w:szCs w:val="24"/>
        </w:rPr>
        <w:t>compounds the problem.</w:t>
      </w:r>
      <w:r>
        <w:rPr>
          <w:rFonts w:ascii="Arial" w:hAnsi="Arial" w:cs="Arial"/>
          <w:sz w:val="24"/>
          <w:szCs w:val="24"/>
        </w:rPr>
        <w:t xml:space="preserve"> </w:t>
      </w:r>
    </w:p>
    <w:p w:rsidR="00D25C37" w:rsidRDefault="00D25C37" w:rsidP="00B600DF">
      <w:pPr>
        <w:spacing w:after="0" w:line="360" w:lineRule="auto"/>
        <w:rPr>
          <w:rFonts w:ascii="Arial" w:hAnsi="Arial" w:cs="Arial"/>
          <w:b/>
          <w:sz w:val="24"/>
          <w:szCs w:val="24"/>
        </w:rPr>
      </w:pPr>
    </w:p>
    <w:p w:rsidR="00B619CF" w:rsidRPr="00DF4730" w:rsidRDefault="00B619CF" w:rsidP="00B600DF">
      <w:pPr>
        <w:spacing w:after="0" w:line="360" w:lineRule="auto"/>
        <w:rPr>
          <w:rFonts w:ascii="Arial" w:hAnsi="Arial" w:cs="Arial"/>
          <w:b/>
          <w:sz w:val="24"/>
          <w:szCs w:val="24"/>
        </w:rPr>
      </w:pPr>
      <w:r w:rsidRPr="00DF4730">
        <w:rPr>
          <w:rFonts w:ascii="Arial" w:hAnsi="Arial" w:cs="Arial"/>
          <w:b/>
          <w:sz w:val="24"/>
          <w:szCs w:val="24"/>
        </w:rPr>
        <w:lastRenderedPageBreak/>
        <w:t xml:space="preserve">Question 26 What changes should be made to the laws and legal frameworks relating to financial institutions to identify, improve safeguards against and respond to elder abuse? For example, should reporting requirements be imposed? </w:t>
      </w:r>
    </w:p>
    <w:p w:rsidR="003212B3" w:rsidRDefault="008A6807" w:rsidP="00B600DF">
      <w:pPr>
        <w:spacing w:after="0" w:line="360" w:lineRule="auto"/>
        <w:rPr>
          <w:rFonts w:ascii="Arial" w:hAnsi="Arial" w:cs="Arial"/>
          <w:bCs/>
          <w:sz w:val="24"/>
          <w:szCs w:val="24"/>
        </w:rPr>
      </w:pPr>
      <w:r w:rsidRPr="005B38B5">
        <w:rPr>
          <w:rFonts w:ascii="Arial" w:hAnsi="Arial" w:cs="Arial"/>
          <w:bCs/>
          <w:sz w:val="24"/>
          <w:szCs w:val="24"/>
        </w:rPr>
        <w:t xml:space="preserve">Capacity Australia </w:t>
      </w:r>
      <w:r w:rsidR="005B38B5" w:rsidRPr="005B38B5">
        <w:rPr>
          <w:rFonts w:ascii="Arial" w:hAnsi="Arial" w:cs="Arial"/>
          <w:bCs/>
          <w:sz w:val="24"/>
          <w:szCs w:val="24"/>
        </w:rPr>
        <w:t xml:space="preserve">was established to address elder abuse as one of its prime missions. It has been committed </w:t>
      </w:r>
      <w:r w:rsidR="00044946" w:rsidRPr="005B38B5">
        <w:rPr>
          <w:rFonts w:ascii="Arial" w:hAnsi="Arial" w:cs="Arial"/>
          <w:bCs/>
          <w:sz w:val="24"/>
          <w:szCs w:val="24"/>
        </w:rPr>
        <w:t xml:space="preserve">to </w:t>
      </w:r>
      <w:r w:rsidR="005B38B5" w:rsidRPr="005B38B5">
        <w:rPr>
          <w:rFonts w:ascii="Arial" w:hAnsi="Arial" w:cs="Arial"/>
          <w:bCs/>
          <w:sz w:val="24"/>
          <w:szCs w:val="24"/>
        </w:rPr>
        <w:t xml:space="preserve">doing so by educating the financial sector since the receipt of a </w:t>
      </w:r>
      <w:r w:rsidR="00D25C37">
        <w:rPr>
          <w:rFonts w:ascii="Arial" w:hAnsi="Arial" w:cs="Arial"/>
          <w:bCs/>
          <w:sz w:val="24"/>
          <w:szCs w:val="24"/>
        </w:rPr>
        <w:t xml:space="preserve">UNSW </w:t>
      </w:r>
      <w:r w:rsidR="005B38B5" w:rsidRPr="005B38B5">
        <w:rPr>
          <w:rFonts w:ascii="Arial" w:hAnsi="Arial" w:cs="Arial"/>
          <w:bCs/>
          <w:sz w:val="24"/>
          <w:szCs w:val="24"/>
        </w:rPr>
        <w:t xml:space="preserve">Dementia Collaborative Research Centre Knowledge Translation Grant in 2013. Using that grant we developed </w:t>
      </w:r>
      <w:r w:rsidRPr="005B38B5">
        <w:rPr>
          <w:rFonts w:ascii="Arial" w:hAnsi="Arial" w:cs="Arial"/>
          <w:bCs/>
          <w:sz w:val="24"/>
          <w:szCs w:val="24"/>
        </w:rPr>
        <w:t xml:space="preserve">a brief, user friendly education tool </w:t>
      </w:r>
      <w:r w:rsidR="00044946" w:rsidRPr="005B38B5">
        <w:rPr>
          <w:rFonts w:ascii="Arial" w:hAnsi="Arial" w:cs="Arial"/>
          <w:bCs/>
          <w:sz w:val="24"/>
          <w:szCs w:val="24"/>
        </w:rPr>
        <w:t xml:space="preserve">tailor-made to the </w:t>
      </w:r>
      <w:r w:rsidR="005B38B5" w:rsidRPr="005B38B5">
        <w:rPr>
          <w:rFonts w:ascii="Arial" w:hAnsi="Arial" w:cs="Arial"/>
          <w:bCs/>
          <w:sz w:val="24"/>
          <w:szCs w:val="24"/>
        </w:rPr>
        <w:t>A</w:t>
      </w:r>
      <w:r w:rsidR="00044946" w:rsidRPr="005B38B5">
        <w:rPr>
          <w:rFonts w:ascii="Arial" w:hAnsi="Arial" w:cs="Arial"/>
          <w:bCs/>
          <w:sz w:val="24"/>
          <w:szCs w:val="24"/>
        </w:rPr>
        <w:t>ustralian banking environment</w:t>
      </w:r>
      <w:r w:rsidR="005B38B5" w:rsidRPr="005B38B5">
        <w:rPr>
          <w:rFonts w:ascii="Arial" w:hAnsi="Arial" w:cs="Arial"/>
          <w:bCs/>
          <w:sz w:val="24"/>
          <w:szCs w:val="24"/>
        </w:rPr>
        <w:t xml:space="preserve">, tested with three of Australia’s major banks and proven </w:t>
      </w:r>
      <w:r w:rsidRPr="005B38B5">
        <w:rPr>
          <w:rFonts w:ascii="Arial" w:hAnsi="Arial" w:cs="Arial"/>
          <w:bCs/>
          <w:sz w:val="24"/>
          <w:szCs w:val="24"/>
        </w:rPr>
        <w:t xml:space="preserve">to increase knowledge of banking staff </w:t>
      </w:r>
      <w:r w:rsidR="005B38B5" w:rsidRPr="005B38B5">
        <w:rPr>
          <w:rStyle w:val="FootnoteReference"/>
          <w:rFonts w:ascii="Arial" w:hAnsi="Arial" w:cs="Arial"/>
          <w:bCs/>
          <w:sz w:val="24"/>
          <w:szCs w:val="24"/>
        </w:rPr>
        <w:footnoteReference w:id="40"/>
      </w:r>
      <w:r w:rsidRPr="005B38B5">
        <w:rPr>
          <w:rFonts w:ascii="Arial" w:hAnsi="Arial" w:cs="Arial"/>
          <w:bCs/>
          <w:sz w:val="24"/>
          <w:szCs w:val="24"/>
        </w:rPr>
        <w:t xml:space="preserve">. We enclose a link for a demo to the tool to assist the ALRC </w:t>
      </w:r>
      <w:hyperlink r:id="rId10" w:history="1">
        <w:r w:rsidRPr="005B38B5">
          <w:rPr>
            <w:rStyle w:val="Hyperlink"/>
            <w:rFonts w:ascii="Arial" w:hAnsi="Arial" w:cs="Arial"/>
            <w:bCs/>
            <w:sz w:val="24"/>
            <w:szCs w:val="24"/>
          </w:rPr>
          <w:t>https://aelp.smartsparrow.com/v/open/jmhcghtf</w:t>
        </w:r>
      </w:hyperlink>
      <w:r w:rsidR="00386320">
        <w:rPr>
          <w:rStyle w:val="Hyperlink"/>
          <w:rFonts w:ascii="Arial" w:hAnsi="Arial" w:cs="Arial"/>
          <w:bCs/>
          <w:sz w:val="24"/>
          <w:szCs w:val="24"/>
        </w:rPr>
        <w:t xml:space="preserve"> </w:t>
      </w:r>
      <w:r w:rsidR="00386320" w:rsidRPr="00386320">
        <w:rPr>
          <w:rStyle w:val="Hyperlink"/>
          <w:rFonts w:ascii="Arial" w:hAnsi="Arial" w:cs="Arial"/>
          <w:bCs/>
          <w:color w:val="auto"/>
          <w:sz w:val="24"/>
          <w:szCs w:val="24"/>
          <w:u w:val="none"/>
        </w:rPr>
        <w:t>and have appended the research paper to this submission</w:t>
      </w:r>
      <w:r w:rsidRPr="00386320">
        <w:rPr>
          <w:rFonts w:ascii="Times New Roman" w:hAnsi="Times New Roman" w:cs="Times New Roman"/>
          <w:bCs/>
        </w:rPr>
        <w:t>.</w:t>
      </w:r>
      <w:r w:rsidR="005B38B5">
        <w:rPr>
          <w:rFonts w:ascii="Times New Roman" w:hAnsi="Times New Roman" w:cs="Times New Roman"/>
          <w:bCs/>
        </w:rPr>
        <w:t xml:space="preserve"> </w:t>
      </w:r>
      <w:r w:rsidR="003212B3" w:rsidRPr="003212B3">
        <w:rPr>
          <w:rFonts w:ascii="Arial" w:hAnsi="Arial" w:cs="Arial"/>
          <w:bCs/>
          <w:sz w:val="24"/>
          <w:szCs w:val="24"/>
        </w:rPr>
        <w:t xml:space="preserve">Despite its release 18 months ago, we have yet to have one Australian bank adopt this education tool. Moreover, although Capacity Australia has produced specific training on elder abuse for accountants and financial planners, we are struggling with engaging the interest of the industry in this issue. </w:t>
      </w:r>
    </w:p>
    <w:p w:rsidR="006D3709" w:rsidRPr="003212B3" w:rsidRDefault="006D3709" w:rsidP="00B600DF">
      <w:pPr>
        <w:spacing w:after="0" w:line="360" w:lineRule="auto"/>
        <w:rPr>
          <w:rFonts w:ascii="Arial" w:hAnsi="Arial" w:cs="Arial"/>
          <w:bCs/>
          <w:sz w:val="24"/>
          <w:szCs w:val="24"/>
        </w:rPr>
      </w:pPr>
    </w:p>
    <w:p w:rsidR="003212B3" w:rsidRPr="00386320" w:rsidRDefault="003212B3" w:rsidP="00B600DF">
      <w:pPr>
        <w:spacing w:after="0" w:line="360" w:lineRule="auto"/>
        <w:rPr>
          <w:rFonts w:ascii="Arial" w:hAnsi="Arial" w:cs="Arial"/>
          <w:sz w:val="24"/>
          <w:szCs w:val="24"/>
        </w:rPr>
      </w:pPr>
      <w:r>
        <w:rPr>
          <w:rFonts w:ascii="Arial" w:hAnsi="Arial" w:cs="Arial"/>
          <w:sz w:val="24"/>
          <w:szCs w:val="24"/>
        </w:rPr>
        <w:t xml:space="preserve">The Australian </w:t>
      </w:r>
      <w:r w:rsidR="00D25C37">
        <w:rPr>
          <w:rFonts w:ascii="Arial" w:hAnsi="Arial" w:cs="Arial"/>
          <w:sz w:val="24"/>
          <w:szCs w:val="24"/>
        </w:rPr>
        <w:t>banking and f</w:t>
      </w:r>
      <w:r>
        <w:rPr>
          <w:rFonts w:ascii="Arial" w:hAnsi="Arial" w:cs="Arial"/>
          <w:sz w:val="24"/>
          <w:szCs w:val="24"/>
        </w:rPr>
        <w:t xml:space="preserve">inancial sector needs to </w:t>
      </w:r>
      <w:r w:rsidR="00D25C37">
        <w:rPr>
          <w:rFonts w:ascii="Arial" w:hAnsi="Arial" w:cs="Arial"/>
          <w:sz w:val="24"/>
          <w:szCs w:val="24"/>
        </w:rPr>
        <w:t xml:space="preserve">align </w:t>
      </w:r>
      <w:r>
        <w:rPr>
          <w:rFonts w:ascii="Arial" w:hAnsi="Arial" w:cs="Arial"/>
          <w:sz w:val="24"/>
          <w:szCs w:val="24"/>
        </w:rPr>
        <w:t xml:space="preserve">with other countries </w:t>
      </w:r>
      <w:r w:rsidR="00D25C37">
        <w:rPr>
          <w:rFonts w:ascii="Arial" w:hAnsi="Arial" w:cs="Arial"/>
          <w:sz w:val="24"/>
          <w:szCs w:val="24"/>
        </w:rPr>
        <w:t>(</w:t>
      </w:r>
      <w:r>
        <w:rPr>
          <w:rFonts w:ascii="Arial" w:hAnsi="Arial" w:cs="Arial"/>
          <w:sz w:val="24"/>
          <w:szCs w:val="24"/>
        </w:rPr>
        <w:t>who have been providing education on elder abuse in the sector for some 20 years</w:t>
      </w:r>
      <w:r w:rsidR="00D25C37">
        <w:rPr>
          <w:rFonts w:ascii="Arial" w:hAnsi="Arial" w:cs="Arial"/>
          <w:sz w:val="24"/>
          <w:szCs w:val="24"/>
        </w:rPr>
        <w:t>)</w:t>
      </w:r>
      <w:r>
        <w:rPr>
          <w:rFonts w:ascii="Arial" w:hAnsi="Arial" w:cs="Arial"/>
          <w:sz w:val="24"/>
          <w:szCs w:val="24"/>
        </w:rPr>
        <w:t xml:space="preserve"> with a commitment to addressing its responsibilities in regards to elder abuse.  The </w:t>
      </w:r>
      <w:r w:rsidRPr="00386320">
        <w:rPr>
          <w:rFonts w:ascii="Arial" w:hAnsi="Arial" w:cs="Arial"/>
          <w:sz w:val="24"/>
          <w:szCs w:val="24"/>
        </w:rPr>
        <w:t>lack of transparency, reporting responsibilities, and resulting lack of data on elder abuse</w:t>
      </w:r>
      <w:r w:rsidR="009E4A00">
        <w:rPr>
          <w:rFonts w:ascii="Arial" w:hAnsi="Arial" w:cs="Arial"/>
          <w:sz w:val="24"/>
          <w:szCs w:val="24"/>
        </w:rPr>
        <w:t xml:space="preserve"> </w:t>
      </w:r>
      <w:r w:rsidR="00386320">
        <w:rPr>
          <w:rStyle w:val="FootnoteReference"/>
          <w:rFonts w:ascii="Arial" w:hAnsi="Arial" w:cs="Arial"/>
          <w:sz w:val="24"/>
          <w:szCs w:val="24"/>
        </w:rPr>
        <w:footnoteReference w:id="41"/>
      </w:r>
      <w:r w:rsidR="00386320">
        <w:rPr>
          <w:rFonts w:ascii="Arial" w:hAnsi="Arial" w:cs="Arial"/>
          <w:sz w:val="24"/>
          <w:szCs w:val="24"/>
        </w:rPr>
        <w:t xml:space="preserve"> </w:t>
      </w:r>
      <w:r w:rsidRPr="00386320">
        <w:rPr>
          <w:rFonts w:ascii="Arial" w:hAnsi="Arial" w:cs="Arial"/>
          <w:sz w:val="24"/>
          <w:szCs w:val="24"/>
        </w:rPr>
        <w:t>in this setting compounds th</w:t>
      </w:r>
      <w:r w:rsidR="00386320" w:rsidRPr="00386320">
        <w:rPr>
          <w:rFonts w:ascii="Arial" w:hAnsi="Arial" w:cs="Arial"/>
          <w:sz w:val="24"/>
          <w:szCs w:val="24"/>
        </w:rPr>
        <w:t xml:space="preserve">is issue. </w:t>
      </w:r>
      <w:r w:rsidRPr="00386320">
        <w:rPr>
          <w:rFonts w:ascii="Arial" w:hAnsi="Arial" w:cs="Arial"/>
          <w:sz w:val="24"/>
          <w:szCs w:val="24"/>
        </w:rPr>
        <w:t xml:space="preserve">    </w:t>
      </w:r>
    </w:p>
    <w:p w:rsidR="006D3709" w:rsidRDefault="006D3709" w:rsidP="00B600DF">
      <w:pPr>
        <w:spacing w:after="0" w:line="360" w:lineRule="auto"/>
        <w:rPr>
          <w:rFonts w:ascii="Arial" w:hAnsi="Arial" w:cs="Arial"/>
          <w:sz w:val="24"/>
          <w:szCs w:val="24"/>
        </w:rPr>
      </w:pPr>
    </w:p>
    <w:p w:rsidR="00386320" w:rsidRPr="00386320" w:rsidRDefault="003212B3" w:rsidP="00B600DF">
      <w:pPr>
        <w:spacing w:after="0" w:line="360" w:lineRule="auto"/>
        <w:rPr>
          <w:rStyle w:val="bodycopy1"/>
          <w:sz w:val="24"/>
          <w:szCs w:val="24"/>
        </w:rPr>
      </w:pPr>
      <w:r w:rsidRPr="00386320">
        <w:rPr>
          <w:rFonts w:ascii="Arial" w:hAnsi="Arial" w:cs="Arial"/>
          <w:sz w:val="24"/>
          <w:szCs w:val="24"/>
        </w:rPr>
        <w:t>Capacity Australia noted</w:t>
      </w:r>
      <w:r w:rsidR="00386320" w:rsidRPr="00386320">
        <w:rPr>
          <w:rFonts w:ascii="Arial" w:hAnsi="Arial" w:cs="Arial"/>
          <w:sz w:val="24"/>
          <w:szCs w:val="24"/>
        </w:rPr>
        <w:t xml:space="preserve"> </w:t>
      </w:r>
      <w:r w:rsidR="00386320" w:rsidRPr="00386320">
        <w:rPr>
          <w:rStyle w:val="bodycopy1"/>
          <w:sz w:val="24"/>
          <w:szCs w:val="24"/>
        </w:rPr>
        <w:t>Recommendation 9 of the NSW Legislative Council Report 44 on elder abuse:</w:t>
      </w:r>
    </w:p>
    <w:p w:rsidR="003212B3" w:rsidRPr="00386320" w:rsidRDefault="00386320" w:rsidP="00D25C37">
      <w:pPr>
        <w:spacing w:after="0" w:line="360" w:lineRule="auto"/>
        <w:ind w:left="720"/>
        <w:rPr>
          <w:rFonts w:ascii="Arial" w:hAnsi="Arial" w:cs="Arial"/>
          <w:i/>
          <w:sz w:val="24"/>
          <w:szCs w:val="24"/>
        </w:rPr>
      </w:pPr>
      <w:r w:rsidRPr="00386320">
        <w:rPr>
          <w:rStyle w:val="bodycopy1"/>
          <w:i/>
          <w:sz w:val="24"/>
          <w:szCs w:val="24"/>
        </w:rPr>
        <w:t>That the NSW Government fund the NSW Elder Abuse Helpline and Resource Unit to conduct information sessions with financial institutions to raise awareness of financial abuse and promote online training tools for staff such as Capacity Australia’s training program to identify financial abuse.   </w:t>
      </w:r>
    </w:p>
    <w:p w:rsidR="008A6807" w:rsidRDefault="00386320" w:rsidP="00B600DF">
      <w:pPr>
        <w:spacing w:after="0" w:line="360" w:lineRule="auto"/>
        <w:rPr>
          <w:rFonts w:ascii="Arial" w:hAnsi="Arial" w:cs="Arial"/>
          <w:sz w:val="24"/>
          <w:szCs w:val="24"/>
        </w:rPr>
      </w:pPr>
      <w:r>
        <w:rPr>
          <w:rFonts w:ascii="Arial" w:hAnsi="Arial" w:cs="Arial"/>
          <w:sz w:val="24"/>
          <w:szCs w:val="24"/>
        </w:rPr>
        <w:lastRenderedPageBreak/>
        <w:t xml:space="preserve">This recommendation needs to be </w:t>
      </w:r>
      <w:r w:rsidR="00D25C37">
        <w:rPr>
          <w:rFonts w:ascii="Arial" w:hAnsi="Arial" w:cs="Arial"/>
          <w:sz w:val="24"/>
          <w:szCs w:val="24"/>
        </w:rPr>
        <w:t xml:space="preserve">endorsed and </w:t>
      </w:r>
      <w:r>
        <w:rPr>
          <w:rFonts w:ascii="Arial" w:hAnsi="Arial" w:cs="Arial"/>
          <w:sz w:val="24"/>
          <w:szCs w:val="24"/>
        </w:rPr>
        <w:t xml:space="preserve">enforced nationally. </w:t>
      </w:r>
      <w:r w:rsidR="008A6807" w:rsidRPr="00386320">
        <w:rPr>
          <w:rFonts w:ascii="Arial" w:hAnsi="Arial" w:cs="Arial"/>
          <w:sz w:val="24"/>
          <w:szCs w:val="24"/>
        </w:rPr>
        <w:t>Capacity</w:t>
      </w:r>
      <w:r w:rsidR="008A6807" w:rsidRPr="005B38B5">
        <w:rPr>
          <w:rFonts w:ascii="Arial" w:hAnsi="Arial" w:cs="Arial"/>
          <w:sz w:val="24"/>
          <w:szCs w:val="24"/>
        </w:rPr>
        <w:t xml:space="preserve"> Australia</w:t>
      </w:r>
      <w:r w:rsidR="003212B3">
        <w:rPr>
          <w:rFonts w:ascii="Arial" w:hAnsi="Arial" w:cs="Arial"/>
          <w:sz w:val="24"/>
          <w:szCs w:val="24"/>
        </w:rPr>
        <w:t xml:space="preserve"> </w:t>
      </w:r>
      <w:r w:rsidR="008A6807" w:rsidRPr="005B38B5">
        <w:rPr>
          <w:rFonts w:ascii="Arial" w:hAnsi="Arial" w:cs="Arial"/>
          <w:sz w:val="24"/>
          <w:szCs w:val="24"/>
        </w:rPr>
        <w:t>recommends that both reporting AND</w:t>
      </w:r>
      <w:r w:rsidR="008A6807">
        <w:rPr>
          <w:rFonts w:ascii="Arial" w:hAnsi="Arial" w:cs="Arial"/>
          <w:sz w:val="24"/>
          <w:szCs w:val="24"/>
        </w:rPr>
        <w:t xml:space="preserve"> education </w:t>
      </w:r>
      <w:r w:rsidR="008A6807" w:rsidRPr="00660D77">
        <w:rPr>
          <w:rFonts w:ascii="Arial" w:hAnsi="Arial" w:cs="Arial"/>
          <w:sz w:val="24"/>
          <w:szCs w:val="24"/>
        </w:rPr>
        <w:t>requirements be imposed</w:t>
      </w:r>
      <w:r w:rsidR="008A6807">
        <w:rPr>
          <w:rFonts w:ascii="Arial" w:hAnsi="Arial" w:cs="Arial"/>
          <w:sz w:val="24"/>
          <w:szCs w:val="24"/>
        </w:rPr>
        <w:t>.</w:t>
      </w:r>
    </w:p>
    <w:p w:rsidR="006D3709" w:rsidRPr="00660D77" w:rsidRDefault="006D3709" w:rsidP="00B600DF">
      <w:pPr>
        <w:spacing w:after="0" w:line="360" w:lineRule="auto"/>
        <w:rPr>
          <w:rFonts w:ascii="Arial" w:hAnsi="Arial" w:cs="Arial"/>
          <w:sz w:val="24"/>
          <w:szCs w:val="24"/>
        </w:rPr>
      </w:pPr>
    </w:p>
    <w:p w:rsidR="006D3709" w:rsidRPr="006D3709" w:rsidRDefault="00B619CF" w:rsidP="006D3709">
      <w:pPr>
        <w:spacing w:line="360" w:lineRule="auto"/>
        <w:jc w:val="center"/>
        <w:rPr>
          <w:rFonts w:ascii="Arial" w:hAnsi="Arial" w:cs="Arial"/>
          <w:sz w:val="24"/>
          <w:szCs w:val="24"/>
        </w:rPr>
      </w:pPr>
      <w:r w:rsidRPr="006D3709">
        <w:rPr>
          <w:rFonts w:ascii="Arial" w:hAnsi="Arial" w:cs="Arial"/>
          <w:b/>
          <w:sz w:val="24"/>
          <w:szCs w:val="24"/>
        </w:rPr>
        <w:t>Appointed decision-makers</w:t>
      </w:r>
    </w:p>
    <w:p w:rsidR="006D3709" w:rsidRPr="001230F1" w:rsidRDefault="00B619CF" w:rsidP="001200A8">
      <w:pPr>
        <w:spacing w:after="0" w:line="360" w:lineRule="auto"/>
        <w:rPr>
          <w:rFonts w:ascii="Arial" w:hAnsi="Arial" w:cs="Arial"/>
          <w:b/>
          <w:sz w:val="24"/>
          <w:szCs w:val="24"/>
        </w:rPr>
      </w:pPr>
      <w:r w:rsidRPr="001230F1">
        <w:rPr>
          <w:rFonts w:ascii="Arial" w:hAnsi="Arial" w:cs="Arial"/>
          <w:b/>
          <w:sz w:val="24"/>
          <w:szCs w:val="24"/>
        </w:rPr>
        <w:t xml:space="preserve">Question 29 </w:t>
      </w:r>
      <w:proofErr w:type="gramStart"/>
      <w:r w:rsidRPr="001230F1">
        <w:rPr>
          <w:rFonts w:ascii="Arial" w:hAnsi="Arial" w:cs="Arial"/>
          <w:b/>
          <w:sz w:val="24"/>
          <w:szCs w:val="24"/>
        </w:rPr>
        <w:t>What</w:t>
      </w:r>
      <w:proofErr w:type="gramEnd"/>
      <w:r w:rsidRPr="001230F1">
        <w:rPr>
          <w:rFonts w:ascii="Arial" w:hAnsi="Arial" w:cs="Arial"/>
          <w:b/>
          <w:sz w:val="24"/>
          <w:szCs w:val="24"/>
        </w:rPr>
        <w:t xml:space="preserve"> evidence is there of elder abuse committed by people acting as appointed decision-makers under instruments such as powers of attorney? How might this type of abuse be prevented and redressed? </w:t>
      </w:r>
    </w:p>
    <w:p w:rsidR="009E4A00" w:rsidRDefault="00274A09" w:rsidP="001200A8">
      <w:pPr>
        <w:spacing w:after="0" w:line="360" w:lineRule="auto"/>
        <w:rPr>
          <w:rFonts w:ascii="Arial" w:hAnsi="Arial" w:cs="Arial"/>
          <w:sz w:val="24"/>
          <w:szCs w:val="24"/>
        </w:rPr>
      </w:pPr>
      <w:proofErr w:type="gramStart"/>
      <w:r w:rsidRPr="001230F1">
        <w:rPr>
          <w:rFonts w:ascii="Arial" w:hAnsi="Arial" w:cs="Arial"/>
          <w:sz w:val="24"/>
          <w:szCs w:val="24"/>
        </w:rPr>
        <w:t>Regular applications to tribunals with jurisdiction to review the making or operation of enduring power of attorney shows</w:t>
      </w:r>
      <w:proofErr w:type="gramEnd"/>
      <w:r w:rsidRPr="001230F1">
        <w:rPr>
          <w:rFonts w:ascii="Arial" w:hAnsi="Arial" w:cs="Arial"/>
          <w:sz w:val="24"/>
          <w:szCs w:val="24"/>
        </w:rPr>
        <w:t xml:space="preserve"> this. We recommend that the approach set out in the new Victorian power of attorney legislation</w:t>
      </w:r>
      <w:r w:rsidR="001230F1">
        <w:rPr>
          <w:rFonts w:ascii="Arial" w:hAnsi="Arial" w:cs="Arial"/>
          <w:sz w:val="24"/>
          <w:szCs w:val="24"/>
        </w:rPr>
        <w:t xml:space="preserve"> be adopted</w:t>
      </w:r>
      <w:r w:rsidRPr="001230F1">
        <w:rPr>
          <w:rFonts w:ascii="Arial" w:hAnsi="Arial" w:cs="Arial"/>
          <w:sz w:val="24"/>
          <w:szCs w:val="24"/>
        </w:rPr>
        <w:t xml:space="preserve">. </w:t>
      </w:r>
      <w:r w:rsidR="001200A8">
        <w:rPr>
          <w:rFonts w:ascii="Arial" w:hAnsi="Arial" w:cs="Arial"/>
          <w:sz w:val="24"/>
          <w:szCs w:val="24"/>
        </w:rPr>
        <w:t>We r</w:t>
      </w:r>
      <w:r w:rsidR="001230F1">
        <w:rPr>
          <w:rFonts w:ascii="Arial" w:hAnsi="Arial" w:cs="Arial"/>
          <w:sz w:val="24"/>
          <w:szCs w:val="24"/>
        </w:rPr>
        <w:t xml:space="preserve">efer to Capacity Australia’s </w:t>
      </w:r>
      <w:r w:rsidRPr="001230F1">
        <w:rPr>
          <w:rFonts w:ascii="Arial" w:hAnsi="Arial" w:cs="Arial"/>
          <w:sz w:val="24"/>
          <w:szCs w:val="24"/>
        </w:rPr>
        <w:t>submission to the NSW inquiry and advise that our suggestion was recommended by the Standing Committee.</w:t>
      </w:r>
      <w:r w:rsidR="001230F1">
        <w:rPr>
          <w:rStyle w:val="FootnoteReference"/>
          <w:rFonts w:ascii="Arial" w:hAnsi="Arial" w:cs="Arial"/>
          <w:sz w:val="24"/>
          <w:szCs w:val="24"/>
        </w:rPr>
        <w:footnoteReference w:id="42"/>
      </w:r>
      <w:r w:rsidRPr="001230F1">
        <w:rPr>
          <w:rFonts w:ascii="Arial" w:hAnsi="Arial" w:cs="Arial"/>
          <w:sz w:val="24"/>
          <w:szCs w:val="24"/>
        </w:rPr>
        <w:t xml:space="preserve"> </w:t>
      </w:r>
      <w:r w:rsidR="009E4A00">
        <w:rPr>
          <w:rFonts w:ascii="Arial" w:hAnsi="Arial" w:cs="Arial"/>
          <w:sz w:val="24"/>
          <w:szCs w:val="24"/>
        </w:rPr>
        <w:t>Specifically, we note that R</w:t>
      </w:r>
      <w:r w:rsidR="009E4A00" w:rsidRPr="009E4A00">
        <w:rPr>
          <w:rFonts w:ascii="Arial" w:hAnsi="Arial" w:cs="Arial"/>
          <w:sz w:val="24"/>
          <w:szCs w:val="24"/>
        </w:rPr>
        <w:t xml:space="preserve">ecommendation 7 </w:t>
      </w:r>
      <w:r w:rsidR="009E4A00">
        <w:rPr>
          <w:rFonts w:ascii="Arial" w:hAnsi="Arial" w:cs="Arial"/>
          <w:sz w:val="24"/>
          <w:szCs w:val="24"/>
        </w:rPr>
        <w:t>stated:</w:t>
      </w:r>
      <w:bookmarkStart w:id="0" w:name="_GoBack"/>
      <w:bookmarkEnd w:id="0"/>
    </w:p>
    <w:p w:rsidR="009E4A00" w:rsidRPr="009E4A00" w:rsidRDefault="009E4A00" w:rsidP="009E4A00">
      <w:pPr>
        <w:spacing w:after="0" w:line="360" w:lineRule="auto"/>
        <w:ind w:left="720"/>
        <w:rPr>
          <w:rFonts w:ascii="Arial" w:hAnsi="Arial" w:cs="Arial"/>
          <w:i/>
          <w:sz w:val="24"/>
          <w:szCs w:val="24"/>
        </w:rPr>
      </w:pPr>
      <w:r w:rsidRPr="009E4A00">
        <w:rPr>
          <w:rFonts w:ascii="Arial" w:hAnsi="Arial" w:cs="Arial"/>
          <w:i/>
          <w:sz w:val="24"/>
          <w:szCs w:val="24"/>
        </w:rPr>
        <w:t>That the NSW Government, as a priority, introduce legislation to amend the Powers of Attorney Act 2003 consistent with Victoria’s Powers of Attorney Act 2014, thereby significantly enhancing safeguards in respect of enduring powers of attorney.</w:t>
      </w:r>
    </w:p>
    <w:p w:rsidR="006D3709" w:rsidRPr="001230F1" w:rsidRDefault="00B619CF" w:rsidP="00B600DF">
      <w:pPr>
        <w:spacing w:after="0" w:line="360" w:lineRule="auto"/>
        <w:rPr>
          <w:rFonts w:ascii="Arial" w:hAnsi="Arial" w:cs="Arial"/>
          <w:b/>
          <w:sz w:val="24"/>
          <w:szCs w:val="24"/>
        </w:rPr>
      </w:pPr>
      <w:r w:rsidRPr="001230F1">
        <w:rPr>
          <w:rFonts w:ascii="Arial" w:hAnsi="Arial" w:cs="Arial"/>
          <w:b/>
          <w:sz w:val="24"/>
          <w:szCs w:val="24"/>
        </w:rPr>
        <w:t xml:space="preserve">Question 30 </w:t>
      </w:r>
      <w:proofErr w:type="gramStart"/>
      <w:r w:rsidRPr="001230F1">
        <w:rPr>
          <w:rFonts w:ascii="Arial" w:hAnsi="Arial" w:cs="Arial"/>
          <w:b/>
          <w:sz w:val="24"/>
          <w:szCs w:val="24"/>
        </w:rPr>
        <w:t>Should</w:t>
      </w:r>
      <w:proofErr w:type="gramEnd"/>
      <w:r w:rsidRPr="001230F1">
        <w:rPr>
          <w:rFonts w:ascii="Arial" w:hAnsi="Arial" w:cs="Arial"/>
          <w:b/>
          <w:sz w:val="24"/>
          <w:szCs w:val="24"/>
        </w:rPr>
        <w:t xml:space="preserve"> powers of attorney and other decision-making instruments be required to be registered to improve safeguards against elder abuse? If so, who should host and manage the register? </w:t>
      </w:r>
    </w:p>
    <w:p w:rsidR="00B619CF" w:rsidRPr="001230F1" w:rsidRDefault="00274A09" w:rsidP="00B600DF">
      <w:pPr>
        <w:spacing w:after="0" w:line="360" w:lineRule="auto"/>
        <w:rPr>
          <w:rFonts w:ascii="Arial" w:hAnsi="Arial" w:cs="Arial"/>
          <w:sz w:val="24"/>
          <w:szCs w:val="24"/>
        </w:rPr>
      </w:pPr>
      <w:r w:rsidRPr="001230F1">
        <w:rPr>
          <w:rFonts w:ascii="Arial" w:hAnsi="Arial" w:cs="Arial"/>
          <w:sz w:val="24"/>
          <w:szCs w:val="24"/>
        </w:rPr>
        <w:t xml:space="preserve">Recommendation at 29 will be </w:t>
      </w:r>
      <w:r w:rsidR="001230F1" w:rsidRPr="001230F1">
        <w:rPr>
          <w:rFonts w:ascii="Arial" w:hAnsi="Arial" w:cs="Arial"/>
          <w:sz w:val="24"/>
          <w:szCs w:val="24"/>
        </w:rPr>
        <w:t xml:space="preserve">a </w:t>
      </w:r>
      <w:r w:rsidRPr="001230F1">
        <w:rPr>
          <w:rFonts w:ascii="Arial" w:hAnsi="Arial" w:cs="Arial"/>
          <w:sz w:val="24"/>
          <w:szCs w:val="24"/>
        </w:rPr>
        <w:t>more effective</w:t>
      </w:r>
      <w:r w:rsidR="001230F1" w:rsidRPr="001230F1">
        <w:rPr>
          <w:rFonts w:ascii="Arial" w:hAnsi="Arial" w:cs="Arial"/>
          <w:sz w:val="24"/>
          <w:szCs w:val="24"/>
        </w:rPr>
        <w:t xml:space="preserve"> solution</w:t>
      </w:r>
      <w:r w:rsidRPr="001230F1">
        <w:rPr>
          <w:rFonts w:ascii="Arial" w:hAnsi="Arial" w:cs="Arial"/>
          <w:sz w:val="24"/>
          <w:szCs w:val="24"/>
        </w:rPr>
        <w:t xml:space="preserve">. Registration will have a chilling effect on the making of enduring powers of attorney leading to the </w:t>
      </w:r>
      <w:r w:rsidR="006D3709" w:rsidRPr="001230F1">
        <w:rPr>
          <w:rFonts w:ascii="Arial" w:hAnsi="Arial" w:cs="Arial"/>
          <w:sz w:val="24"/>
          <w:szCs w:val="24"/>
        </w:rPr>
        <w:t>n</w:t>
      </w:r>
      <w:r w:rsidRPr="001230F1">
        <w:rPr>
          <w:rFonts w:ascii="Arial" w:hAnsi="Arial" w:cs="Arial"/>
          <w:sz w:val="24"/>
          <w:szCs w:val="24"/>
        </w:rPr>
        <w:t xml:space="preserve">eed for more financial </w:t>
      </w:r>
      <w:r w:rsidR="00883A89" w:rsidRPr="001230F1">
        <w:rPr>
          <w:rFonts w:ascii="Arial" w:hAnsi="Arial" w:cs="Arial"/>
          <w:sz w:val="24"/>
          <w:szCs w:val="24"/>
        </w:rPr>
        <w:t>management (administration)</w:t>
      </w:r>
      <w:r w:rsidRPr="001230F1">
        <w:rPr>
          <w:rFonts w:ascii="Arial" w:hAnsi="Arial" w:cs="Arial"/>
          <w:sz w:val="24"/>
          <w:szCs w:val="24"/>
        </w:rPr>
        <w:t xml:space="preserve"> orders </w:t>
      </w:r>
      <w:r w:rsidR="00883A89" w:rsidRPr="001230F1">
        <w:rPr>
          <w:rFonts w:ascii="Arial" w:hAnsi="Arial" w:cs="Arial"/>
          <w:sz w:val="24"/>
          <w:szCs w:val="24"/>
        </w:rPr>
        <w:t>and a</w:t>
      </w:r>
      <w:r w:rsidR="001230F1">
        <w:rPr>
          <w:rFonts w:ascii="Arial" w:hAnsi="Arial" w:cs="Arial"/>
          <w:sz w:val="24"/>
          <w:szCs w:val="24"/>
        </w:rPr>
        <w:t>n</w:t>
      </w:r>
      <w:r w:rsidR="00883A89" w:rsidRPr="001230F1">
        <w:rPr>
          <w:rFonts w:ascii="Arial" w:hAnsi="Arial" w:cs="Arial"/>
          <w:sz w:val="24"/>
          <w:szCs w:val="24"/>
        </w:rPr>
        <w:t xml:space="preserve"> increase in the inappropriate misuse of elderly persons’ money. </w:t>
      </w:r>
      <w:r w:rsidR="001230F1">
        <w:rPr>
          <w:rFonts w:ascii="Arial" w:hAnsi="Arial" w:cs="Arial"/>
          <w:sz w:val="24"/>
          <w:szCs w:val="24"/>
        </w:rPr>
        <w:t xml:space="preserve">We note that </w:t>
      </w:r>
      <w:r w:rsidR="00883A89" w:rsidRPr="001230F1">
        <w:rPr>
          <w:rFonts w:ascii="Arial" w:hAnsi="Arial" w:cs="Arial"/>
          <w:sz w:val="24"/>
          <w:szCs w:val="24"/>
        </w:rPr>
        <w:t>in Vic</w:t>
      </w:r>
      <w:r w:rsidR="001230F1">
        <w:rPr>
          <w:rFonts w:ascii="Arial" w:hAnsi="Arial" w:cs="Arial"/>
          <w:sz w:val="24"/>
          <w:szCs w:val="24"/>
        </w:rPr>
        <w:t xml:space="preserve">toria the attorney is advised of their </w:t>
      </w:r>
      <w:r w:rsidR="00883A89" w:rsidRPr="001230F1">
        <w:rPr>
          <w:rFonts w:ascii="Arial" w:hAnsi="Arial" w:cs="Arial"/>
          <w:sz w:val="24"/>
          <w:szCs w:val="24"/>
        </w:rPr>
        <w:t xml:space="preserve">obligations </w:t>
      </w:r>
      <w:r w:rsidR="001230F1">
        <w:rPr>
          <w:rFonts w:ascii="Arial" w:hAnsi="Arial" w:cs="Arial"/>
          <w:sz w:val="24"/>
          <w:szCs w:val="24"/>
        </w:rPr>
        <w:t xml:space="preserve">and has to </w:t>
      </w:r>
      <w:r w:rsidR="00883A89" w:rsidRPr="001230F1">
        <w:rPr>
          <w:rFonts w:ascii="Arial" w:hAnsi="Arial" w:cs="Arial"/>
          <w:sz w:val="24"/>
          <w:szCs w:val="24"/>
        </w:rPr>
        <w:t>agree to comply with the</w:t>
      </w:r>
      <w:r w:rsidR="001230F1">
        <w:rPr>
          <w:rFonts w:ascii="Arial" w:hAnsi="Arial" w:cs="Arial"/>
          <w:sz w:val="24"/>
          <w:szCs w:val="24"/>
        </w:rPr>
        <w:t>se obligations before being appointed as an</w:t>
      </w:r>
      <w:r w:rsidR="00883A89" w:rsidRPr="001230F1">
        <w:rPr>
          <w:rFonts w:ascii="Arial" w:hAnsi="Arial" w:cs="Arial"/>
          <w:sz w:val="24"/>
          <w:szCs w:val="24"/>
        </w:rPr>
        <w:t xml:space="preserve"> enduring attorney. Also </w:t>
      </w:r>
      <w:r w:rsidR="001230F1">
        <w:rPr>
          <w:rFonts w:ascii="Arial" w:hAnsi="Arial" w:cs="Arial"/>
          <w:sz w:val="24"/>
          <w:szCs w:val="24"/>
        </w:rPr>
        <w:t xml:space="preserve">the attorney </w:t>
      </w:r>
      <w:r w:rsidR="00883A89" w:rsidRPr="001230F1">
        <w:rPr>
          <w:rFonts w:ascii="Arial" w:hAnsi="Arial" w:cs="Arial"/>
          <w:sz w:val="24"/>
          <w:szCs w:val="24"/>
        </w:rPr>
        <w:t>become</w:t>
      </w:r>
      <w:r w:rsidR="001230F1">
        <w:rPr>
          <w:rFonts w:ascii="Arial" w:hAnsi="Arial" w:cs="Arial"/>
          <w:sz w:val="24"/>
          <w:szCs w:val="24"/>
        </w:rPr>
        <w:t>s</w:t>
      </w:r>
      <w:r w:rsidR="00883A89" w:rsidRPr="001230F1">
        <w:rPr>
          <w:rFonts w:ascii="Arial" w:hAnsi="Arial" w:cs="Arial"/>
          <w:sz w:val="24"/>
          <w:szCs w:val="24"/>
        </w:rPr>
        <w:t xml:space="preserve"> liable to pay compensation </w:t>
      </w:r>
      <w:r w:rsidR="009E4A00">
        <w:rPr>
          <w:rFonts w:ascii="Arial" w:hAnsi="Arial" w:cs="Arial"/>
          <w:sz w:val="24"/>
          <w:szCs w:val="24"/>
        </w:rPr>
        <w:t>for</w:t>
      </w:r>
      <w:r w:rsidR="00883A89" w:rsidRPr="001230F1">
        <w:rPr>
          <w:rFonts w:ascii="Arial" w:hAnsi="Arial" w:cs="Arial"/>
          <w:sz w:val="24"/>
          <w:szCs w:val="24"/>
        </w:rPr>
        <w:t xml:space="preserve"> losses of the principal’s property caused by the attorney. </w:t>
      </w:r>
    </w:p>
    <w:p w:rsidR="009E4A00" w:rsidRDefault="009E4A00" w:rsidP="00B600DF">
      <w:pPr>
        <w:spacing w:after="0" w:line="360" w:lineRule="auto"/>
        <w:rPr>
          <w:rFonts w:ascii="Arial" w:hAnsi="Arial" w:cs="Arial"/>
          <w:sz w:val="24"/>
          <w:szCs w:val="24"/>
        </w:rPr>
      </w:pPr>
    </w:p>
    <w:p w:rsidR="009E4A00" w:rsidRPr="009E4A00" w:rsidRDefault="00B619CF" w:rsidP="00B600DF">
      <w:pPr>
        <w:spacing w:after="0" w:line="360" w:lineRule="auto"/>
        <w:rPr>
          <w:rFonts w:ascii="Arial" w:hAnsi="Arial" w:cs="Arial"/>
          <w:b/>
          <w:sz w:val="24"/>
          <w:szCs w:val="24"/>
        </w:rPr>
      </w:pPr>
      <w:r w:rsidRPr="009E4A00">
        <w:rPr>
          <w:rFonts w:ascii="Arial" w:hAnsi="Arial" w:cs="Arial"/>
          <w:b/>
          <w:sz w:val="24"/>
          <w:szCs w:val="24"/>
        </w:rPr>
        <w:lastRenderedPageBreak/>
        <w:t>Question 31 Should the statutory duties of attorneys and other appointed decision-makers be expanded to give them a greater role in protecting older people from abuse by others?</w:t>
      </w:r>
      <w:r w:rsidR="004020D9" w:rsidRPr="009E4A00">
        <w:rPr>
          <w:rFonts w:ascii="Arial" w:hAnsi="Arial" w:cs="Arial"/>
          <w:b/>
          <w:sz w:val="24"/>
          <w:szCs w:val="24"/>
        </w:rPr>
        <w:t xml:space="preserve"> </w:t>
      </w:r>
    </w:p>
    <w:p w:rsidR="00B619CF" w:rsidRPr="009E4A00" w:rsidRDefault="004020D9" w:rsidP="00B600DF">
      <w:pPr>
        <w:spacing w:after="0" w:line="360" w:lineRule="auto"/>
        <w:rPr>
          <w:rFonts w:ascii="Arial" w:hAnsi="Arial" w:cs="Arial"/>
          <w:sz w:val="24"/>
          <w:szCs w:val="24"/>
        </w:rPr>
      </w:pPr>
      <w:r w:rsidRPr="009E4A00">
        <w:rPr>
          <w:rFonts w:ascii="Arial" w:hAnsi="Arial" w:cs="Arial"/>
          <w:sz w:val="24"/>
          <w:szCs w:val="24"/>
        </w:rPr>
        <w:t xml:space="preserve">Enduring attorneys already have standing to sue on behalf of principals who have lost the capacity to intervene to stop them from doing so. There are risks as attorneys suing are suing personally as next friends and are personally liable for costs if they lose. Also there are chilling factors such as the person having to be sued </w:t>
      </w:r>
      <w:r w:rsidR="00A10557">
        <w:rPr>
          <w:rFonts w:ascii="Arial" w:hAnsi="Arial" w:cs="Arial"/>
          <w:sz w:val="24"/>
          <w:szCs w:val="24"/>
        </w:rPr>
        <w:t xml:space="preserve">is often </w:t>
      </w:r>
      <w:r w:rsidRPr="009E4A00">
        <w:rPr>
          <w:rFonts w:ascii="Arial" w:hAnsi="Arial" w:cs="Arial"/>
          <w:sz w:val="24"/>
          <w:szCs w:val="24"/>
        </w:rPr>
        <w:t>a close relative of the attorney</w:t>
      </w:r>
      <w:r w:rsidR="009E4A00" w:rsidRPr="009E4A00">
        <w:rPr>
          <w:rFonts w:ascii="Arial" w:hAnsi="Arial" w:cs="Arial"/>
          <w:sz w:val="24"/>
          <w:szCs w:val="24"/>
        </w:rPr>
        <w:t>.</w:t>
      </w:r>
      <w:r w:rsidRPr="009E4A00">
        <w:rPr>
          <w:rFonts w:ascii="Arial" w:hAnsi="Arial" w:cs="Arial"/>
          <w:sz w:val="24"/>
          <w:szCs w:val="24"/>
        </w:rPr>
        <w:t xml:space="preserve"> </w:t>
      </w:r>
    </w:p>
    <w:p w:rsidR="009E4A00" w:rsidRPr="009E4A00" w:rsidRDefault="00B619CF" w:rsidP="00B600DF">
      <w:pPr>
        <w:spacing w:after="0" w:line="360" w:lineRule="auto"/>
        <w:rPr>
          <w:rFonts w:ascii="Arial" w:hAnsi="Arial" w:cs="Arial"/>
          <w:b/>
          <w:sz w:val="24"/>
          <w:szCs w:val="24"/>
        </w:rPr>
      </w:pPr>
      <w:r w:rsidRPr="006D3709">
        <w:rPr>
          <w:rFonts w:ascii="Arial" w:hAnsi="Arial" w:cs="Arial"/>
          <w:sz w:val="24"/>
          <w:szCs w:val="24"/>
        </w:rPr>
        <w:t xml:space="preserve"> </w:t>
      </w:r>
      <w:r w:rsidRPr="009E4A00">
        <w:rPr>
          <w:rFonts w:ascii="Arial" w:hAnsi="Arial" w:cs="Arial"/>
          <w:b/>
          <w:sz w:val="24"/>
          <w:szCs w:val="24"/>
        </w:rPr>
        <w:t xml:space="preserve">Question 32 </w:t>
      </w:r>
      <w:proofErr w:type="gramStart"/>
      <w:r w:rsidRPr="009E4A00">
        <w:rPr>
          <w:rFonts w:ascii="Arial" w:hAnsi="Arial" w:cs="Arial"/>
          <w:b/>
          <w:sz w:val="24"/>
          <w:szCs w:val="24"/>
        </w:rPr>
        <w:t>What</w:t>
      </w:r>
      <w:proofErr w:type="gramEnd"/>
      <w:r w:rsidRPr="009E4A00">
        <w:rPr>
          <w:rFonts w:ascii="Arial" w:hAnsi="Arial" w:cs="Arial"/>
          <w:b/>
          <w:sz w:val="24"/>
          <w:szCs w:val="24"/>
        </w:rPr>
        <w:t xml:space="preserve"> evidence is there of elder abuse by guardians and administrators? How might this type of abuse be prevented and redressed? </w:t>
      </w:r>
    </w:p>
    <w:p w:rsidR="00660D77" w:rsidRPr="009E4A00" w:rsidRDefault="009E4A00" w:rsidP="00B600DF">
      <w:pPr>
        <w:spacing w:after="0" w:line="360" w:lineRule="auto"/>
        <w:rPr>
          <w:rFonts w:ascii="Arial" w:hAnsi="Arial" w:cs="Arial"/>
          <w:sz w:val="24"/>
          <w:szCs w:val="24"/>
        </w:rPr>
      </w:pPr>
      <w:r w:rsidRPr="009E4A00">
        <w:rPr>
          <w:rFonts w:ascii="Arial" w:hAnsi="Arial" w:cs="Arial"/>
          <w:sz w:val="24"/>
          <w:szCs w:val="24"/>
        </w:rPr>
        <w:t xml:space="preserve">Capacity Australia </w:t>
      </w:r>
      <w:proofErr w:type="gramStart"/>
      <w:r w:rsidRPr="009E4A00">
        <w:rPr>
          <w:rFonts w:ascii="Arial" w:hAnsi="Arial" w:cs="Arial"/>
          <w:sz w:val="24"/>
          <w:szCs w:val="24"/>
        </w:rPr>
        <w:t>suggest</w:t>
      </w:r>
      <w:proofErr w:type="gramEnd"/>
      <w:r w:rsidRPr="009E4A00">
        <w:rPr>
          <w:rFonts w:ascii="Arial" w:hAnsi="Arial" w:cs="Arial"/>
          <w:sz w:val="24"/>
          <w:szCs w:val="24"/>
        </w:rPr>
        <w:t xml:space="preserve"> that such information may be sought from </w:t>
      </w:r>
      <w:r w:rsidR="004020D9" w:rsidRPr="009E4A00">
        <w:rPr>
          <w:rFonts w:ascii="Arial" w:hAnsi="Arial" w:cs="Arial"/>
          <w:sz w:val="24"/>
          <w:szCs w:val="24"/>
        </w:rPr>
        <w:t>the tribunals and court in each jurisdiction which have the relevant “guardianship” legislation.</w:t>
      </w:r>
    </w:p>
    <w:p w:rsidR="009E4A00" w:rsidRDefault="009E4A00" w:rsidP="001230F1">
      <w:pPr>
        <w:spacing w:after="0" w:line="360" w:lineRule="auto"/>
        <w:jc w:val="center"/>
        <w:rPr>
          <w:rFonts w:ascii="Arial" w:hAnsi="Arial" w:cs="Arial"/>
          <w:sz w:val="24"/>
          <w:szCs w:val="24"/>
        </w:rPr>
      </w:pPr>
    </w:p>
    <w:p w:rsidR="001230F1" w:rsidRPr="009E4A00" w:rsidRDefault="001230F1" w:rsidP="001230F1">
      <w:pPr>
        <w:spacing w:after="0" w:line="360" w:lineRule="auto"/>
        <w:jc w:val="center"/>
        <w:rPr>
          <w:rFonts w:ascii="Arial" w:hAnsi="Arial" w:cs="Arial"/>
          <w:b/>
          <w:sz w:val="24"/>
          <w:szCs w:val="24"/>
        </w:rPr>
      </w:pPr>
      <w:r w:rsidRPr="009E4A00">
        <w:rPr>
          <w:rFonts w:ascii="Arial" w:hAnsi="Arial" w:cs="Arial"/>
          <w:b/>
          <w:sz w:val="24"/>
          <w:szCs w:val="24"/>
        </w:rPr>
        <w:t xml:space="preserve">Public advocates </w:t>
      </w:r>
    </w:p>
    <w:p w:rsidR="001230F1" w:rsidRPr="009E4A00" w:rsidRDefault="00B619CF" w:rsidP="00B600DF">
      <w:pPr>
        <w:spacing w:after="0" w:line="360" w:lineRule="auto"/>
        <w:rPr>
          <w:rFonts w:ascii="Arial" w:hAnsi="Arial" w:cs="Arial"/>
          <w:b/>
          <w:sz w:val="24"/>
          <w:szCs w:val="24"/>
        </w:rPr>
      </w:pPr>
      <w:r w:rsidRPr="009E4A00">
        <w:rPr>
          <w:rFonts w:ascii="Arial" w:hAnsi="Arial" w:cs="Arial"/>
          <w:b/>
          <w:sz w:val="24"/>
          <w:szCs w:val="24"/>
        </w:rPr>
        <w:t xml:space="preserve">Question 33 </w:t>
      </w:r>
      <w:proofErr w:type="gramStart"/>
      <w:r w:rsidRPr="009E4A00">
        <w:rPr>
          <w:rFonts w:ascii="Arial" w:hAnsi="Arial" w:cs="Arial"/>
          <w:b/>
          <w:sz w:val="24"/>
          <w:szCs w:val="24"/>
        </w:rPr>
        <w:t>What</w:t>
      </w:r>
      <w:proofErr w:type="gramEnd"/>
      <w:r w:rsidRPr="009E4A00">
        <w:rPr>
          <w:rFonts w:ascii="Arial" w:hAnsi="Arial" w:cs="Arial"/>
          <w:b/>
          <w:sz w:val="24"/>
          <w:szCs w:val="24"/>
        </w:rPr>
        <w:t xml:space="preserve"> role should public advocates play in investigating and responding to elder abuse? </w:t>
      </w:r>
    </w:p>
    <w:p w:rsidR="00B619CF" w:rsidRPr="00660D77" w:rsidRDefault="004020D9" w:rsidP="00B600DF">
      <w:pPr>
        <w:spacing w:after="0" w:line="360" w:lineRule="auto"/>
        <w:rPr>
          <w:rFonts w:ascii="Arial" w:hAnsi="Arial" w:cs="Arial"/>
          <w:sz w:val="24"/>
          <w:szCs w:val="24"/>
        </w:rPr>
      </w:pPr>
      <w:r>
        <w:rPr>
          <w:rFonts w:ascii="Arial" w:hAnsi="Arial" w:cs="Arial"/>
          <w:sz w:val="24"/>
          <w:szCs w:val="24"/>
        </w:rPr>
        <w:t xml:space="preserve">The Public Advocates without this power </w:t>
      </w:r>
      <w:r w:rsidR="005064B6">
        <w:rPr>
          <w:rFonts w:ascii="Arial" w:hAnsi="Arial" w:cs="Arial"/>
          <w:sz w:val="24"/>
          <w:szCs w:val="24"/>
        </w:rPr>
        <w:t>should be given it together with</w:t>
      </w:r>
      <w:r>
        <w:rPr>
          <w:rFonts w:ascii="Arial" w:hAnsi="Arial" w:cs="Arial"/>
          <w:sz w:val="24"/>
          <w:szCs w:val="24"/>
        </w:rPr>
        <w:t xml:space="preserve"> the resources to carry out the</w:t>
      </w:r>
      <w:r w:rsidR="005064B6">
        <w:rPr>
          <w:rFonts w:ascii="Arial" w:hAnsi="Arial" w:cs="Arial"/>
          <w:sz w:val="24"/>
          <w:szCs w:val="24"/>
        </w:rPr>
        <w:t xml:space="preserve"> necessary</w:t>
      </w:r>
      <w:r>
        <w:rPr>
          <w:rFonts w:ascii="Arial" w:hAnsi="Arial" w:cs="Arial"/>
          <w:sz w:val="24"/>
          <w:szCs w:val="24"/>
        </w:rPr>
        <w:t xml:space="preserve"> investigations. However, often the money will </w:t>
      </w:r>
      <w:r w:rsidR="005064B6">
        <w:rPr>
          <w:rFonts w:ascii="Arial" w:hAnsi="Arial" w:cs="Arial"/>
          <w:sz w:val="24"/>
          <w:szCs w:val="24"/>
        </w:rPr>
        <w:t xml:space="preserve">be unrecoverable, having been spent by persons without resources. Personal property may have been sold and the cash obtained spent and the purchaser may well be a bona fide purchaser for value without actual or constructive notice. Real property may be unrecoverable for the same sorts of reasons together with the indefeasibility protections for bona fide </w:t>
      </w:r>
      <w:r w:rsidR="000D68ED">
        <w:rPr>
          <w:rFonts w:ascii="Arial" w:hAnsi="Arial" w:cs="Arial"/>
          <w:sz w:val="24"/>
          <w:szCs w:val="24"/>
        </w:rPr>
        <w:t>purchasers</w:t>
      </w:r>
      <w:r w:rsidR="005064B6">
        <w:rPr>
          <w:rFonts w:ascii="Arial" w:hAnsi="Arial" w:cs="Arial"/>
          <w:sz w:val="24"/>
          <w:szCs w:val="24"/>
        </w:rPr>
        <w:t xml:space="preserve"> for value without </w:t>
      </w:r>
      <w:r w:rsidR="000D68ED">
        <w:rPr>
          <w:rFonts w:ascii="Arial" w:hAnsi="Arial" w:cs="Arial"/>
          <w:sz w:val="24"/>
          <w:szCs w:val="24"/>
        </w:rPr>
        <w:t>notice</w:t>
      </w:r>
      <w:r w:rsidR="005064B6">
        <w:rPr>
          <w:rFonts w:ascii="Arial" w:hAnsi="Arial" w:cs="Arial"/>
          <w:sz w:val="24"/>
          <w:szCs w:val="24"/>
        </w:rPr>
        <w:t xml:space="preserve"> and the </w:t>
      </w:r>
      <w:r w:rsidR="000D68ED">
        <w:rPr>
          <w:rFonts w:ascii="Arial" w:hAnsi="Arial" w:cs="Arial"/>
          <w:sz w:val="24"/>
          <w:szCs w:val="24"/>
        </w:rPr>
        <w:t>law relating</w:t>
      </w:r>
      <w:r w:rsidR="005064B6">
        <w:rPr>
          <w:rFonts w:ascii="Arial" w:hAnsi="Arial" w:cs="Arial"/>
          <w:sz w:val="24"/>
          <w:szCs w:val="24"/>
        </w:rPr>
        <w:t xml:space="preserve"> to </w:t>
      </w:r>
      <w:r w:rsidR="000D68ED">
        <w:rPr>
          <w:rFonts w:ascii="Arial" w:hAnsi="Arial" w:cs="Arial"/>
          <w:sz w:val="24"/>
          <w:szCs w:val="24"/>
        </w:rPr>
        <w:t xml:space="preserve">fixtures. </w:t>
      </w:r>
    </w:p>
    <w:p w:rsidR="00B619CF" w:rsidRPr="006D3709" w:rsidRDefault="00B619CF" w:rsidP="006D3709">
      <w:pPr>
        <w:spacing w:line="360" w:lineRule="auto"/>
        <w:jc w:val="center"/>
        <w:rPr>
          <w:rFonts w:ascii="Arial" w:hAnsi="Arial" w:cs="Arial"/>
          <w:b/>
          <w:sz w:val="24"/>
          <w:szCs w:val="24"/>
        </w:rPr>
      </w:pPr>
      <w:r w:rsidRPr="006D3709">
        <w:rPr>
          <w:rFonts w:ascii="Arial" w:hAnsi="Arial" w:cs="Arial"/>
          <w:b/>
          <w:sz w:val="24"/>
          <w:szCs w:val="24"/>
        </w:rPr>
        <w:t>Health services</w:t>
      </w:r>
    </w:p>
    <w:p w:rsidR="00B619CF" w:rsidRPr="009278A5" w:rsidRDefault="00B619CF" w:rsidP="00B600DF">
      <w:pPr>
        <w:spacing w:after="0" w:line="360" w:lineRule="auto"/>
        <w:rPr>
          <w:rFonts w:ascii="Arial" w:hAnsi="Arial" w:cs="Arial"/>
          <w:b/>
          <w:sz w:val="24"/>
          <w:szCs w:val="24"/>
        </w:rPr>
      </w:pPr>
      <w:r w:rsidRPr="009278A5">
        <w:rPr>
          <w:rFonts w:ascii="Arial" w:hAnsi="Arial" w:cs="Arial"/>
          <w:b/>
          <w:sz w:val="24"/>
          <w:szCs w:val="24"/>
        </w:rPr>
        <w:t xml:space="preserve">Question 35 </w:t>
      </w:r>
      <w:proofErr w:type="gramStart"/>
      <w:r w:rsidRPr="009278A5">
        <w:rPr>
          <w:rFonts w:ascii="Arial" w:hAnsi="Arial" w:cs="Arial"/>
          <w:b/>
          <w:sz w:val="24"/>
          <w:szCs w:val="24"/>
        </w:rPr>
        <w:t>How</w:t>
      </w:r>
      <w:proofErr w:type="gramEnd"/>
      <w:r w:rsidRPr="009278A5">
        <w:rPr>
          <w:rFonts w:ascii="Arial" w:hAnsi="Arial" w:cs="Arial"/>
          <w:b/>
          <w:sz w:val="24"/>
          <w:szCs w:val="24"/>
        </w:rPr>
        <w:t xml:space="preserve"> can the role that health professionals play in identifying and responding to elder abuse be improved?</w:t>
      </w:r>
    </w:p>
    <w:p w:rsidR="006C7ED7" w:rsidRDefault="006C7ED7" w:rsidP="00B600DF">
      <w:pPr>
        <w:spacing w:after="0" w:line="360" w:lineRule="auto"/>
        <w:rPr>
          <w:rFonts w:ascii="Arial" w:hAnsi="Arial" w:cs="Arial"/>
          <w:sz w:val="24"/>
          <w:szCs w:val="24"/>
        </w:rPr>
      </w:pPr>
      <w:proofErr w:type="gramStart"/>
      <w:r>
        <w:rPr>
          <w:rFonts w:ascii="Arial" w:hAnsi="Arial" w:cs="Arial"/>
          <w:sz w:val="24"/>
          <w:szCs w:val="24"/>
          <w:lang w:val="en-US"/>
        </w:rPr>
        <w:t xml:space="preserve">In submissions </w:t>
      </w:r>
      <w:r w:rsidR="00905628">
        <w:rPr>
          <w:rFonts w:ascii="Arial" w:hAnsi="Arial" w:cs="Arial"/>
          <w:sz w:val="24"/>
          <w:szCs w:val="24"/>
          <w:lang w:val="en-US"/>
        </w:rPr>
        <w:t xml:space="preserve">to the </w:t>
      </w:r>
      <w:r w:rsidR="00905628" w:rsidRPr="000B36D6">
        <w:rPr>
          <w:rFonts w:ascii="Arial" w:hAnsi="Arial" w:cs="Arial"/>
          <w:sz w:val="24"/>
          <w:szCs w:val="24"/>
        </w:rPr>
        <w:t>NSW Parliament Legislative Council.</w:t>
      </w:r>
      <w:proofErr w:type="gramEnd"/>
      <w:r w:rsidR="00905628" w:rsidRPr="000B36D6">
        <w:rPr>
          <w:rFonts w:ascii="Arial" w:hAnsi="Arial" w:cs="Arial"/>
          <w:sz w:val="24"/>
          <w:szCs w:val="24"/>
        </w:rPr>
        <w:t xml:space="preserve"> General Purpose Standing Committee No. 2 Elder abuse </w:t>
      </w:r>
      <w:r>
        <w:rPr>
          <w:rFonts w:ascii="Arial" w:hAnsi="Arial" w:cs="Arial"/>
          <w:sz w:val="24"/>
          <w:szCs w:val="24"/>
          <w:lang w:val="en-US"/>
        </w:rPr>
        <w:t xml:space="preserve">NSW </w:t>
      </w:r>
      <w:r w:rsidR="00905628">
        <w:rPr>
          <w:rFonts w:ascii="Arial" w:hAnsi="Arial" w:cs="Arial"/>
          <w:sz w:val="24"/>
          <w:szCs w:val="24"/>
          <w:lang w:val="en-US"/>
        </w:rPr>
        <w:t xml:space="preserve">(e.g. see 5.11) Capacity Australia noted the lack of awareness </w:t>
      </w:r>
      <w:r w:rsidR="006D3709">
        <w:rPr>
          <w:rFonts w:ascii="Arial" w:hAnsi="Arial" w:cs="Arial"/>
          <w:sz w:val="24"/>
          <w:szCs w:val="24"/>
          <w:lang w:val="en-US"/>
        </w:rPr>
        <w:t xml:space="preserve">shown by </w:t>
      </w:r>
      <w:r w:rsidR="00905628">
        <w:rPr>
          <w:rFonts w:ascii="Arial" w:hAnsi="Arial" w:cs="Arial"/>
          <w:sz w:val="24"/>
          <w:szCs w:val="24"/>
          <w:lang w:val="en-US"/>
        </w:rPr>
        <w:t xml:space="preserve">health professionals regarding their responsibilities in regards to identifying and responding to elder abuse. Few policies and guidelines exist, and there is little or no awareness of those </w:t>
      </w:r>
      <w:r w:rsidR="002D3654">
        <w:rPr>
          <w:rFonts w:ascii="Arial" w:hAnsi="Arial" w:cs="Arial"/>
          <w:sz w:val="24"/>
          <w:szCs w:val="24"/>
          <w:lang w:val="en-US"/>
        </w:rPr>
        <w:t xml:space="preserve">policies </w:t>
      </w:r>
      <w:r w:rsidR="00905628">
        <w:rPr>
          <w:rFonts w:ascii="Arial" w:hAnsi="Arial" w:cs="Arial"/>
          <w:sz w:val="24"/>
          <w:szCs w:val="24"/>
          <w:lang w:val="en-US"/>
        </w:rPr>
        <w:t>that do</w:t>
      </w:r>
      <w:r w:rsidR="002D3654">
        <w:rPr>
          <w:rFonts w:ascii="Arial" w:hAnsi="Arial" w:cs="Arial"/>
          <w:sz w:val="24"/>
          <w:szCs w:val="24"/>
          <w:lang w:val="en-US"/>
        </w:rPr>
        <w:t xml:space="preserve"> exist</w:t>
      </w:r>
      <w:r w:rsidR="00905628">
        <w:rPr>
          <w:rFonts w:ascii="Arial" w:hAnsi="Arial" w:cs="Arial"/>
          <w:sz w:val="24"/>
          <w:szCs w:val="24"/>
          <w:lang w:val="en-US"/>
        </w:rPr>
        <w:t>.</w:t>
      </w:r>
      <w:r w:rsidR="002D3654">
        <w:rPr>
          <w:rFonts w:ascii="Arial" w:hAnsi="Arial" w:cs="Arial"/>
          <w:sz w:val="24"/>
          <w:szCs w:val="24"/>
          <w:lang w:val="en-US"/>
        </w:rPr>
        <w:t xml:space="preserve"> An example </w:t>
      </w:r>
      <w:r w:rsidR="00D25C37">
        <w:rPr>
          <w:rFonts w:ascii="Arial" w:hAnsi="Arial" w:cs="Arial"/>
          <w:sz w:val="24"/>
          <w:szCs w:val="24"/>
          <w:lang w:val="en-US"/>
        </w:rPr>
        <w:t xml:space="preserve">of such a Policy is </w:t>
      </w:r>
      <w:r>
        <w:rPr>
          <w:rFonts w:ascii="Arial" w:hAnsi="Arial" w:cs="Arial"/>
          <w:sz w:val="24"/>
          <w:szCs w:val="24"/>
          <w:lang w:val="en-US"/>
        </w:rPr>
        <w:t>t</w:t>
      </w:r>
      <w:r w:rsidR="00443780" w:rsidRPr="006C7ED7">
        <w:rPr>
          <w:rFonts w:ascii="Arial" w:hAnsi="Arial" w:cs="Arial"/>
          <w:sz w:val="24"/>
          <w:szCs w:val="24"/>
          <w:lang w:val="en-US"/>
        </w:rPr>
        <w:t xml:space="preserve">he </w:t>
      </w:r>
      <w:r w:rsidR="00443780" w:rsidRPr="006C7ED7">
        <w:rPr>
          <w:rFonts w:ascii="Arial" w:hAnsi="Arial" w:cs="Arial"/>
          <w:sz w:val="24"/>
          <w:szCs w:val="24"/>
        </w:rPr>
        <w:t xml:space="preserve">2014 Family and Community Services </w:t>
      </w:r>
      <w:r w:rsidR="00443780" w:rsidRPr="006C7ED7">
        <w:rPr>
          <w:rFonts w:ascii="Arial" w:hAnsi="Arial" w:cs="Arial"/>
          <w:sz w:val="24"/>
          <w:szCs w:val="24"/>
        </w:rPr>
        <w:lastRenderedPageBreak/>
        <w:t xml:space="preserve">Interagency Policy Preventing and Responding to Abuse of Older People </w:t>
      </w:r>
      <w:r w:rsidR="002D3654">
        <w:rPr>
          <w:rFonts w:ascii="Arial" w:hAnsi="Arial" w:cs="Arial"/>
          <w:sz w:val="24"/>
          <w:szCs w:val="24"/>
        </w:rPr>
        <w:t xml:space="preserve">which has </w:t>
      </w:r>
      <w:r w:rsidRPr="006C7ED7">
        <w:rPr>
          <w:rFonts w:ascii="Arial" w:hAnsi="Arial" w:cs="Arial"/>
          <w:sz w:val="24"/>
          <w:szCs w:val="24"/>
        </w:rPr>
        <w:t>articulated the responsibilities of g</w:t>
      </w:r>
      <w:r w:rsidR="004277A0" w:rsidRPr="006C7ED7">
        <w:rPr>
          <w:rFonts w:ascii="Arial" w:hAnsi="Arial" w:cs="Arial"/>
          <w:sz w:val="24"/>
          <w:szCs w:val="24"/>
        </w:rPr>
        <w:t xml:space="preserve">overnment, non-government, community agencies and organisations </w:t>
      </w:r>
      <w:r w:rsidRPr="006C7ED7">
        <w:rPr>
          <w:rFonts w:ascii="Arial" w:hAnsi="Arial" w:cs="Arial"/>
          <w:sz w:val="24"/>
          <w:szCs w:val="24"/>
        </w:rPr>
        <w:t>to</w:t>
      </w:r>
      <w:r>
        <w:rPr>
          <w:rFonts w:ascii="Arial" w:hAnsi="Arial" w:cs="Arial"/>
          <w:sz w:val="24"/>
          <w:szCs w:val="24"/>
        </w:rPr>
        <w:t>:</w:t>
      </w:r>
    </w:p>
    <w:p w:rsidR="00DB2BD6" w:rsidRPr="006C7ED7" w:rsidRDefault="004277A0" w:rsidP="00D25C37">
      <w:pPr>
        <w:spacing w:after="0" w:line="360" w:lineRule="auto"/>
        <w:ind w:left="720"/>
        <w:rPr>
          <w:rFonts w:ascii="Arial" w:hAnsi="Arial" w:cs="Arial"/>
          <w:i/>
          <w:sz w:val="24"/>
          <w:szCs w:val="24"/>
        </w:rPr>
      </w:pPr>
      <w:proofErr w:type="gramStart"/>
      <w:r w:rsidRPr="006C7ED7">
        <w:rPr>
          <w:rFonts w:ascii="Arial" w:hAnsi="Arial" w:cs="Arial"/>
          <w:i/>
          <w:sz w:val="24"/>
          <w:szCs w:val="24"/>
        </w:rPr>
        <w:t>ensure</w:t>
      </w:r>
      <w:proofErr w:type="gramEnd"/>
      <w:r w:rsidRPr="006C7ED7">
        <w:rPr>
          <w:rFonts w:ascii="Arial" w:hAnsi="Arial" w:cs="Arial"/>
          <w:i/>
          <w:sz w:val="24"/>
          <w:szCs w:val="24"/>
        </w:rPr>
        <w:t xml:space="preserve"> their workers: </w:t>
      </w:r>
      <w:r w:rsidR="00DB2BD6" w:rsidRPr="006C7ED7">
        <w:rPr>
          <w:rFonts w:ascii="Arial" w:hAnsi="Arial" w:cs="Arial"/>
          <w:bCs/>
          <w:i/>
        </w:rPr>
        <w:t xml:space="preserve">are alert to the risk of abuse and are appropriately trained to respond in a timely manner, at all times acting in the best interests of an older person who has been abused </w:t>
      </w:r>
    </w:p>
    <w:p w:rsidR="006C7ED7" w:rsidRPr="002D3654" w:rsidRDefault="00D25C37" w:rsidP="00B600DF">
      <w:pPr>
        <w:spacing w:after="0" w:line="360" w:lineRule="auto"/>
        <w:rPr>
          <w:rFonts w:ascii="Arial" w:hAnsi="Arial" w:cs="Arial"/>
          <w:i/>
          <w:sz w:val="24"/>
          <w:szCs w:val="24"/>
          <w:lang w:val="en-US"/>
        </w:rPr>
      </w:pPr>
      <w:r>
        <w:rPr>
          <w:rFonts w:ascii="Arial" w:hAnsi="Arial" w:cs="Arial"/>
          <w:sz w:val="24"/>
          <w:szCs w:val="24"/>
          <w:lang w:val="en-US"/>
        </w:rPr>
        <w:t xml:space="preserve">Yet, evidence to the </w:t>
      </w:r>
      <w:r w:rsidRPr="000B36D6">
        <w:rPr>
          <w:rFonts w:ascii="Arial" w:hAnsi="Arial" w:cs="Arial"/>
          <w:sz w:val="24"/>
          <w:szCs w:val="24"/>
        </w:rPr>
        <w:t xml:space="preserve">Standing Committee No. 2 </w:t>
      </w:r>
      <w:r>
        <w:rPr>
          <w:rFonts w:ascii="Arial" w:hAnsi="Arial" w:cs="Arial"/>
          <w:sz w:val="24"/>
          <w:szCs w:val="24"/>
        </w:rPr>
        <w:t xml:space="preserve">suggested that there is little awareness or promulgation of this policy. The </w:t>
      </w:r>
      <w:r w:rsidR="002D3654">
        <w:rPr>
          <w:rFonts w:ascii="Arial" w:hAnsi="Arial" w:cs="Arial"/>
          <w:sz w:val="24"/>
          <w:szCs w:val="24"/>
          <w:lang w:val="en-US"/>
        </w:rPr>
        <w:t xml:space="preserve">Report </w:t>
      </w:r>
      <w:r>
        <w:rPr>
          <w:rFonts w:ascii="Arial" w:hAnsi="Arial" w:cs="Arial"/>
          <w:sz w:val="24"/>
          <w:szCs w:val="24"/>
          <w:lang w:val="en-US"/>
        </w:rPr>
        <w:t xml:space="preserve">44 </w:t>
      </w:r>
      <w:r w:rsidR="002D3654">
        <w:rPr>
          <w:rFonts w:ascii="Arial" w:hAnsi="Arial" w:cs="Arial"/>
          <w:sz w:val="24"/>
          <w:szCs w:val="24"/>
          <w:lang w:val="en-US"/>
        </w:rPr>
        <w:t xml:space="preserve">noted: </w:t>
      </w:r>
      <w:r w:rsidR="006C7ED7" w:rsidRPr="002D3654">
        <w:rPr>
          <w:rFonts w:ascii="Arial" w:hAnsi="Arial" w:cs="Arial"/>
          <w:i/>
          <w:sz w:val="24"/>
          <w:szCs w:val="24"/>
          <w:lang w:val="en-US"/>
        </w:rPr>
        <w:t xml:space="preserve">FACS must ensure that service providers actually </w:t>
      </w:r>
      <w:proofErr w:type="spellStart"/>
      <w:r w:rsidR="006C7ED7" w:rsidRPr="002D3654">
        <w:rPr>
          <w:rFonts w:ascii="Arial" w:hAnsi="Arial" w:cs="Arial"/>
          <w:i/>
          <w:sz w:val="24"/>
          <w:szCs w:val="24"/>
          <w:lang w:val="en-US"/>
        </w:rPr>
        <w:t>utilise</w:t>
      </w:r>
      <w:proofErr w:type="spellEnd"/>
      <w:r w:rsidR="006C7ED7" w:rsidRPr="002D3654">
        <w:rPr>
          <w:rFonts w:ascii="Arial" w:hAnsi="Arial" w:cs="Arial"/>
          <w:i/>
          <w:sz w:val="24"/>
          <w:szCs w:val="24"/>
          <w:lang w:val="en-US"/>
        </w:rPr>
        <w:t xml:space="preserve"> the document, develop their own policies and exercise their responsibilities under the policy. </w:t>
      </w:r>
    </w:p>
    <w:p w:rsidR="002D3654" w:rsidRDefault="006C7ED7" w:rsidP="00B600DF">
      <w:pPr>
        <w:spacing w:after="0" w:line="360" w:lineRule="auto"/>
        <w:rPr>
          <w:rFonts w:ascii="Arial" w:hAnsi="Arial" w:cs="Arial"/>
          <w:sz w:val="24"/>
          <w:szCs w:val="24"/>
          <w:lang w:val="en-US"/>
        </w:rPr>
      </w:pPr>
      <w:r w:rsidRPr="006C7ED7">
        <w:rPr>
          <w:rFonts w:ascii="Arial" w:hAnsi="Arial" w:cs="Arial"/>
          <w:sz w:val="24"/>
          <w:szCs w:val="24"/>
          <w:lang w:val="en-US"/>
        </w:rPr>
        <w:t xml:space="preserve">Recommendation 4 </w:t>
      </w:r>
      <w:r w:rsidR="002D3654">
        <w:rPr>
          <w:rFonts w:ascii="Arial" w:hAnsi="Arial" w:cs="Arial"/>
          <w:sz w:val="24"/>
          <w:szCs w:val="24"/>
          <w:lang w:val="en-US"/>
        </w:rPr>
        <w:t xml:space="preserve">stated: </w:t>
      </w:r>
    </w:p>
    <w:p w:rsidR="002D3654" w:rsidRPr="002D3654" w:rsidRDefault="006C7ED7" w:rsidP="00B600DF">
      <w:pPr>
        <w:pStyle w:val="ListParagraph"/>
        <w:numPr>
          <w:ilvl w:val="0"/>
          <w:numId w:val="21"/>
        </w:numPr>
        <w:spacing w:line="360" w:lineRule="auto"/>
        <w:ind w:left="0" w:firstLine="0"/>
        <w:rPr>
          <w:rFonts w:ascii="Arial" w:hAnsi="Arial" w:cs="Arial"/>
          <w:i/>
          <w:lang w:val="en-US"/>
        </w:rPr>
      </w:pPr>
      <w:r w:rsidRPr="002D3654">
        <w:rPr>
          <w:rFonts w:ascii="Arial" w:hAnsi="Arial" w:cs="Arial"/>
          <w:i/>
          <w:lang w:val="en-US"/>
        </w:rPr>
        <w:t xml:space="preserve">That in undertaking the three year review of the NSW Interagency policy for preventing and responding to abuse of older people, the NSW Government: </w:t>
      </w:r>
    </w:p>
    <w:p w:rsidR="002D3654" w:rsidRPr="002D3654" w:rsidRDefault="006C7ED7" w:rsidP="00B600DF">
      <w:pPr>
        <w:pStyle w:val="ListParagraph"/>
        <w:numPr>
          <w:ilvl w:val="0"/>
          <w:numId w:val="21"/>
        </w:numPr>
        <w:spacing w:line="360" w:lineRule="auto"/>
        <w:ind w:left="0" w:firstLine="0"/>
        <w:rPr>
          <w:rFonts w:ascii="Arial" w:hAnsi="Arial" w:cs="Arial"/>
          <w:i/>
          <w:lang w:val="en-US"/>
        </w:rPr>
      </w:pPr>
      <w:r w:rsidRPr="002D3654">
        <w:rPr>
          <w:rFonts w:ascii="Arial" w:hAnsi="Arial" w:cs="Arial"/>
          <w:i/>
          <w:lang w:val="en-US"/>
        </w:rPr>
        <w:t xml:space="preserve">explicitly consider the improvements to content recommended by stakeholders documented in our report, including with regard to duty of care, reporting requirements in respect of a crime, and privacy and confidentiality conduct further consultation on potential improvements with relevant government and non-government stakeholders </w:t>
      </w:r>
    </w:p>
    <w:p w:rsidR="002D3654" w:rsidRPr="002D3654" w:rsidRDefault="006C7ED7" w:rsidP="00B600DF">
      <w:pPr>
        <w:pStyle w:val="ListParagraph"/>
        <w:numPr>
          <w:ilvl w:val="0"/>
          <w:numId w:val="21"/>
        </w:numPr>
        <w:spacing w:line="360" w:lineRule="auto"/>
        <w:ind w:left="0" w:firstLine="0"/>
        <w:rPr>
          <w:rFonts w:ascii="Arial" w:hAnsi="Arial" w:cs="Arial"/>
          <w:i/>
          <w:lang w:val="en-US"/>
        </w:rPr>
      </w:pPr>
      <w:r w:rsidRPr="002D3654">
        <w:rPr>
          <w:rFonts w:ascii="Arial" w:hAnsi="Arial" w:cs="Arial"/>
          <w:i/>
          <w:lang w:val="en-US"/>
        </w:rPr>
        <w:t xml:space="preserve">develop a comprehensive strategy to ensure widespread promulgation of a revised policy </w:t>
      </w:r>
    </w:p>
    <w:p w:rsidR="00443780" w:rsidRPr="002D3654" w:rsidRDefault="006C7ED7" w:rsidP="00B600DF">
      <w:pPr>
        <w:pStyle w:val="ListParagraph"/>
        <w:numPr>
          <w:ilvl w:val="0"/>
          <w:numId w:val="21"/>
        </w:numPr>
        <w:spacing w:line="360" w:lineRule="auto"/>
        <w:ind w:left="0" w:firstLine="0"/>
        <w:rPr>
          <w:rFonts w:ascii="Arial" w:hAnsi="Arial" w:cs="Arial"/>
          <w:i/>
          <w:lang w:val="en-US"/>
        </w:rPr>
      </w:pPr>
      <w:proofErr w:type="gramStart"/>
      <w:r w:rsidRPr="002D3654">
        <w:rPr>
          <w:rFonts w:ascii="Arial" w:hAnsi="Arial" w:cs="Arial"/>
          <w:i/>
          <w:lang w:val="en-US"/>
        </w:rPr>
        <w:t>ensure</w:t>
      </w:r>
      <w:proofErr w:type="gramEnd"/>
      <w:r w:rsidRPr="002D3654">
        <w:rPr>
          <w:rFonts w:ascii="Arial" w:hAnsi="Arial" w:cs="Arial"/>
          <w:i/>
          <w:lang w:val="en-US"/>
        </w:rPr>
        <w:t xml:space="preserve"> that service providers exercise their responsibilities under the policy. </w:t>
      </w:r>
    </w:p>
    <w:p w:rsidR="005F4F7F" w:rsidRDefault="005F4F7F" w:rsidP="00B600DF">
      <w:pPr>
        <w:spacing w:after="0" w:line="360" w:lineRule="auto"/>
        <w:rPr>
          <w:rFonts w:ascii="Arial" w:hAnsi="Arial" w:cs="Arial"/>
          <w:sz w:val="24"/>
          <w:szCs w:val="24"/>
          <w:lang w:val="en-US"/>
        </w:rPr>
      </w:pPr>
    </w:p>
    <w:p w:rsidR="002D3654" w:rsidRDefault="005F4F7F" w:rsidP="00B600DF">
      <w:pPr>
        <w:spacing w:after="0" w:line="360" w:lineRule="auto"/>
        <w:rPr>
          <w:rFonts w:ascii="Arial" w:hAnsi="Arial" w:cs="Arial"/>
          <w:sz w:val="24"/>
          <w:szCs w:val="24"/>
        </w:rPr>
      </w:pPr>
      <w:r>
        <w:rPr>
          <w:rFonts w:ascii="Arial" w:hAnsi="Arial" w:cs="Arial"/>
          <w:sz w:val="24"/>
          <w:szCs w:val="24"/>
          <w:lang w:val="en-US"/>
        </w:rPr>
        <w:t xml:space="preserve">Health professionals have a key role in both identification of and response to elder abuse. As stated above, an </w:t>
      </w:r>
      <w:r w:rsidRPr="005F4F7F">
        <w:rPr>
          <w:rFonts w:ascii="Arial" w:hAnsi="Arial" w:cs="Arial"/>
          <w:b/>
          <w:sz w:val="24"/>
          <w:szCs w:val="24"/>
          <w:u w:val="single"/>
          <w:lang w:val="en-US"/>
        </w:rPr>
        <w:t>eyes wide open approach</w:t>
      </w:r>
      <w:r>
        <w:rPr>
          <w:rFonts w:ascii="Arial" w:hAnsi="Arial" w:cs="Arial"/>
          <w:sz w:val="24"/>
          <w:szCs w:val="24"/>
          <w:lang w:val="en-US"/>
        </w:rPr>
        <w:t xml:space="preserve"> is a must. As stated in our submission to the NSW LC, </w:t>
      </w:r>
      <w:r w:rsidRPr="00D25C37">
        <w:rPr>
          <w:rFonts w:ascii="Arial" w:hAnsi="Arial" w:cs="Arial"/>
          <w:b/>
          <w:sz w:val="24"/>
          <w:szCs w:val="24"/>
          <w:u w:val="single"/>
          <w:lang w:val="en-US"/>
        </w:rPr>
        <w:t>eyes are currently shut.</w:t>
      </w:r>
    </w:p>
    <w:p w:rsidR="005F4F7F" w:rsidRDefault="005F4F7F" w:rsidP="00B600DF">
      <w:pPr>
        <w:spacing w:after="0" w:line="360" w:lineRule="auto"/>
        <w:rPr>
          <w:rFonts w:ascii="Arial" w:hAnsi="Arial" w:cs="Arial"/>
          <w:sz w:val="24"/>
          <w:szCs w:val="24"/>
        </w:rPr>
      </w:pPr>
    </w:p>
    <w:p w:rsidR="00B619CF" w:rsidRPr="002D3654" w:rsidRDefault="00B619CF" w:rsidP="00B600DF">
      <w:pPr>
        <w:spacing w:after="0" w:line="360" w:lineRule="auto"/>
        <w:rPr>
          <w:rFonts w:ascii="Arial" w:hAnsi="Arial" w:cs="Arial"/>
          <w:b/>
          <w:sz w:val="24"/>
          <w:szCs w:val="24"/>
        </w:rPr>
      </w:pPr>
      <w:r w:rsidRPr="002D3654">
        <w:rPr>
          <w:rFonts w:ascii="Arial" w:hAnsi="Arial" w:cs="Arial"/>
          <w:b/>
          <w:sz w:val="24"/>
          <w:szCs w:val="24"/>
        </w:rPr>
        <w:t xml:space="preserve">Question 36 </w:t>
      </w:r>
      <w:proofErr w:type="gramStart"/>
      <w:r w:rsidRPr="002D3654">
        <w:rPr>
          <w:rFonts w:ascii="Arial" w:hAnsi="Arial" w:cs="Arial"/>
          <w:b/>
          <w:sz w:val="24"/>
          <w:szCs w:val="24"/>
        </w:rPr>
        <w:t>How</w:t>
      </w:r>
      <w:proofErr w:type="gramEnd"/>
      <w:r w:rsidRPr="002D3654">
        <w:rPr>
          <w:rFonts w:ascii="Arial" w:hAnsi="Arial" w:cs="Arial"/>
          <w:b/>
          <w:sz w:val="24"/>
          <w:szCs w:val="24"/>
        </w:rPr>
        <w:t xml:space="preserve"> should professional codes be improved to clarify the role of health professionals in identifying and responding to elder abuse? </w:t>
      </w:r>
    </w:p>
    <w:p w:rsidR="002D3654" w:rsidRPr="00660D77" w:rsidRDefault="002D3654" w:rsidP="00B600DF">
      <w:pPr>
        <w:spacing w:after="0" w:line="360" w:lineRule="auto"/>
        <w:rPr>
          <w:rFonts w:ascii="Arial" w:hAnsi="Arial" w:cs="Arial"/>
          <w:sz w:val="24"/>
          <w:szCs w:val="24"/>
        </w:rPr>
      </w:pPr>
      <w:r>
        <w:rPr>
          <w:rFonts w:ascii="Arial" w:hAnsi="Arial" w:cs="Arial"/>
          <w:sz w:val="24"/>
          <w:szCs w:val="24"/>
        </w:rPr>
        <w:t>Codes must explicitly address the duty of care of owed to patients or clients</w:t>
      </w:r>
      <w:r w:rsidRPr="002D3654">
        <w:rPr>
          <w:rFonts w:ascii="Arial" w:hAnsi="Arial" w:cs="Arial"/>
          <w:sz w:val="24"/>
          <w:szCs w:val="24"/>
        </w:rPr>
        <w:t xml:space="preserve"> </w:t>
      </w:r>
      <w:r>
        <w:rPr>
          <w:rFonts w:ascii="Arial" w:hAnsi="Arial" w:cs="Arial"/>
          <w:sz w:val="24"/>
          <w:szCs w:val="24"/>
        </w:rPr>
        <w:t xml:space="preserve">by health professionals in regards to </w:t>
      </w:r>
      <w:r w:rsidRPr="00660D77">
        <w:rPr>
          <w:rFonts w:ascii="Arial" w:hAnsi="Arial" w:cs="Arial"/>
          <w:sz w:val="24"/>
          <w:szCs w:val="24"/>
        </w:rPr>
        <w:t>identifying and responding to elder abuse</w:t>
      </w:r>
      <w:r>
        <w:rPr>
          <w:rFonts w:ascii="Arial" w:hAnsi="Arial" w:cs="Arial"/>
          <w:sz w:val="24"/>
          <w:szCs w:val="24"/>
        </w:rPr>
        <w:t>. Issues of confidentiality and privacy must be addressed here.</w:t>
      </w:r>
    </w:p>
    <w:p w:rsidR="00CE098E" w:rsidRDefault="00CE098E" w:rsidP="00B600DF">
      <w:pPr>
        <w:spacing w:after="0" w:line="360" w:lineRule="auto"/>
        <w:rPr>
          <w:rFonts w:ascii="Arial" w:hAnsi="Arial" w:cs="Arial"/>
          <w:b/>
          <w:sz w:val="24"/>
          <w:szCs w:val="24"/>
        </w:rPr>
      </w:pPr>
    </w:p>
    <w:p w:rsidR="00B619CF" w:rsidRPr="002D3654" w:rsidRDefault="00B619CF" w:rsidP="00B600DF">
      <w:pPr>
        <w:spacing w:after="0" w:line="360" w:lineRule="auto"/>
        <w:rPr>
          <w:rFonts w:ascii="Arial" w:hAnsi="Arial" w:cs="Arial"/>
          <w:b/>
          <w:sz w:val="24"/>
          <w:szCs w:val="24"/>
        </w:rPr>
      </w:pPr>
      <w:r w:rsidRPr="002D3654">
        <w:rPr>
          <w:rFonts w:ascii="Arial" w:hAnsi="Arial" w:cs="Arial"/>
          <w:b/>
          <w:sz w:val="24"/>
          <w:szCs w:val="24"/>
        </w:rPr>
        <w:lastRenderedPageBreak/>
        <w:t xml:space="preserve">Question 37 Are health-justice partnerships a useful model for identifying and responding to elder abuse? What other health service models should be developed to identify and respond to elder abuse? </w:t>
      </w:r>
    </w:p>
    <w:p w:rsidR="002D3654" w:rsidRPr="00660D77" w:rsidRDefault="002D3654" w:rsidP="00B600DF">
      <w:pPr>
        <w:spacing w:after="0" w:line="360" w:lineRule="auto"/>
        <w:rPr>
          <w:rFonts w:ascii="Arial" w:hAnsi="Arial" w:cs="Arial"/>
          <w:sz w:val="24"/>
          <w:szCs w:val="24"/>
        </w:rPr>
      </w:pPr>
      <w:r>
        <w:rPr>
          <w:rFonts w:ascii="Arial" w:hAnsi="Arial" w:cs="Arial"/>
          <w:sz w:val="24"/>
          <w:szCs w:val="24"/>
        </w:rPr>
        <w:t>Both h</w:t>
      </w:r>
      <w:r w:rsidRPr="00660D77">
        <w:rPr>
          <w:rFonts w:ascii="Arial" w:hAnsi="Arial" w:cs="Arial"/>
          <w:sz w:val="24"/>
          <w:szCs w:val="24"/>
        </w:rPr>
        <w:t xml:space="preserve">ealth-justice </w:t>
      </w:r>
      <w:r>
        <w:rPr>
          <w:rFonts w:ascii="Arial" w:hAnsi="Arial" w:cs="Arial"/>
          <w:sz w:val="24"/>
          <w:szCs w:val="24"/>
        </w:rPr>
        <w:t xml:space="preserve">and health-legal </w:t>
      </w:r>
      <w:r w:rsidRPr="00660D77">
        <w:rPr>
          <w:rFonts w:ascii="Arial" w:hAnsi="Arial" w:cs="Arial"/>
          <w:sz w:val="24"/>
          <w:szCs w:val="24"/>
        </w:rPr>
        <w:t>partnerships a</w:t>
      </w:r>
      <w:r>
        <w:rPr>
          <w:rFonts w:ascii="Arial" w:hAnsi="Arial" w:cs="Arial"/>
          <w:sz w:val="24"/>
          <w:szCs w:val="24"/>
        </w:rPr>
        <w:t>re</w:t>
      </w:r>
      <w:r w:rsidRPr="00660D77">
        <w:rPr>
          <w:rFonts w:ascii="Arial" w:hAnsi="Arial" w:cs="Arial"/>
          <w:sz w:val="24"/>
          <w:szCs w:val="24"/>
        </w:rPr>
        <w:t xml:space="preserve"> useful model</w:t>
      </w:r>
      <w:r>
        <w:rPr>
          <w:rFonts w:ascii="Arial" w:hAnsi="Arial" w:cs="Arial"/>
          <w:sz w:val="24"/>
          <w:szCs w:val="24"/>
        </w:rPr>
        <w:t>s</w:t>
      </w:r>
      <w:r w:rsidRPr="00660D77">
        <w:rPr>
          <w:rFonts w:ascii="Arial" w:hAnsi="Arial" w:cs="Arial"/>
          <w:sz w:val="24"/>
          <w:szCs w:val="24"/>
        </w:rPr>
        <w:t xml:space="preserve"> for identifying and responding to elder abuse</w:t>
      </w:r>
      <w:r>
        <w:rPr>
          <w:rFonts w:ascii="Arial" w:hAnsi="Arial" w:cs="Arial"/>
          <w:sz w:val="24"/>
          <w:szCs w:val="24"/>
        </w:rPr>
        <w:t>, and indeed Capacity Australia has led the way in establishing such a model.</w:t>
      </w:r>
    </w:p>
    <w:p w:rsidR="00CE098E" w:rsidRDefault="00CE098E" w:rsidP="00B600DF">
      <w:pPr>
        <w:spacing w:after="0" w:line="360" w:lineRule="auto"/>
        <w:rPr>
          <w:rFonts w:ascii="Arial" w:hAnsi="Arial" w:cs="Arial"/>
          <w:b/>
          <w:sz w:val="24"/>
          <w:szCs w:val="24"/>
        </w:rPr>
      </w:pPr>
    </w:p>
    <w:p w:rsidR="00660D77" w:rsidRPr="002D3654" w:rsidRDefault="00B619CF" w:rsidP="00B600DF">
      <w:pPr>
        <w:spacing w:after="0" w:line="360" w:lineRule="auto"/>
        <w:rPr>
          <w:rFonts w:ascii="Arial" w:hAnsi="Arial" w:cs="Arial"/>
          <w:b/>
          <w:sz w:val="24"/>
          <w:szCs w:val="24"/>
        </w:rPr>
      </w:pPr>
      <w:r w:rsidRPr="002D3654">
        <w:rPr>
          <w:rFonts w:ascii="Arial" w:hAnsi="Arial" w:cs="Arial"/>
          <w:b/>
          <w:sz w:val="24"/>
          <w:szCs w:val="24"/>
        </w:rPr>
        <w:t xml:space="preserve">Question 38 What changes should be made to laws and legal frameworks, such as privacy laws, to enable hospitals to better identify and respond to elder abuse? </w:t>
      </w:r>
    </w:p>
    <w:p w:rsidR="002D3654" w:rsidRPr="00660D77" w:rsidRDefault="005F4F7F" w:rsidP="00B600DF">
      <w:pPr>
        <w:spacing w:after="0" w:line="360" w:lineRule="auto"/>
        <w:rPr>
          <w:rFonts w:ascii="Arial" w:hAnsi="Arial" w:cs="Arial"/>
          <w:sz w:val="24"/>
          <w:szCs w:val="24"/>
        </w:rPr>
      </w:pPr>
      <w:r>
        <w:rPr>
          <w:rFonts w:ascii="Arial" w:hAnsi="Arial" w:cs="Arial"/>
          <w:sz w:val="24"/>
          <w:szCs w:val="24"/>
        </w:rPr>
        <w:t>Many health care professionals remain uncertain regarding appropriate actions in regards to duty of care, confidentiality and privacy in regards to elder abuse. This often confounds and hinders proper and necessary communication across care providers and agencies essential to dealing with elder abuse. Clarity is needed.</w:t>
      </w:r>
    </w:p>
    <w:sectPr w:rsidR="002D3654" w:rsidRPr="00660D77" w:rsidSect="0069413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FA" w:rsidRDefault="008839FA" w:rsidP="004071A7">
      <w:pPr>
        <w:spacing w:after="0" w:line="240" w:lineRule="auto"/>
      </w:pPr>
      <w:r>
        <w:separator/>
      </w:r>
    </w:p>
  </w:endnote>
  <w:endnote w:type="continuationSeparator" w:id="0">
    <w:p w:rsidR="008839FA" w:rsidRDefault="008839FA" w:rsidP="0040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652424"/>
      <w:docPartObj>
        <w:docPartGallery w:val="Page Numbers (Bottom of Page)"/>
        <w:docPartUnique/>
      </w:docPartObj>
    </w:sdtPr>
    <w:sdtEndPr>
      <w:rPr>
        <w:noProof/>
      </w:rPr>
    </w:sdtEndPr>
    <w:sdtContent>
      <w:p w:rsidR="00DB2BD6" w:rsidRDefault="00834E10">
        <w:pPr>
          <w:pStyle w:val="Footer"/>
          <w:jc w:val="right"/>
        </w:pPr>
        <w:r>
          <w:fldChar w:fldCharType="begin"/>
        </w:r>
        <w:r w:rsidR="00DB2BD6">
          <w:instrText xml:space="preserve"> PAGE   \* MERGEFORMAT </w:instrText>
        </w:r>
        <w:r>
          <w:fldChar w:fldCharType="separate"/>
        </w:r>
        <w:r w:rsidR="0056179B">
          <w:rPr>
            <w:noProof/>
          </w:rPr>
          <w:t>17</w:t>
        </w:r>
        <w:r>
          <w:rPr>
            <w:noProof/>
          </w:rPr>
          <w:fldChar w:fldCharType="end"/>
        </w:r>
      </w:p>
    </w:sdtContent>
  </w:sdt>
  <w:p w:rsidR="00DB2BD6" w:rsidRDefault="00DB2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FA" w:rsidRDefault="008839FA" w:rsidP="004071A7">
      <w:pPr>
        <w:spacing w:after="0" w:line="240" w:lineRule="auto"/>
      </w:pPr>
      <w:r>
        <w:separator/>
      </w:r>
    </w:p>
  </w:footnote>
  <w:footnote w:type="continuationSeparator" w:id="0">
    <w:p w:rsidR="008839FA" w:rsidRDefault="008839FA" w:rsidP="004071A7">
      <w:pPr>
        <w:spacing w:after="0" w:line="240" w:lineRule="auto"/>
      </w:pPr>
      <w:r>
        <w:continuationSeparator/>
      </w:r>
    </w:p>
  </w:footnote>
  <w:footnote w:id="1">
    <w:p w:rsidR="00A9193A" w:rsidRDefault="00A9193A">
      <w:pPr>
        <w:pStyle w:val="FootnoteText"/>
      </w:pPr>
      <w:r>
        <w:rPr>
          <w:rStyle w:val="FootnoteReference"/>
        </w:rPr>
        <w:footnoteRef/>
      </w:r>
      <w:r>
        <w:t xml:space="preserve"> </w:t>
      </w:r>
      <w:r w:rsidR="004472B3" w:rsidRPr="004472B3">
        <w:rPr>
          <w:rFonts w:ascii="Arial" w:hAnsi="Arial" w:cs="Arial"/>
        </w:rPr>
        <w:t xml:space="preserve">O’Neill N, </w:t>
      </w:r>
      <w:proofErr w:type="spellStart"/>
      <w:r w:rsidR="004472B3" w:rsidRPr="004472B3">
        <w:rPr>
          <w:rFonts w:ascii="Arial" w:hAnsi="Arial" w:cs="Arial"/>
        </w:rPr>
        <w:t>Peisah</w:t>
      </w:r>
      <w:proofErr w:type="spellEnd"/>
      <w:r w:rsidR="004472B3" w:rsidRPr="004472B3">
        <w:rPr>
          <w:rFonts w:ascii="Arial" w:hAnsi="Arial" w:cs="Arial"/>
        </w:rPr>
        <w:t xml:space="preserve"> C (2011) Capacity and the law. SydUPLawbk1 (Sydney University Press) </w:t>
      </w:r>
      <w:hyperlink r:id="rId1" w:history="1">
        <w:r w:rsidR="004472B3" w:rsidRPr="004472B3">
          <w:rPr>
            <w:rFonts w:ascii="Arial" w:hAnsi="Arial" w:cs="Arial"/>
            <w:u w:val="single"/>
          </w:rPr>
          <w:t>http://www.austlii.edu.au/au/journals/SydUPLawBk/2011/1.html</w:t>
        </w:r>
      </w:hyperlink>
    </w:p>
  </w:footnote>
  <w:footnote w:id="2">
    <w:p w:rsidR="00DB2BD6" w:rsidRDefault="00DB2BD6" w:rsidP="0055629B">
      <w:pPr>
        <w:spacing w:after="0" w:line="240" w:lineRule="auto"/>
        <w:ind w:left="-5"/>
      </w:pPr>
      <w:r>
        <w:rPr>
          <w:rStyle w:val="FootnoteReference"/>
        </w:rPr>
        <w:footnoteRef/>
      </w:r>
      <w:r>
        <w:t xml:space="preserve"> </w:t>
      </w:r>
      <w:proofErr w:type="gramStart"/>
      <w:r>
        <w:t>United Nations Convention on the Rights of Persons with Disabilities (UNCORPD) (2012).</w:t>
      </w:r>
      <w:proofErr w:type="gramEnd"/>
      <w:r>
        <w:t xml:space="preserve">  </w:t>
      </w:r>
      <w:r>
        <w:rPr>
          <w:color w:val="0000FF"/>
          <w:u w:val="single" w:color="0000FF"/>
        </w:rPr>
        <w:t>http://www.un.org/disabilities/convention/conventionfull.shtml.</w:t>
      </w:r>
      <w:r>
        <w:t xml:space="preserve"> </w:t>
      </w:r>
    </w:p>
  </w:footnote>
  <w:footnote w:id="3">
    <w:p w:rsidR="00DB2BD6" w:rsidRPr="005E4FB2" w:rsidRDefault="00DB2BD6" w:rsidP="003F3079">
      <w:pPr>
        <w:spacing w:after="0" w:line="240" w:lineRule="auto"/>
        <w:rPr>
          <w:rFonts w:ascii="Arial" w:hAnsi="Arial" w:cs="Arial"/>
          <w:sz w:val="20"/>
          <w:szCs w:val="20"/>
        </w:rPr>
      </w:pPr>
      <w:r>
        <w:rPr>
          <w:rStyle w:val="FootnoteReference"/>
        </w:rPr>
        <w:footnoteRef/>
      </w:r>
      <w:r>
        <w:t xml:space="preserve"> </w:t>
      </w:r>
      <w:r w:rsidRPr="003F3079">
        <w:rPr>
          <w:rFonts w:ascii="Arial" w:hAnsi="Arial" w:cs="Arial"/>
          <w:sz w:val="20"/>
          <w:szCs w:val="20"/>
        </w:rPr>
        <w:t xml:space="preserve">New South Wales. </w:t>
      </w:r>
      <w:proofErr w:type="gramStart"/>
      <w:r w:rsidRPr="003F3079">
        <w:rPr>
          <w:rFonts w:ascii="Arial" w:hAnsi="Arial" w:cs="Arial"/>
          <w:sz w:val="20"/>
          <w:szCs w:val="20"/>
        </w:rPr>
        <w:t>Parliament.</w:t>
      </w:r>
      <w:proofErr w:type="gramEnd"/>
      <w:r w:rsidRPr="003F3079">
        <w:rPr>
          <w:rFonts w:ascii="Arial" w:hAnsi="Arial" w:cs="Arial"/>
          <w:sz w:val="20"/>
          <w:szCs w:val="20"/>
        </w:rPr>
        <w:t xml:space="preserve"> </w:t>
      </w:r>
      <w:proofErr w:type="gramStart"/>
      <w:r w:rsidRPr="003F3079">
        <w:rPr>
          <w:rFonts w:ascii="Arial" w:hAnsi="Arial" w:cs="Arial"/>
          <w:sz w:val="20"/>
          <w:szCs w:val="20"/>
        </w:rPr>
        <w:t>Legislative Council.</w:t>
      </w:r>
      <w:proofErr w:type="gramEnd"/>
      <w:r w:rsidRPr="003F3079">
        <w:rPr>
          <w:rFonts w:ascii="Arial" w:hAnsi="Arial" w:cs="Arial"/>
          <w:sz w:val="20"/>
          <w:szCs w:val="20"/>
        </w:rPr>
        <w:t xml:space="preserve"> General Purpose Standing Committee No. 2 (2016) Elder abuse in New South Wales / General Purpose Standing Committee No. 2 [Sydney, </w:t>
      </w:r>
      <w:r w:rsidRPr="005E4FB2">
        <w:rPr>
          <w:rFonts w:ascii="Arial" w:hAnsi="Arial" w:cs="Arial"/>
          <w:sz w:val="20"/>
          <w:szCs w:val="20"/>
        </w:rPr>
        <w:t>N.S.W.</w:t>
      </w:r>
      <w:proofErr w:type="gramStart"/>
      <w:r w:rsidRPr="005E4FB2">
        <w:rPr>
          <w:rFonts w:ascii="Arial" w:hAnsi="Arial" w:cs="Arial"/>
          <w:sz w:val="20"/>
          <w:szCs w:val="20"/>
        </w:rPr>
        <w:t>] :</w:t>
      </w:r>
      <w:proofErr w:type="gramEnd"/>
      <w:r w:rsidRPr="005E4FB2">
        <w:rPr>
          <w:rFonts w:ascii="Arial" w:hAnsi="Arial" w:cs="Arial"/>
          <w:sz w:val="20"/>
          <w:szCs w:val="20"/>
        </w:rPr>
        <w:t xml:space="preserve"> the Committee, 2016. [</w:t>
      </w:r>
      <w:proofErr w:type="gramStart"/>
      <w:r w:rsidRPr="005E4FB2">
        <w:rPr>
          <w:rFonts w:ascii="Arial" w:hAnsi="Arial" w:cs="Arial"/>
          <w:sz w:val="20"/>
          <w:szCs w:val="20"/>
        </w:rPr>
        <w:t>xx</w:t>
      </w:r>
      <w:proofErr w:type="gramEnd"/>
      <w:r w:rsidRPr="005E4FB2">
        <w:rPr>
          <w:rFonts w:ascii="Arial" w:hAnsi="Arial" w:cs="Arial"/>
          <w:sz w:val="20"/>
          <w:szCs w:val="20"/>
        </w:rPr>
        <w:t>, 186] p. ; 30 cm. (Report no. 44 / General Purpose Standing Committee No. 2). https://www.parliament.nsw.gov.au/committees/DBAssets/InquiryReport/ReportAcrobat/6063/Report%2044%20-%20Elder%20abuse%20in%20New%20South%20Wales.pdf.</w:t>
      </w:r>
    </w:p>
  </w:footnote>
  <w:footnote w:id="4">
    <w:p w:rsidR="00DB2BD6" w:rsidRPr="005E4FB2" w:rsidRDefault="00DB2BD6">
      <w:pPr>
        <w:pStyle w:val="FootnoteText"/>
        <w:rPr>
          <w:rFonts w:ascii="Arial" w:hAnsi="Arial" w:cs="Arial"/>
        </w:rPr>
      </w:pPr>
      <w:r w:rsidRPr="005E4FB2">
        <w:rPr>
          <w:rStyle w:val="FootnoteReference"/>
          <w:rFonts w:ascii="Arial" w:hAnsi="Arial" w:cs="Arial"/>
        </w:rPr>
        <w:footnoteRef/>
      </w:r>
      <w:r w:rsidRPr="005E4FB2">
        <w:rPr>
          <w:rFonts w:ascii="Arial" w:hAnsi="Arial" w:cs="Arial"/>
        </w:rPr>
        <w:t xml:space="preserve"> </w:t>
      </w:r>
      <w:proofErr w:type="gramStart"/>
      <w:r w:rsidRPr="005E4FB2">
        <w:rPr>
          <w:rFonts w:ascii="Arial" w:hAnsi="Arial" w:cs="Arial"/>
          <w:color w:val="444444"/>
        </w:rPr>
        <w:t>World Health Organization.</w:t>
      </w:r>
      <w:proofErr w:type="gramEnd"/>
      <w:r w:rsidRPr="005E4FB2">
        <w:rPr>
          <w:rFonts w:ascii="Arial" w:hAnsi="Arial" w:cs="Arial"/>
          <w:color w:val="444444"/>
        </w:rPr>
        <w:t xml:space="preserve"> (2008). </w:t>
      </w:r>
      <w:proofErr w:type="gramStart"/>
      <w:r w:rsidRPr="005E4FB2">
        <w:rPr>
          <w:rStyle w:val="Emphasis"/>
          <w:rFonts w:ascii="Arial" w:hAnsi="Arial" w:cs="Arial"/>
          <w:color w:val="444444"/>
        </w:rPr>
        <w:t>A</w:t>
      </w:r>
      <w:proofErr w:type="gramEnd"/>
      <w:r w:rsidRPr="005E4FB2">
        <w:rPr>
          <w:rStyle w:val="Emphasis"/>
          <w:rFonts w:ascii="Arial" w:hAnsi="Arial" w:cs="Arial"/>
          <w:color w:val="444444"/>
        </w:rPr>
        <w:t xml:space="preserve"> global response to elder abuse and neglect: Building primary health care capacity to deal with the problem worldwide</w:t>
      </w:r>
      <w:r w:rsidRPr="005E4FB2">
        <w:rPr>
          <w:rFonts w:ascii="Arial" w:hAnsi="Arial" w:cs="Arial"/>
          <w:color w:val="444444"/>
        </w:rPr>
        <w:t>. Geneva: WHO</w:t>
      </w:r>
    </w:p>
  </w:footnote>
  <w:footnote w:id="5">
    <w:p w:rsidR="00DB2BD6" w:rsidRPr="005E4FB2" w:rsidRDefault="00DB2BD6">
      <w:pPr>
        <w:pStyle w:val="FootnoteText"/>
        <w:rPr>
          <w:rFonts w:ascii="Arial" w:hAnsi="Arial" w:cs="Arial"/>
        </w:rPr>
      </w:pPr>
      <w:r w:rsidRPr="005E4FB2">
        <w:rPr>
          <w:rStyle w:val="FootnoteReference"/>
          <w:rFonts w:ascii="Arial" w:hAnsi="Arial" w:cs="Arial"/>
        </w:rPr>
        <w:footnoteRef/>
      </w:r>
      <w:r w:rsidRPr="005E4FB2">
        <w:rPr>
          <w:rFonts w:ascii="Arial" w:hAnsi="Arial" w:cs="Arial"/>
        </w:rPr>
        <w:t xml:space="preserve"> New South Wales. </w:t>
      </w:r>
      <w:proofErr w:type="gramStart"/>
      <w:r w:rsidRPr="005E4FB2">
        <w:rPr>
          <w:rFonts w:ascii="Arial" w:hAnsi="Arial" w:cs="Arial"/>
        </w:rPr>
        <w:t>Parliament.</w:t>
      </w:r>
      <w:proofErr w:type="gramEnd"/>
      <w:r w:rsidRPr="005E4FB2">
        <w:rPr>
          <w:rFonts w:ascii="Arial" w:hAnsi="Arial" w:cs="Arial"/>
        </w:rPr>
        <w:t xml:space="preserve"> </w:t>
      </w:r>
      <w:proofErr w:type="gramStart"/>
      <w:r w:rsidRPr="005E4FB2">
        <w:rPr>
          <w:rFonts w:ascii="Arial" w:hAnsi="Arial" w:cs="Arial"/>
        </w:rPr>
        <w:t>Legislative Council.</w:t>
      </w:r>
      <w:proofErr w:type="gramEnd"/>
      <w:r w:rsidRPr="005E4FB2">
        <w:rPr>
          <w:rFonts w:ascii="Arial" w:hAnsi="Arial" w:cs="Arial"/>
        </w:rPr>
        <w:t xml:space="preserve"> General Purpose Standing Committee No. 2 (2016) Elder abuse in New South Wales / General Purpose Standing Committee No. 2 [Sydney, N.S.W.</w:t>
      </w:r>
      <w:proofErr w:type="gramStart"/>
      <w:r w:rsidRPr="005E4FB2">
        <w:rPr>
          <w:rFonts w:ascii="Arial" w:hAnsi="Arial" w:cs="Arial"/>
        </w:rPr>
        <w:t>] :</w:t>
      </w:r>
      <w:proofErr w:type="gramEnd"/>
      <w:r w:rsidRPr="005E4FB2">
        <w:rPr>
          <w:rFonts w:ascii="Arial" w:hAnsi="Arial" w:cs="Arial"/>
        </w:rPr>
        <w:t xml:space="preserve"> the Committee, 2016. [</w:t>
      </w:r>
      <w:proofErr w:type="gramStart"/>
      <w:r w:rsidRPr="005E4FB2">
        <w:rPr>
          <w:rFonts w:ascii="Arial" w:hAnsi="Arial" w:cs="Arial"/>
        </w:rPr>
        <w:t>xx</w:t>
      </w:r>
      <w:proofErr w:type="gramEnd"/>
      <w:r w:rsidRPr="005E4FB2">
        <w:rPr>
          <w:rFonts w:ascii="Arial" w:hAnsi="Arial" w:cs="Arial"/>
        </w:rPr>
        <w:t>, 186] p. ; 30 cm. (Report no. 44 / General Purpose Standing Committee No. 2).</w:t>
      </w:r>
    </w:p>
  </w:footnote>
  <w:footnote w:id="6">
    <w:p w:rsidR="00DB2BD6" w:rsidRPr="005E4FB2" w:rsidRDefault="00DB2BD6">
      <w:pPr>
        <w:pStyle w:val="FootnoteText"/>
        <w:rPr>
          <w:rFonts w:ascii="Arial" w:hAnsi="Arial" w:cs="Arial"/>
        </w:rPr>
      </w:pPr>
      <w:r w:rsidRPr="005E4FB2">
        <w:rPr>
          <w:rStyle w:val="FootnoteReference"/>
          <w:rFonts w:ascii="Arial" w:hAnsi="Arial" w:cs="Arial"/>
        </w:rPr>
        <w:footnoteRef/>
      </w:r>
      <w:r w:rsidRPr="005E4FB2">
        <w:rPr>
          <w:rFonts w:ascii="Arial" w:hAnsi="Arial" w:cs="Arial"/>
        </w:rPr>
        <w:t xml:space="preserve"> </w:t>
      </w:r>
      <w:proofErr w:type="spellStart"/>
      <w:proofErr w:type="gramStart"/>
      <w:r w:rsidRPr="005E4FB2">
        <w:rPr>
          <w:rFonts w:ascii="Arial" w:hAnsi="Arial" w:cs="Arial"/>
        </w:rPr>
        <w:t>Kaspiew</w:t>
      </w:r>
      <w:proofErr w:type="spellEnd"/>
      <w:r w:rsidRPr="005E4FB2">
        <w:rPr>
          <w:rFonts w:ascii="Arial" w:hAnsi="Arial" w:cs="Arial"/>
        </w:rPr>
        <w:t xml:space="preserve"> R., Carson R., Rhoades H. Elder Abuse Australian Institute Family Studies.</w:t>
      </w:r>
      <w:proofErr w:type="gramEnd"/>
      <w:r w:rsidRPr="005E4FB2">
        <w:rPr>
          <w:rFonts w:ascii="Arial" w:hAnsi="Arial" w:cs="Arial"/>
        </w:rPr>
        <w:t xml:space="preserve"> https://aifs.gov.au/publications/elder-abuse/export </w:t>
      </w:r>
    </w:p>
  </w:footnote>
  <w:footnote w:id="7">
    <w:p w:rsidR="005E4FB2" w:rsidRDefault="005E4FB2">
      <w:pPr>
        <w:pStyle w:val="FootnoteText"/>
      </w:pPr>
      <w:r w:rsidRPr="005E4FB2">
        <w:rPr>
          <w:rStyle w:val="FootnoteReference"/>
          <w:rFonts w:ascii="Arial" w:hAnsi="Arial" w:cs="Arial"/>
        </w:rPr>
        <w:footnoteRef/>
      </w:r>
      <w:r w:rsidRPr="005E4FB2">
        <w:rPr>
          <w:rFonts w:ascii="Arial" w:hAnsi="Arial" w:cs="Arial"/>
        </w:rPr>
        <w:t xml:space="preserve"> </w:t>
      </w:r>
      <w:proofErr w:type="spellStart"/>
      <w:r w:rsidRPr="005E4FB2">
        <w:rPr>
          <w:rFonts w:ascii="Arial" w:hAnsi="Arial" w:cs="Arial"/>
        </w:rPr>
        <w:t>Peisah</w:t>
      </w:r>
      <w:proofErr w:type="spellEnd"/>
      <w:r w:rsidRPr="005E4FB2">
        <w:rPr>
          <w:rFonts w:ascii="Arial" w:hAnsi="Arial" w:cs="Arial"/>
        </w:rPr>
        <w:t xml:space="preserve"> C, </w:t>
      </w:r>
      <w:r w:rsidRPr="005E4FB2">
        <w:rPr>
          <w:rFonts w:ascii="Arial" w:eastAsia="Calibri" w:hAnsi="Arial" w:cs="Arial"/>
        </w:rPr>
        <w:t>et al.,</w:t>
      </w:r>
      <w:r w:rsidRPr="005E4FB2">
        <w:rPr>
          <w:rFonts w:ascii="Arial" w:hAnsi="Arial" w:cs="Arial"/>
        </w:rPr>
        <w:t xml:space="preserve"> 2009. </w:t>
      </w:r>
      <w:proofErr w:type="gramStart"/>
      <w:r w:rsidRPr="005E4FB2">
        <w:rPr>
          <w:rFonts w:ascii="Arial" w:hAnsi="Arial" w:cs="Arial"/>
        </w:rPr>
        <w:t xml:space="preserve">For the International </w:t>
      </w:r>
      <w:proofErr w:type="spellStart"/>
      <w:r w:rsidRPr="005E4FB2">
        <w:rPr>
          <w:rFonts w:ascii="Arial" w:hAnsi="Arial" w:cs="Arial"/>
        </w:rPr>
        <w:t>Psychogeriatric</w:t>
      </w:r>
      <w:proofErr w:type="spellEnd"/>
      <w:r w:rsidRPr="005E4FB2">
        <w:rPr>
          <w:rFonts w:ascii="Arial" w:hAnsi="Arial" w:cs="Arial"/>
        </w:rPr>
        <w:t xml:space="preserve"> Association Task Force on Wills and Undue Influence.</w:t>
      </w:r>
      <w:proofErr w:type="gramEnd"/>
      <w:r w:rsidRPr="005E4FB2">
        <w:rPr>
          <w:rFonts w:ascii="Arial" w:hAnsi="Arial" w:cs="Arial"/>
        </w:rPr>
        <w:t xml:space="preserve"> The wills of older persons: risk factors for undue influence. International </w:t>
      </w:r>
      <w:proofErr w:type="spellStart"/>
      <w:r w:rsidRPr="005E4FB2">
        <w:rPr>
          <w:rFonts w:ascii="Arial" w:hAnsi="Arial" w:cs="Arial"/>
        </w:rPr>
        <w:t>Psychogeriatrics</w:t>
      </w:r>
      <w:proofErr w:type="spellEnd"/>
      <w:r w:rsidRPr="005E4FB2">
        <w:rPr>
          <w:rFonts w:ascii="Arial" w:hAnsi="Arial" w:cs="Arial"/>
        </w:rPr>
        <w:t xml:space="preserve"> 21: 7-15.</w:t>
      </w:r>
      <w:r>
        <w:rPr>
          <w:sz w:val="22"/>
        </w:rPr>
        <w:t xml:space="preserve">  </w:t>
      </w:r>
    </w:p>
  </w:footnote>
  <w:footnote w:id="8">
    <w:p w:rsidR="00DB2BD6" w:rsidRPr="006469C5" w:rsidRDefault="00DB2BD6">
      <w:pPr>
        <w:pStyle w:val="FootnoteText"/>
        <w:rPr>
          <w:rFonts w:ascii="Arial" w:hAnsi="Arial" w:cs="Arial"/>
        </w:rPr>
      </w:pPr>
      <w:r w:rsidRPr="006469C5">
        <w:rPr>
          <w:rStyle w:val="FootnoteReference"/>
          <w:rFonts w:ascii="Arial" w:hAnsi="Arial" w:cs="Arial"/>
        </w:rPr>
        <w:footnoteRef/>
      </w:r>
      <w:r w:rsidRPr="006469C5">
        <w:rPr>
          <w:rFonts w:ascii="Arial" w:hAnsi="Arial" w:cs="Arial"/>
        </w:rPr>
        <w:t xml:space="preserve"> </w:t>
      </w:r>
      <w:proofErr w:type="gramStart"/>
      <w:r w:rsidRPr="006469C5">
        <w:rPr>
          <w:rFonts w:ascii="Arial" w:hAnsi="Arial" w:cs="Arial"/>
        </w:rPr>
        <w:t xml:space="preserve">Capacity Australia Submission to </w:t>
      </w:r>
      <w:r w:rsidR="006469C5" w:rsidRPr="006469C5">
        <w:rPr>
          <w:rFonts w:ascii="Arial" w:hAnsi="Arial" w:cs="Arial"/>
        </w:rPr>
        <w:t>New South Wales.</w:t>
      </w:r>
      <w:proofErr w:type="gramEnd"/>
      <w:r w:rsidR="006469C5" w:rsidRPr="006469C5">
        <w:rPr>
          <w:rFonts w:ascii="Arial" w:hAnsi="Arial" w:cs="Arial"/>
        </w:rPr>
        <w:t xml:space="preserve"> </w:t>
      </w:r>
      <w:proofErr w:type="gramStart"/>
      <w:r w:rsidR="006469C5" w:rsidRPr="006469C5">
        <w:rPr>
          <w:rFonts w:ascii="Arial" w:hAnsi="Arial" w:cs="Arial"/>
        </w:rPr>
        <w:t>Parliament.</w:t>
      </w:r>
      <w:proofErr w:type="gramEnd"/>
      <w:r w:rsidR="006469C5" w:rsidRPr="006469C5">
        <w:rPr>
          <w:rFonts w:ascii="Arial" w:hAnsi="Arial" w:cs="Arial"/>
        </w:rPr>
        <w:t xml:space="preserve"> </w:t>
      </w:r>
      <w:proofErr w:type="gramStart"/>
      <w:r w:rsidR="006469C5" w:rsidRPr="006469C5">
        <w:rPr>
          <w:rFonts w:ascii="Arial" w:hAnsi="Arial" w:cs="Arial"/>
        </w:rPr>
        <w:t>Legislative Council.</w:t>
      </w:r>
      <w:proofErr w:type="gramEnd"/>
      <w:r w:rsidR="006469C5" w:rsidRPr="006469C5">
        <w:rPr>
          <w:rFonts w:ascii="Arial" w:hAnsi="Arial" w:cs="Arial"/>
        </w:rPr>
        <w:t xml:space="preserve"> General Purpose Standing Committee No. 2 (2016) Elder abuse in New South Wales / General Purpose Standing Committee No. 2 [Sydney, N.S.W.</w:t>
      </w:r>
      <w:proofErr w:type="gramStart"/>
      <w:r w:rsidR="006469C5" w:rsidRPr="006469C5">
        <w:rPr>
          <w:rFonts w:ascii="Arial" w:hAnsi="Arial" w:cs="Arial"/>
        </w:rPr>
        <w:t>] :</w:t>
      </w:r>
      <w:proofErr w:type="gramEnd"/>
      <w:r w:rsidR="006469C5" w:rsidRPr="006469C5">
        <w:rPr>
          <w:rFonts w:ascii="Arial" w:hAnsi="Arial" w:cs="Arial"/>
        </w:rPr>
        <w:t xml:space="preserve"> the Committee, 2016. [</w:t>
      </w:r>
      <w:proofErr w:type="gramStart"/>
      <w:r w:rsidR="006469C5" w:rsidRPr="006469C5">
        <w:rPr>
          <w:rFonts w:ascii="Arial" w:hAnsi="Arial" w:cs="Arial"/>
        </w:rPr>
        <w:t>xx</w:t>
      </w:r>
      <w:proofErr w:type="gramEnd"/>
      <w:r w:rsidR="006469C5" w:rsidRPr="006469C5">
        <w:rPr>
          <w:rFonts w:ascii="Arial" w:hAnsi="Arial" w:cs="Arial"/>
        </w:rPr>
        <w:t>, 186] p. ; 30 cm. (Report no. 44 / General Purpose Standing Committee No. 2).</w:t>
      </w:r>
    </w:p>
  </w:footnote>
  <w:footnote w:id="9">
    <w:p w:rsidR="00DB2BD6" w:rsidRPr="006469C5" w:rsidRDefault="00DB2BD6" w:rsidP="003F3079">
      <w:pPr>
        <w:spacing w:after="0" w:line="240" w:lineRule="auto"/>
        <w:ind w:left="-17"/>
        <w:rPr>
          <w:rFonts w:ascii="Arial" w:hAnsi="Arial" w:cs="Arial"/>
          <w:sz w:val="20"/>
          <w:szCs w:val="20"/>
        </w:rPr>
      </w:pPr>
      <w:r w:rsidRPr="006469C5">
        <w:rPr>
          <w:rStyle w:val="FootnoteReference"/>
          <w:rFonts w:ascii="Arial" w:hAnsi="Arial" w:cs="Arial"/>
          <w:sz w:val="20"/>
          <w:szCs w:val="20"/>
        </w:rPr>
        <w:footnoteRef/>
      </w:r>
      <w:r w:rsidRPr="006469C5">
        <w:rPr>
          <w:rFonts w:ascii="Arial" w:hAnsi="Arial" w:cs="Arial"/>
          <w:sz w:val="20"/>
          <w:szCs w:val="20"/>
        </w:rPr>
        <w:t xml:space="preserve"> </w:t>
      </w:r>
      <w:proofErr w:type="spellStart"/>
      <w:r w:rsidRPr="006469C5">
        <w:rPr>
          <w:rFonts w:ascii="Arial" w:hAnsi="Arial" w:cs="Arial"/>
          <w:sz w:val="20"/>
          <w:szCs w:val="20"/>
        </w:rPr>
        <w:t>Peisah</w:t>
      </w:r>
      <w:proofErr w:type="spellEnd"/>
      <w:r w:rsidRPr="006469C5">
        <w:rPr>
          <w:rFonts w:ascii="Arial" w:hAnsi="Arial" w:cs="Arial"/>
          <w:sz w:val="20"/>
          <w:szCs w:val="20"/>
        </w:rPr>
        <w:t xml:space="preserve"> C, </w:t>
      </w:r>
      <w:r w:rsidRPr="006469C5">
        <w:rPr>
          <w:rFonts w:ascii="Arial" w:hAnsi="Arial" w:cs="Arial"/>
          <w:i/>
          <w:sz w:val="20"/>
          <w:szCs w:val="20"/>
        </w:rPr>
        <w:t>et al.,</w:t>
      </w:r>
      <w:r w:rsidRPr="006469C5">
        <w:rPr>
          <w:rFonts w:ascii="Arial" w:hAnsi="Arial" w:cs="Arial"/>
          <w:sz w:val="20"/>
          <w:szCs w:val="20"/>
        </w:rPr>
        <w:t xml:space="preserve"> 2009. </w:t>
      </w:r>
      <w:proofErr w:type="gramStart"/>
      <w:r w:rsidRPr="006469C5">
        <w:rPr>
          <w:rFonts w:ascii="Arial" w:hAnsi="Arial" w:cs="Arial"/>
          <w:sz w:val="20"/>
          <w:szCs w:val="20"/>
        </w:rPr>
        <w:t xml:space="preserve">For the International </w:t>
      </w:r>
      <w:proofErr w:type="spellStart"/>
      <w:r w:rsidRPr="006469C5">
        <w:rPr>
          <w:rFonts w:ascii="Arial" w:hAnsi="Arial" w:cs="Arial"/>
          <w:sz w:val="20"/>
          <w:szCs w:val="20"/>
        </w:rPr>
        <w:t>Psychogeriatric</w:t>
      </w:r>
      <w:proofErr w:type="spellEnd"/>
      <w:r w:rsidRPr="006469C5">
        <w:rPr>
          <w:rFonts w:ascii="Arial" w:hAnsi="Arial" w:cs="Arial"/>
          <w:sz w:val="20"/>
          <w:szCs w:val="20"/>
        </w:rPr>
        <w:t xml:space="preserve"> Association Task Force on Wills and Undue Influence.</w:t>
      </w:r>
      <w:proofErr w:type="gramEnd"/>
      <w:r w:rsidRPr="006469C5">
        <w:rPr>
          <w:rFonts w:ascii="Arial" w:hAnsi="Arial" w:cs="Arial"/>
          <w:sz w:val="20"/>
          <w:szCs w:val="20"/>
        </w:rPr>
        <w:t xml:space="preserve"> The wills of older persons: risk factors for undue influence. International </w:t>
      </w:r>
      <w:proofErr w:type="spellStart"/>
      <w:r w:rsidRPr="006469C5">
        <w:rPr>
          <w:rFonts w:ascii="Arial" w:hAnsi="Arial" w:cs="Arial"/>
          <w:sz w:val="20"/>
          <w:szCs w:val="20"/>
        </w:rPr>
        <w:t>Psychogeriatrics</w:t>
      </w:r>
      <w:proofErr w:type="spellEnd"/>
      <w:r w:rsidRPr="006469C5">
        <w:rPr>
          <w:rFonts w:ascii="Arial" w:hAnsi="Arial" w:cs="Arial"/>
          <w:sz w:val="20"/>
          <w:szCs w:val="20"/>
        </w:rPr>
        <w:t xml:space="preserve"> 21: 7-15. </w:t>
      </w:r>
    </w:p>
  </w:footnote>
  <w:footnote w:id="10">
    <w:p w:rsidR="00DB2BD6" w:rsidRPr="006469C5" w:rsidRDefault="00DB2BD6">
      <w:pPr>
        <w:pStyle w:val="FootnoteText"/>
        <w:rPr>
          <w:rFonts w:ascii="Arial" w:hAnsi="Arial" w:cs="Arial"/>
        </w:rPr>
      </w:pPr>
      <w:r w:rsidRPr="006469C5">
        <w:rPr>
          <w:rStyle w:val="FootnoteReference"/>
          <w:rFonts w:ascii="Arial" w:hAnsi="Arial" w:cs="Arial"/>
        </w:rPr>
        <w:footnoteRef/>
      </w:r>
      <w:r w:rsidRPr="006469C5">
        <w:rPr>
          <w:rFonts w:ascii="Arial" w:hAnsi="Arial" w:cs="Arial"/>
        </w:rPr>
        <w:t xml:space="preserve"> </w:t>
      </w:r>
      <w:proofErr w:type="gramStart"/>
      <w:r w:rsidR="006469C5">
        <w:rPr>
          <w:rFonts w:ascii="Arial" w:hAnsi="Arial" w:cs="Arial"/>
        </w:rPr>
        <w:t>Ibid. ref 8.</w:t>
      </w:r>
      <w:proofErr w:type="gramEnd"/>
      <w:r w:rsidR="006469C5">
        <w:rPr>
          <w:rFonts w:ascii="Arial" w:hAnsi="Arial" w:cs="Arial"/>
        </w:rPr>
        <w:t xml:space="preserve"> </w:t>
      </w:r>
      <w:proofErr w:type="gramStart"/>
      <w:r w:rsidR="006469C5" w:rsidRPr="006469C5">
        <w:rPr>
          <w:rFonts w:ascii="Arial" w:hAnsi="Arial" w:cs="Arial"/>
        </w:rPr>
        <w:t>Capacity Australia Submission</w:t>
      </w:r>
      <w:r w:rsidR="006469C5">
        <w:rPr>
          <w:rFonts w:ascii="Arial" w:hAnsi="Arial" w:cs="Arial"/>
        </w:rPr>
        <w:t>.</w:t>
      </w:r>
      <w:proofErr w:type="gramEnd"/>
      <w:r w:rsidR="006469C5">
        <w:rPr>
          <w:rFonts w:ascii="Arial" w:hAnsi="Arial" w:cs="Arial"/>
        </w:rPr>
        <w:t xml:space="preserve"> See also </w:t>
      </w:r>
    </w:p>
  </w:footnote>
  <w:footnote w:id="11">
    <w:p w:rsidR="00DB2BD6" w:rsidRPr="00D20A05" w:rsidRDefault="00DB2BD6" w:rsidP="003F3079">
      <w:pPr>
        <w:pStyle w:val="FootnoteText"/>
        <w:rPr>
          <w:rFonts w:ascii="Arial" w:hAnsi="Arial" w:cs="Arial"/>
        </w:rPr>
      </w:pPr>
      <w:r w:rsidRPr="00D20A05">
        <w:rPr>
          <w:rStyle w:val="FootnoteReference"/>
          <w:rFonts w:ascii="Arial" w:hAnsi="Arial" w:cs="Arial"/>
        </w:rPr>
        <w:footnoteRef/>
      </w:r>
      <w:r w:rsidRPr="00D20A05">
        <w:rPr>
          <w:rFonts w:ascii="Arial" w:hAnsi="Arial" w:cs="Arial"/>
        </w:rPr>
        <w:t xml:space="preserve"> For further detail about the matters set out in this paragraph see Chapter 8 “Administration” of the </w:t>
      </w:r>
      <w:proofErr w:type="spellStart"/>
      <w:r w:rsidRPr="00D20A05">
        <w:rPr>
          <w:rFonts w:ascii="Arial" w:hAnsi="Arial" w:cs="Arial"/>
        </w:rPr>
        <w:t>ebook</w:t>
      </w:r>
      <w:proofErr w:type="spellEnd"/>
      <w:r w:rsidRPr="00D20A05">
        <w:rPr>
          <w:rFonts w:ascii="Arial" w:hAnsi="Arial" w:cs="Arial"/>
        </w:rPr>
        <w:t xml:space="preserve">, O’Neill and </w:t>
      </w:r>
      <w:proofErr w:type="spellStart"/>
      <w:r w:rsidRPr="00D20A05">
        <w:rPr>
          <w:rFonts w:ascii="Arial" w:hAnsi="Arial" w:cs="Arial"/>
        </w:rPr>
        <w:t>Peisah</w:t>
      </w:r>
      <w:proofErr w:type="spellEnd"/>
      <w:r w:rsidRPr="00D20A05">
        <w:rPr>
          <w:rFonts w:ascii="Arial" w:hAnsi="Arial" w:cs="Arial"/>
        </w:rPr>
        <w:t xml:space="preserve">, </w:t>
      </w:r>
      <w:r w:rsidRPr="00D20A05">
        <w:rPr>
          <w:rFonts w:ascii="Arial" w:hAnsi="Arial" w:cs="Arial"/>
          <w:i/>
        </w:rPr>
        <w:t>Capacity and the Law</w:t>
      </w:r>
      <w:r w:rsidRPr="00D20A05">
        <w:rPr>
          <w:rFonts w:ascii="Arial" w:hAnsi="Arial" w:cs="Arial"/>
        </w:rPr>
        <w:t xml:space="preserve">, published by Sydney University Press, but available free access on the </w:t>
      </w:r>
      <w:proofErr w:type="spellStart"/>
      <w:r w:rsidRPr="00D20A05">
        <w:rPr>
          <w:rFonts w:ascii="Arial" w:hAnsi="Arial" w:cs="Arial"/>
        </w:rPr>
        <w:t>AustLII</w:t>
      </w:r>
      <w:proofErr w:type="spellEnd"/>
      <w:r w:rsidRPr="00D20A05">
        <w:rPr>
          <w:rFonts w:ascii="Arial" w:hAnsi="Arial" w:cs="Arial"/>
        </w:rPr>
        <w:t xml:space="preserve"> website austlii.edu.au</w:t>
      </w:r>
    </w:p>
  </w:footnote>
  <w:footnote w:id="12">
    <w:p w:rsidR="00DB2BD6" w:rsidRPr="00D20A05" w:rsidRDefault="00DB2BD6" w:rsidP="00660D77">
      <w:pPr>
        <w:pStyle w:val="FootnoteText"/>
        <w:rPr>
          <w:rFonts w:ascii="Arial" w:hAnsi="Arial" w:cs="Arial"/>
        </w:rPr>
      </w:pPr>
      <w:r w:rsidRPr="00D20A05">
        <w:rPr>
          <w:rFonts w:ascii="Arial" w:hAnsi="Arial" w:cs="Arial"/>
        </w:rPr>
        <w:t xml:space="preserve"> </w:t>
      </w:r>
      <w:r w:rsidRPr="00D20A05">
        <w:rPr>
          <w:rStyle w:val="FootnoteReference"/>
          <w:rFonts w:ascii="Arial" w:hAnsi="Arial" w:cs="Arial"/>
        </w:rPr>
        <w:footnoteRef/>
      </w:r>
      <w:r w:rsidRPr="00D20A05">
        <w:rPr>
          <w:rFonts w:ascii="Arial" w:hAnsi="Arial" w:cs="Arial"/>
        </w:rPr>
        <w:t xml:space="preserve"> </w:t>
      </w:r>
      <w:proofErr w:type="spellStart"/>
      <w:r w:rsidRPr="00D20A05">
        <w:rPr>
          <w:rFonts w:ascii="Arial" w:hAnsi="Arial" w:cs="Arial"/>
          <w:lang w:val="en-US"/>
        </w:rPr>
        <w:t>Wainer</w:t>
      </w:r>
      <w:proofErr w:type="spellEnd"/>
      <w:r w:rsidRPr="00D20A05">
        <w:rPr>
          <w:rFonts w:ascii="Arial" w:hAnsi="Arial" w:cs="Arial"/>
          <w:lang w:val="en-US"/>
        </w:rPr>
        <w:t xml:space="preserve"> J., </w:t>
      </w:r>
      <w:proofErr w:type="spellStart"/>
      <w:r w:rsidRPr="00D20A05">
        <w:rPr>
          <w:rFonts w:ascii="Arial" w:hAnsi="Arial" w:cs="Arial"/>
          <w:lang w:val="en-US"/>
        </w:rPr>
        <w:t>Owada</w:t>
      </w:r>
      <w:proofErr w:type="spellEnd"/>
      <w:r w:rsidRPr="00D20A05">
        <w:rPr>
          <w:rFonts w:ascii="Arial" w:hAnsi="Arial" w:cs="Arial"/>
          <w:lang w:val="en-US"/>
        </w:rPr>
        <w:t xml:space="preserve"> K., Lowndes G., </w:t>
      </w:r>
      <w:proofErr w:type="spellStart"/>
      <w:r w:rsidRPr="00D20A05">
        <w:rPr>
          <w:rFonts w:ascii="Arial" w:hAnsi="Arial" w:cs="Arial"/>
          <w:lang w:val="en-US"/>
        </w:rPr>
        <w:t>Darzins</w:t>
      </w:r>
      <w:proofErr w:type="spellEnd"/>
      <w:r w:rsidRPr="00D20A05">
        <w:rPr>
          <w:rFonts w:ascii="Arial" w:hAnsi="Arial" w:cs="Arial"/>
          <w:lang w:val="en-US"/>
        </w:rPr>
        <w:t xml:space="preserve"> P (2011) Diversity and financial abuse in Victoria Protecting Elder’s assets Study </w:t>
      </w:r>
      <w:proofErr w:type="spellStart"/>
      <w:r w:rsidRPr="00D20A05">
        <w:rPr>
          <w:rFonts w:ascii="Arial" w:hAnsi="Arial" w:cs="Arial"/>
          <w:lang w:val="en-US"/>
        </w:rPr>
        <w:t>Monash</w:t>
      </w:r>
      <w:proofErr w:type="spellEnd"/>
      <w:r w:rsidRPr="00D20A05">
        <w:rPr>
          <w:rFonts w:ascii="Arial" w:hAnsi="Arial" w:cs="Arial"/>
          <w:lang w:val="en-US"/>
        </w:rPr>
        <w:t xml:space="preserve"> University Eastern Health Clinical School , Melbourne </w:t>
      </w:r>
    </w:p>
    <w:p w:rsidR="00DB2BD6" w:rsidRDefault="00DB2BD6" w:rsidP="00660D77">
      <w:pPr>
        <w:pStyle w:val="FootnoteText"/>
      </w:pPr>
    </w:p>
  </w:footnote>
  <w:footnote w:id="13">
    <w:p w:rsidR="00BC3D6F" w:rsidRPr="00BC3D6F" w:rsidRDefault="00BC3D6F" w:rsidP="00BC3D6F">
      <w:pPr>
        <w:pStyle w:val="footnotedescription"/>
        <w:spacing w:line="240" w:lineRule="auto"/>
        <w:ind w:left="0"/>
        <w:rPr>
          <w:rFonts w:ascii="Arial" w:hAnsi="Arial" w:cs="Arial"/>
        </w:rPr>
      </w:pPr>
      <w:r w:rsidRPr="00BC3D6F">
        <w:rPr>
          <w:rStyle w:val="footnotemark"/>
          <w:rFonts w:ascii="Arial" w:hAnsi="Arial" w:cs="Arial"/>
        </w:rPr>
        <w:footnoteRef/>
      </w:r>
      <w:r w:rsidRPr="00BC3D6F">
        <w:rPr>
          <w:rFonts w:ascii="Arial" w:eastAsia="Arial" w:hAnsi="Arial" w:cs="Arial"/>
        </w:rPr>
        <w:t xml:space="preserve"> </w:t>
      </w:r>
      <w:proofErr w:type="spellStart"/>
      <w:r w:rsidRPr="00BC3D6F">
        <w:rPr>
          <w:rFonts w:ascii="Arial" w:eastAsia="Arial" w:hAnsi="Arial" w:cs="Arial"/>
        </w:rPr>
        <w:t>Wainer</w:t>
      </w:r>
      <w:proofErr w:type="spellEnd"/>
      <w:r w:rsidRPr="00BC3D6F">
        <w:rPr>
          <w:rFonts w:ascii="Arial" w:eastAsia="Arial" w:hAnsi="Arial" w:cs="Arial"/>
        </w:rPr>
        <w:t xml:space="preserve">, J., </w:t>
      </w:r>
      <w:proofErr w:type="spellStart"/>
      <w:r w:rsidRPr="00BC3D6F">
        <w:rPr>
          <w:rFonts w:ascii="Arial" w:eastAsia="Arial" w:hAnsi="Arial" w:cs="Arial"/>
        </w:rPr>
        <w:t>Darzins</w:t>
      </w:r>
      <w:proofErr w:type="spellEnd"/>
      <w:r w:rsidRPr="00BC3D6F">
        <w:rPr>
          <w:rFonts w:ascii="Arial" w:eastAsia="Arial" w:hAnsi="Arial" w:cs="Arial"/>
        </w:rPr>
        <w:t xml:space="preserve">, P., </w:t>
      </w:r>
      <w:proofErr w:type="spellStart"/>
      <w:r w:rsidRPr="00BC3D6F">
        <w:rPr>
          <w:rFonts w:ascii="Arial" w:eastAsia="Arial" w:hAnsi="Arial" w:cs="Arial"/>
        </w:rPr>
        <w:t>Owada</w:t>
      </w:r>
      <w:proofErr w:type="spellEnd"/>
      <w:r w:rsidRPr="00BC3D6F">
        <w:rPr>
          <w:rFonts w:ascii="Arial" w:eastAsia="Arial" w:hAnsi="Arial" w:cs="Arial"/>
        </w:rPr>
        <w:t>, K., Prevalence of  elder financial abuse in Victoria, Protecting elders’ assets study, Monash University, Medicine Nursing and Health Sciences, State Trustees, 10</w:t>
      </w:r>
      <w:r w:rsidRPr="00BC3D6F">
        <w:rPr>
          <w:rFonts w:ascii="Arial" w:eastAsia="Arial" w:hAnsi="Arial" w:cs="Arial"/>
          <w:vertAlign w:val="superscript"/>
        </w:rPr>
        <w:t xml:space="preserve">th </w:t>
      </w:r>
      <w:r w:rsidRPr="00BC3D6F">
        <w:rPr>
          <w:rFonts w:ascii="Arial" w:eastAsia="Arial" w:hAnsi="Arial" w:cs="Arial"/>
        </w:rPr>
        <w:t xml:space="preserve">May, 2010,  </w:t>
      </w:r>
    </w:p>
  </w:footnote>
  <w:footnote w:id="14">
    <w:p w:rsidR="00BC3D6F" w:rsidRPr="00BC3D6F" w:rsidRDefault="00BC3D6F" w:rsidP="00BC3D6F">
      <w:pPr>
        <w:pStyle w:val="footnotedescription"/>
        <w:spacing w:line="240" w:lineRule="auto"/>
        <w:ind w:left="0"/>
        <w:rPr>
          <w:rFonts w:ascii="Arial" w:hAnsi="Arial" w:cs="Arial"/>
        </w:rPr>
      </w:pPr>
      <w:r w:rsidRPr="00BC3D6F">
        <w:rPr>
          <w:rStyle w:val="footnotemark"/>
          <w:rFonts w:ascii="Arial" w:hAnsi="Arial" w:cs="Arial"/>
        </w:rPr>
        <w:footnoteRef/>
      </w:r>
      <w:r w:rsidRPr="00BC3D6F">
        <w:rPr>
          <w:rFonts w:ascii="Arial" w:eastAsia="Arial" w:hAnsi="Arial" w:cs="Arial"/>
        </w:rPr>
        <w:t xml:space="preserve"> King C, </w:t>
      </w:r>
      <w:proofErr w:type="spellStart"/>
      <w:r w:rsidRPr="00BC3D6F">
        <w:rPr>
          <w:rFonts w:ascii="Arial" w:eastAsia="Arial" w:hAnsi="Arial" w:cs="Arial"/>
        </w:rPr>
        <w:t>Wainer</w:t>
      </w:r>
      <w:proofErr w:type="spellEnd"/>
      <w:r w:rsidRPr="00BC3D6F">
        <w:rPr>
          <w:rFonts w:ascii="Arial" w:eastAsia="Arial" w:hAnsi="Arial" w:cs="Arial"/>
        </w:rPr>
        <w:t xml:space="preserve"> J, </w:t>
      </w:r>
      <w:proofErr w:type="spellStart"/>
      <w:r w:rsidRPr="00BC3D6F">
        <w:rPr>
          <w:rFonts w:ascii="Arial" w:eastAsia="Arial" w:hAnsi="Arial" w:cs="Arial"/>
        </w:rPr>
        <w:t>Lowndes</w:t>
      </w:r>
      <w:proofErr w:type="spellEnd"/>
      <w:r w:rsidRPr="00BC3D6F">
        <w:rPr>
          <w:rFonts w:ascii="Arial" w:eastAsia="Arial" w:hAnsi="Arial" w:cs="Arial"/>
        </w:rPr>
        <w:t xml:space="preserve"> G, </w:t>
      </w:r>
      <w:proofErr w:type="spellStart"/>
      <w:r w:rsidRPr="00BC3D6F">
        <w:rPr>
          <w:rFonts w:ascii="Arial" w:eastAsia="Arial" w:hAnsi="Arial" w:cs="Arial"/>
        </w:rPr>
        <w:t>Darzins</w:t>
      </w:r>
      <w:proofErr w:type="spellEnd"/>
      <w:r w:rsidRPr="00BC3D6F">
        <w:rPr>
          <w:rFonts w:ascii="Arial" w:eastAsia="Arial" w:hAnsi="Arial" w:cs="Arial"/>
        </w:rPr>
        <w:t xml:space="preserve"> P, </w:t>
      </w:r>
      <w:proofErr w:type="spellStart"/>
      <w:r w:rsidRPr="00BC3D6F">
        <w:rPr>
          <w:rFonts w:ascii="Arial" w:eastAsia="Arial" w:hAnsi="Arial" w:cs="Arial"/>
        </w:rPr>
        <w:t>Owada</w:t>
      </w:r>
      <w:proofErr w:type="spellEnd"/>
      <w:r w:rsidRPr="00BC3D6F">
        <w:rPr>
          <w:rFonts w:ascii="Arial" w:eastAsia="Arial" w:hAnsi="Arial" w:cs="Arial"/>
        </w:rPr>
        <w:t xml:space="preserve"> K (2011) </w:t>
      </w:r>
      <w:proofErr w:type="gramStart"/>
      <w:r w:rsidRPr="00BC3D6F">
        <w:rPr>
          <w:rFonts w:ascii="Arial" w:eastAsia="Arial" w:hAnsi="Arial" w:cs="Arial"/>
          <w:i/>
        </w:rPr>
        <w:t>For</w:t>
      </w:r>
      <w:proofErr w:type="gramEnd"/>
      <w:r w:rsidRPr="00BC3D6F">
        <w:rPr>
          <w:rFonts w:ascii="Arial" w:eastAsia="Arial" w:hAnsi="Arial" w:cs="Arial"/>
          <w:i/>
        </w:rPr>
        <w:t xml:space="preserve"> love or money: intergenerational management of older Victorians’ assets, </w:t>
      </w:r>
      <w:r w:rsidRPr="00BC3D6F">
        <w:rPr>
          <w:rFonts w:ascii="Arial" w:eastAsia="Arial" w:hAnsi="Arial" w:cs="Arial"/>
        </w:rPr>
        <w:t xml:space="preserve">Protecting Elders’ Assets Study. Monash University, Eastern </w:t>
      </w:r>
    </w:p>
    <w:p w:rsidR="00BC3D6F" w:rsidRPr="00BC3D6F" w:rsidRDefault="00BC3D6F" w:rsidP="00BC3D6F">
      <w:pPr>
        <w:pStyle w:val="footnotedescription"/>
        <w:spacing w:line="240" w:lineRule="auto"/>
        <w:ind w:left="0"/>
        <w:rPr>
          <w:rFonts w:ascii="Arial" w:hAnsi="Arial" w:cs="Arial"/>
        </w:rPr>
      </w:pPr>
      <w:r w:rsidRPr="00BC3D6F">
        <w:rPr>
          <w:rFonts w:ascii="Arial" w:eastAsia="Arial" w:hAnsi="Arial" w:cs="Arial"/>
        </w:rPr>
        <w:t xml:space="preserve">Health Clinical School, Melbourne; </w:t>
      </w:r>
      <w:hyperlink r:id="rId2">
        <w:r w:rsidRPr="00BC3D6F">
          <w:rPr>
            <w:rFonts w:ascii="Arial" w:eastAsia="Arial" w:hAnsi="Arial" w:cs="Arial"/>
            <w:color w:val="0562C1"/>
            <w:u w:val="single" w:color="0562C1"/>
          </w:rPr>
          <w:t>http://www.eapu.com.au/uploads/research_resources/VIC</w:t>
        </w:r>
      </w:hyperlink>
      <w:hyperlink r:id="rId3">
        <w:r w:rsidRPr="00BC3D6F">
          <w:rPr>
            <w:rFonts w:ascii="Arial" w:eastAsia="Arial" w:hAnsi="Arial" w:cs="Arial"/>
            <w:color w:val="0562C1"/>
            <w:u w:val="single" w:color="0562C1"/>
          </w:rPr>
          <w:t>For_Love_or_Money_JUN_2011-Monash.pdf</w:t>
        </w:r>
      </w:hyperlink>
      <w:hyperlink r:id="rId4">
        <w:r w:rsidRPr="00BC3D6F">
          <w:rPr>
            <w:rFonts w:ascii="Arial" w:eastAsia="Arial" w:hAnsi="Arial" w:cs="Arial"/>
          </w:rPr>
          <w:t xml:space="preserve"> </w:t>
        </w:r>
      </w:hyperlink>
    </w:p>
  </w:footnote>
  <w:footnote w:id="15">
    <w:p w:rsidR="00DB2BD6" w:rsidRDefault="00DB2BD6">
      <w:pPr>
        <w:pStyle w:val="FootnoteText"/>
      </w:pPr>
      <w:r>
        <w:rPr>
          <w:rStyle w:val="FootnoteReference"/>
        </w:rPr>
        <w:footnoteRef/>
      </w:r>
      <w:r>
        <w:t xml:space="preserve"> </w:t>
      </w:r>
      <w:proofErr w:type="gramStart"/>
      <w:r w:rsidRPr="008602E1">
        <w:rPr>
          <w:rFonts w:ascii="Arial" w:hAnsi="Arial" w:cs="Arial"/>
        </w:rPr>
        <w:t>Alzheimer’s Australia.</w:t>
      </w:r>
      <w:proofErr w:type="gramEnd"/>
      <w:r w:rsidRPr="008602E1">
        <w:rPr>
          <w:rFonts w:ascii="Arial" w:hAnsi="Arial" w:cs="Arial"/>
        </w:rPr>
        <w:t xml:space="preserve">  </w:t>
      </w:r>
      <w:proofErr w:type="gramStart"/>
      <w:r w:rsidRPr="008602E1">
        <w:rPr>
          <w:rFonts w:ascii="Arial" w:hAnsi="Arial" w:cs="Arial"/>
        </w:rPr>
        <w:t>Statistics.</w:t>
      </w:r>
      <w:proofErr w:type="gramEnd"/>
      <w:r w:rsidRPr="008602E1">
        <w:rPr>
          <w:rFonts w:ascii="Arial" w:hAnsi="Arial" w:cs="Arial"/>
        </w:rPr>
        <w:t xml:space="preserve"> fightdementia.org.au. Accessed 10 August 2016</w:t>
      </w:r>
      <w:r>
        <w:t xml:space="preserve">  </w:t>
      </w:r>
    </w:p>
  </w:footnote>
  <w:footnote w:id="16">
    <w:p w:rsidR="00DB2BD6" w:rsidRDefault="00DB2BD6" w:rsidP="008602E1">
      <w:pPr>
        <w:shd w:val="clear" w:color="auto" w:fill="FFFFFF"/>
        <w:spacing w:after="0" w:line="240" w:lineRule="auto"/>
      </w:pPr>
      <w:r>
        <w:rPr>
          <w:rStyle w:val="FootnoteReference"/>
        </w:rPr>
        <w:footnoteRef/>
      </w:r>
      <w:r>
        <w:t xml:space="preserve"> </w:t>
      </w:r>
      <w:proofErr w:type="gramStart"/>
      <w:r w:rsidRPr="008602E1">
        <w:rPr>
          <w:rFonts w:ascii="Arial" w:hAnsi="Arial" w:cs="Arial"/>
          <w:sz w:val="20"/>
          <w:szCs w:val="20"/>
          <w:shd w:val="clear" w:color="auto" w:fill="FFFFFF"/>
        </w:rPr>
        <w:t xml:space="preserve">Snowdon, J., Draper, B., </w:t>
      </w:r>
      <w:proofErr w:type="spellStart"/>
      <w:r w:rsidRPr="008602E1">
        <w:rPr>
          <w:rFonts w:ascii="Arial" w:hAnsi="Arial" w:cs="Arial"/>
          <w:sz w:val="20"/>
          <w:szCs w:val="20"/>
          <w:shd w:val="clear" w:color="auto" w:fill="FFFFFF"/>
        </w:rPr>
        <w:t>Brodaty</w:t>
      </w:r>
      <w:proofErr w:type="spellEnd"/>
      <w:r w:rsidRPr="008602E1">
        <w:rPr>
          <w:rFonts w:ascii="Arial" w:hAnsi="Arial" w:cs="Arial"/>
          <w:sz w:val="20"/>
          <w:szCs w:val="20"/>
          <w:shd w:val="clear" w:color="auto" w:fill="FFFFFF"/>
        </w:rPr>
        <w:t>, H., Ames, D., &amp; Chiu, E. (2010).</w:t>
      </w:r>
      <w:proofErr w:type="gramEnd"/>
      <w:r w:rsidRPr="008602E1">
        <w:rPr>
          <w:rFonts w:ascii="Arial" w:hAnsi="Arial" w:cs="Arial"/>
          <w:sz w:val="20"/>
          <w:szCs w:val="20"/>
          <w:shd w:val="clear" w:color="auto" w:fill="FFFFFF"/>
        </w:rPr>
        <w:t xml:space="preserve"> </w:t>
      </w:r>
      <w:proofErr w:type="gramStart"/>
      <w:r w:rsidRPr="008602E1">
        <w:rPr>
          <w:rFonts w:ascii="Arial" w:hAnsi="Arial" w:cs="Arial"/>
          <w:sz w:val="20"/>
          <w:szCs w:val="20"/>
          <w:shd w:val="clear" w:color="auto" w:fill="FFFFFF"/>
        </w:rPr>
        <w:t xml:space="preserve">Prevalence and treatment of late life </w:t>
      </w:r>
      <w:proofErr w:type="spellStart"/>
      <w:r w:rsidRPr="008602E1">
        <w:rPr>
          <w:rFonts w:ascii="Arial" w:hAnsi="Arial" w:cs="Arial"/>
          <w:sz w:val="20"/>
          <w:szCs w:val="20"/>
          <w:shd w:val="clear" w:color="auto" w:fill="FFFFFF"/>
        </w:rPr>
        <w:t>depression.</w:t>
      </w:r>
      <w:r w:rsidRPr="008602E1">
        <w:rPr>
          <w:rFonts w:ascii="Arial" w:hAnsi="Arial" w:cs="Arial"/>
          <w:i/>
          <w:iCs/>
          <w:sz w:val="20"/>
          <w:szCs w:val="20"/>
          <w:shd w:val="clear" w:color="auto" w:fill="FFFFFF"/>
        </w:rPr>
        <w:t>Australian</w:t>
      </w:r>
      <w:proofErr w:type="spellEnd"/>
      <w:r w:rsidRPr="008602E1">
        <w:rPr>
          <w:rFonts w:ascii="Arial" w:hAnsi="Arial" w:cs="Arial"/>
          <w:i/>
          <w:iCs/>
          <w:sz w:val="20"/>
          <w:szCs w:val="20"/>
          <w:shd w:val="clear" w:color="auto" w:fill="FFFFFF"/>
        </w:rPr>
        <w:t xml:space="preserve"> and New Zealand Journal of Psychiatry,</w:t>
      </w:r>
      <w:r w:rsidRPr="008602E1">
        <w:rPr>
          <w:rStyle w:val="apple-converted-space"/>
          <w:rFonts w:ascii="Arial" w:hAnsi="Arial" w:cs="Arial"/>
          <w:i/>
          <w:iCs/>
          <w:sz w:val="20"/>
          <w:szCs w:val="20"/>
          <w:shd w:val="clear" w:color="auto" w:fill="FFFFFF"/>
        </w:rPr>
        <w:t> </w:t>
      </w:r>
      <w:r w:rsidRPr="008602E1">
        <w:rPr>
          <w:rFonts w:ascii="Arial" w:hAnsi="Arial" w:cs="Arial"/>
          <w:i/>
          <w:iCs/>
          <w:sz w:val="20"/>
          <w:szCs w:val="20"/>
          <w:shd w:val="clear" w:color="auto" w:fill="FFFFFF"/>
        </w:rPr>
        <w:t>44</w:t>
      </w:r>
      <w:r w:rsidRPr="008602E1">
        <w:rPr>
          <w:rFonts w:ascii="Arial" w:hAnsi="Arial" w:cs="Arial"/>
          <w:sz w:val="20"/>
          <w:szCs w:val="20"/>
          <w:shd w:val="clear" w:color="auto" w:fill="FFFFFF"/>
        </w:rPr>
        <w:t>(11), 1054-1054.</w:t>
      </w:r>
      <w:proofErr w:type="gramEnd"/>
      <w:r w:rsidRPr="008602E1">
        <w:rPr>
          <w:rFonts w:ascii="Arial" w:hAnsi="Arial" w:cs="Arial"/>
          <w:sz w:val="20"/>
          <w:szCs w:val="20"/>
          <w:shd w:val="clear" w:color="auto" w:fill="FFFFFF"/>
        </w:rPr>
        <w:t xml:space="preserve"> </w:t>
      </w:r>
      <w:hyperlink r:id="rId5" w:history="1">
        <w:proofErr w:type="gramStart"/>
        <w:r w:rsidRPr="008602E1">
          <w:rPr>
            <w:rStyle w:val="highlight2"/>
            <w:rFonts w:ascii="Arial" w:hAnsi="Arial" w:cs="Arial"/>
            <w:sz w:val="20"/>
            <w:szCs w:val="20"/>
          </w:rPr>
          <w:t>Snowdon</w:t>
        </w:r>
        <w:r w:rsidRPr="008602E1">
          <w:rPr>
            <w:rFonts w:ascii="Arial" w:hAnsi="Arial" w:cs="Arial"/>
            <w:sz w:val="20"/>
            <w:szCs w:val="20"/>
          </w:rPr>
          <w:t xml:space="preserve"> J</w:t>
        </w:r>
      </w:hyperlink>
      <w:r w:rsidRPr="008602E1">
        <w:rPr>
          <w:rFonts w:ascii="Arial" w:hAnsi="Arial" w:cs="Arial"/>
          <w:sz w:val="20"/>
          <w:szCs w:val="20"/>
        </w:rPr>
        <w:t xml:space="preserve">, </w:t>
      </w:r>
      <w:hyperlink r:id="rId6" w:history="1">
        <w:proofErr w:type="spellStart"/>
        <w:r w:rsidRPr="008602E1">
          <w:rPr>
            <w:rFonts w:ascii="Arial" w:hAnsi="Arial" w:cs="Arial"/>
            <w:sz w:val="20"/>
            <w:szCs w:val="20"/>
          </w:rPr>
          <w:t>Rosengren</w:t>
        </w:r>
        <w:proofErr w:type="spellEnd"/>
        <w:r w:rsidRPr="008602E1">
          <w:rPr>
            <w:rFonts w:ascii="Arial" w:hAnsi="Arial" w:cs="Arial"/>
            <w:sz w:val="20"/>
            <w:szCs w:val="20"/>
          </w:rPr>
          <w:t xml:space="preserve"> D</w:t>
        </w:r>
      </w:hyperlink>
      <w:r w:rsidRPr="008602E1">
        <w:rPr>
          <w:rFonts w:ascii="Arial" w:hAnsi="Arial" w:cs="Arial"/>
          <w:sz w:val="20"/>
          <w:szCs w:val="20"/>
        </w:rPr>
        <w:t xml:space="preserve">, </w:t>
      </w:r>
      <w:hyperlink r:id="rId7" w:history="1">
        <w:r w:rsidRPr="008602E1">
          <w:rPr>
            <w:rFonts w:ascii="Arial" w:hAnsi="Arial" w:cs="Arial"/>
            <w:sz w:val="20"/>
            <w:szCs w:val="20"/>
          </w:rPr>
          <w:t>Daniel F</w:t>
        </w:r>
      </w:hyperlink>
      <w:r w:rsidRPr="008602E1">
        <w:rPr>
          <w:rFonts w:ascii="Arial" w:hAnsi="Arial" w:cs="Arial"/>
          <w:sz w:val="20"/>
          <w:szCs w:val="20"/>
        </w:rPr>
        <w:t xml:space="preserve">, </w:t>
      </w:r>
      <w:hyperlink r:id="rId8" w:history="1">
        <w:proofErr w:type="spellStart"/>
        <w:r w:rsidRPr="008602E1">
          <w:rPr>
            <w:rFonts w:ascii="Arial" w:hAnsi="Arial" w:cs="Arial"/>
            <w:sz w:val="20"/>
            <w:szCs w:val="20"/>
          </w:rPr>
          <w:t>Suyasa</w:t>
        </w:r>
        <w:proofErr w:type="spellEnd"/>
        <w:r w:rsidRPr="008602E1">
          <w:rPr>
            <w:rFonts w:ascii="Arial" w:hAnsi="Arial" w:cs="Arial"/>
            <w:sz w:val="20"/>
            <w:szCs w:val="20"/>
          </w:rPr>
          <w:t xml:space="preserve"> M</w:t>
        </w:r>
      </w:hyperlink>
      <w:r w:rsidRPr="008602E1">
        <w:rPr>
          <w:rFonts w:ascii="Arial" w:hAnsi="Arial" w:cs="Arial"/>
          <w:sz w:val="20"/>
          <w:szCs w:val="20"/>
        </w:rPr>
        <w:t>.</w:t>
      </w:r>
      <w:proofErr w:type="gramEnd"/>
      <w:r w:rsidRPr="008602E1">
        <w:rPr>
          <w:rFonts w:ascii="Arial" w:hAnsi="Arial" w:cs="Arial"/>
          <w:sz w:val="20"/>
          <w:szCs w:val="20"/>
        </w:rPr>
        <w:t xml:space="preserve"> (2011) Australia's use of the Cornell scale to screen for </w:t>
      </w:r>
      <w:r w:rsidRPr="008602E1">
        <w:rPr>
          <w:rStyle w:val="highlight2"/>
          <w:rFonts w:ascii="Arial" w:hAnsi="Arial" w:cs="Arial"/>
          <w:sz w:val="20"/>
          <w:szCs w:val="20"/>
        </w:rPr>
        <w:t>depression</w:t>
      </w:r>
      <w:r w:rsidRPr="008602E1">
        <w:rPr>
          <w:rFonts w:ascii="Arial" w:hAnsi="Arial" w:cs="Arial"/>
          <w:sz w:val="20"/>
          <w:szCs w:val="20"/>
        </w:rPr>
        <w:t xml:space="preserve"> in nursing homes. </w:t>
      </w:r>
      <w:hyperlink r:id="rId9" w:tooltip="Australasian journal on ageing." w:history="1">
        <w:proofErr w:type="spellStart"/>
        <w:r w:rsidRPr="008602E1">
          <w:rPr>
            <w:rFonts w:ascii="Arial" w:hAnsi="Arial" w:cs="Arial"/>
            <w:sz w:val="20"/>
            <w:szCs w:val="20"/>
          </w:rPr>
          <w:t>Australas</w:t>
        </w:r>
        <w:proofErr w:type="spellEnd"/>
        <w:r w:rsidRPr="008602E1">
          <w:rPr>
            <w:rFonts w:ascii="Arial" w:hAnsi="Arial" w:cs="Arial"/>
            <w:sz w:val="20"/>
            <w:szCs w:val="20"/>
          </w:rPr>
          <w:t xml:space="preserve"> J Ageing.</w:t>
        </w:r>
      </w:hyperlink>
      <w:r w:rsidRPr="008602E1">
        <w:rPr>
          <w:rFonts w:ascii="Arial" w:hAnsi="Arial" w:cs="Arial"/>
          <w:sz w:val="20"/>
          <w:szCs w:val="20"/>
        </w:rPr>
        <w:t xml:space="preserve"> 30(1):33-6.</w:t>
      </w:r>
    </w:p>
  </w:footnote>
  <w:footnote w:id="17">
    <w:p w:rsidR="00DB2BD6" w:rsidRPr="007E373F" w:rsidRDefault="00DB2BD6" w:rsidP="007E373F">
      <w:pPr>
        <w:shd w:val="clear" w:color="auto" w:fill="FFFFFF"/>
        <w:spacing w:after="0" w:line="240" w:lineRule="auto"/>
        <w:rPr>
          <w:rFonts w:ascii="Arial" w:hAnsi="Arial" w:cs="Arial"/>
          <w:sz w:val="20"/>
          <w:szCs w:val="20"/>
        </w:rPr>
      </w:pPr>
      <w:r w:rsidRPr="007E373F">
        <w:rPr>
          <w:rStyle w:val="FootnoteReference"/>
          <w:rFonts w:ascii="Arial" w:hAnsi="Arial" w:cs="Arial"/>
          <w:sz w:val="20"/>
          <w:szCs w:val="20"/>
        </w:rPr>
        <w:footnoteRef/>
      </w:r>
      <w:r w:rsidRPr="007E373F">
        <w:rPr>
          <w:rFonts w:ascii="Arial" w:hAnsi="Arial" w:cs="Arial"/>
          <w:sz w:val="20"/>
          <w:szCs w:val="20"/>
        </w:rPr>
        <w:t xml:space="preserve"> </w:t>
      </w:r>
      <w:hyperlink r:id="rId10" w:history="1">
        <w:proofErr w:type="gramStart"/>
        <w:r w:rsidR="007E373F" w:rsidRPr="007E373F">
          <w:rPr>
            <w:rStyle w:val="highlight2"/>
            <w:rFonts w:ascii="Arial" w:hAnsi="Arial" w:cs="Arial"/>
            <w:sz w:val="20"/>
            <w:szCs w:val="20"/>
          </w:rPr>
          <w:t>Snowdon</w:t>
        </w:r>
        <w:r w:rsidR="007E373F" w:rsidRPr="007E373F">
          <w:rPr>
            <w:rFonts w:ascii="Arial" w:hAnsi="Arial" w:cs="Arial"/>
            <w:sz w:val="20"/>
            <w:szCs w:val="20"/>
          </w:rPr>
          <w:t xml:space="preserve"> J</w:t>
        </w:r>
      </w:hyperlink>
      <w:r w:rsidR="007E373F" w:rsidRPr="007E373F">
        <w:rPr>
          <w:rFonts w:ascii="Arial" w:hAnsi="Arial" w:cs="Arial"/>
          <w:sz w:val="20"/>
          <w:szCs w:val="20"/>
        </w:rPr>
        <w:t xml:space="preserve">, </w:t>
      </w:r>
      <w:hyperlink r:id="rId11" w:history="1">
        <w:proofErr w:type="spellStart"/>
        <w:r w:rsidR="007E373F" w:rsidRPr="007E373F">
          <w:rPr>
            <w:rFonts w:ascii="Arial" w:hAnsi="Arial" w:cs="Arial"/>
            <w:sz w:val="20"/>
            <w:szCs w:val="20"/>
          </w:rPr>
          <w:t>Rosengren</w:t>
        </w:r>
        <w:proofErr w:type="spellEnd"/>
        <w:r w:rsidR="007E373F" w:rsidRPr="007E373F">
          <w:rPr>
            <w:rFonts w:ascii="Arial" w:hAnsi="Arial" w:cs="Arial"/>
            <w:sz w:val="20"/>
            <w:szCs w:val="20"/>
          </w:rPr>
          <w:t xml:space="preserve"> D</w:t>
        </w:r>
      </w:hyperlink>
      <w:r w:rsidR="007E373F" w:rsidRPr="007E373F">
        <w:rPr>
          <w:rFonts w:ascii="Arial" w:hAnsi="Arial" w:cs="Arial"/>
          <w:sz w:val="20"/>
          <w:szCs w:val="20"/>
        </w:rPr>
        <w:t xml:space="preserve">, </w:t>
      </w:r>
      <w:hyperlink r:id="rId12" w:history="1">
        <w:r w:rsidR="007E373F" w:rsidRPr="007E373F">
          <w:rPr>
            <w:rFonts w:ascii="Arial" w:hAnsi="Arial" w:cs="Arial"/>
            <w:sz w:val="20"/>
            <w:szCs w:val="20"/>
          </w:rPr>
          <w:t>Daniel F</w:t>
        </w:r>
      </w:hyperlink>
      <w:r w:rsidR="007E373F" w:rsidRPr="007E373F">
        <w:rPr>
          <w:rFonts w:ascii="Arial" w:hAnsi="Arial" w:cs="Arial"/>
          <w:sz w:val="20"/>
          <w:szCs w:val="20"/>
        </w:rPr>
        <w:t xml:space="preserve">, </w:t>
      </w:r>
      <w:hyperlink r:id="rId13" w:history="1">
        <w:proofErr w:type="spellStart"/>
        <w:r w:rsidR="007E373F" w:rsidRPr="007E373F">
          <w:rPr>
            <w:rFonts w:ascii="Arial" w:hAnsi="Arial" w:cs="Arial"/>
            <w:sz w:val="20"/>
            <w:szCs w:val="20"/>
          </w:rPr>
          <w:t>Suyasa</w:t>
        </w:r>
        <w:proofErr w:type="spellEnd"/>
        <w:r w:rsidR="007E373F" w:rsidRPr="007E373F">
          <w:rPr>
            <w:rFonts w:ascii="Arial" w:hAnsi="Arial" w:cs="Arial"/>
            <w:sz w:val="20"/>
            <w:szCs w:val="20"/>
          </w:rPr>
          <w:t xml:space="preserve"> M</w:t>
        </w:r>
      </w:hyperlink>
      <w:r w:rsidR="007E373F" w:rsidRPr="007E373F">
        <w:rPr>
          <w:rFonts w:ascii="Arial" w:hAnsi="Arial" w:cs="Arial"/>
          <w:sz w:val="20"/>
          <w:szCs w:val="20"/>
        </w:rPr>
        <w:t>.</w:t>
      </w:r>
      <w:proofErr w:type="gramEnd"/>
      <w:r w:rsidR="007E373F" w:rsidRPr="007E373F">
        <w:rPr>
          <w:rFonts w:ascii="Arial" w:hAnsi="Arial" w:cs="Arial"/>
          <w:sz w:val="20"/>
          <w:szCs w:val="20"/>
        </w:rPr>
        <w:t xml:space="preserve"> (2011) Australia's use of the Cornell scale to screen for </w:t>
      </w:r>
      <w:r w:rsidR="007E373F" w:rsidRPr="007E373F">
        <w:rPr>
          <w:rStyle w:val="highlight2"/>
          <w:rFonts w:ascii="Arial" w:hAnsi="Arial" w:cs="Arial"/>
          <w:sz w:val="20"/>
          <w:szCs w:val="20"/>
        </w:rPr>
        <w:t>depression</w:t>
      </w:r>
      <w:r w:rsidR="007E373F" w:rsidRPr="007E373F">
        <w:rPr>
          <w:rFonts w:ascii="Arial" w:hAnsi="Arial" w:cs="Arial"/>
          <w:sz w:val="20"/>
          <w:szCs w:val="20"/>
        </w:rPr>
        <w:t xml:space="preserve"> in nursing homes. </w:t>
      </w:r>
      <w:hyperlink r:id="rId14" w:tooltip="Australasian journal on ageing." w:history="1">
        <w:proofErr w:type="spellStart"/>
        <w:r w:rsidR="007E373F" w:rsidRPr="007E373F">
          <w:rPr>
            <w:rFonts w:ascii="Arial" w:hAnsi="Arial" w:cs="Arial"/>
            <w:sz w:val="20"/>
            <w:szCs w:val="20"/>
          </w:rPr>
          <w:t>Australas</w:t>
        </w:r>
        <w:proofErr w:type="spellEnd"/>
        <w:r w:rsidR="007E373F" w:rsidRPr="007E373F">
          <w:rPr>
            <w:rFonts w:ascii="Arial" w:hAnsi="Arial" w:cs="Arial"/>
            <w:sz w:val="20"/>
            <w:szCs w:val="20"/>
          </w:rPr>
          <w:t xml:space="preserve"> J Ageing.</w:t>
        </w:r>
      </w:hyperlink>
      <w:r w:rsidR="007E373F" w:rsidRPr="007E373F">
        <w:rPr>
          <w:rFonts w:ascii="Arial" w:hAnsi="Arial" w:cs="Arial"/>
          <w:sz w:val="20"/>
          <w:szCs w:val="20"/>
        </w:rPr>
        <w:t xml:space="preserve"> 30(1):33-6.</w:t>
      </w:r>
    </w:p>
  </w:footnote>
  <w:footnote w:id="18">
    <w:p w:rsidR="00DB2BD6" w:rsidRPr="007E373F" w:rsidRDefault="00DB2BD6" w:rsidP="007E373F">
      <w:pPr>
        <w:spacing w:after="0" w:line="240" w:lineRule="auto"/>
        <w:rPr>
          <w:rFonts w:ascii="Arial" w:hAnsi="Arial" w:cs="Arial"/>
          <w:sz w:val="20"/>
          <w:szCs w:val="20"/>
        </w:rPr>
      </w:pPr>
      <w:r w:rsidRPr="007E373F">
        <w:rPr>
          <w:rStyle w:val="FootnoteReference"/>
          <w:rFonts w:ascii="Arial" w:hAnsi="Arial" w:cs="Arial"/>
          <w:sz w:val="20"/>
          <w:szCs w:val="20"/>
        </w:rPr>
        <w:footnoteRef/>
      </w:r>
      <w:r w:rsidRPr="007E373F">
        <w:rPr>
          <w:rFonts w:ascii="Arial" w:hAnsi="Arial" w:cs="Arial"/>
          <w:sz w:val="20"/>
          <w:szCs w:val="20"/>
        </w:rPr>
        <w:t xml:space="preserve"> </w:t>
      </w:r>
      <w:proofErr w:type="gramStart"/>
      <w:r w:rsidRPr="007E373F">
        <w:rPr>
          <w:rFonts w:ascii="Arial" w:hAnsi="Arial" w:cs="Arial"/>
          <w:sz w:val="20"/>
          <w:szCs w:val="20"/>
        </w:rPr>
        <w:t xml:space="preserve">Burns, K., </w:t>
      </w:r>
      <w:proofErr w:type="spellStart"/>
      <w:r w:rsidRPr="007E373F">
        <w:rPr>
          <w:rFonts w:ascii="Arial" w:hAnsi="Arial" w:cs="Arial"/>
          <w:sz w:val="20"/>
          <w:szCs w:val="20"/>
        </w:rPr>
        <w:t>Jayasinha</w:t>
      </w:r>
      <w:proofErr w:type="spellEnd"/>
      <w:r w:rsidRPr="007E373F">
        <w:rPr>
          <w:rFonts w:ascii="Arial" w:hAnsi="Arial" w:cs="Arial"/>
          <w:sz w:val="20"/>
          <w:szCs w:val="20"/>
        </w:rPr>
        <w:t xml:space="preserve">, R., Tsang, R. and </w:t>
      </w:r>
      <w:proofErr w:type="spellStart"/>
      <w:r w:rsidRPr="007E373F">
        <w:rPr>
          <w:rFonts w:ascii="Arial" w:hAnsi="Arial" w:cs="Arial"/>
          <w:sz w:val="20"/>
          <w:szCs w:val="20"/>
        </w:rPr>
        <w:t>Brodaty</w:t>
      </w:r>
      <w:proofErr w:type="spellEnd"/>
      <w:r w:rsidRPr="007E373F">
        <w:rPr>
          <w:rFonts w:ascii="Arial" w:hAnsi="Arial" w:cs="Arial"/>
          <w:sz w:val="20"/>
          <w:szCs w:val="20"/>
        </w:rPr>
        <w:t>, H. (2012).</w:t>
      </w:r>
      <w:proofErr w:type="gramEnd"/>
      <w:r w:rsidRPr="007E373F">
        <w:rPr>
          <w:rFonts w:ascii="Arial" w:hAnsi="Arial" w:cs="Arial"/>
          <w:sz w:val="20"/>
          <w:szCs w:val="20"/>
        </w:rPr>
        <w:t xml:space="preserve"> </w:t>
      </w:r>
      <w:proofErr w:type="spellStart"/>
      <w:r w:rsidRPr="007E373F">
        <w:rPr>
          <w:rFonts w:ascii="Arial" w:hAnsi="Arial" w:cs="Arial"/>
          <w:sz w:val="20"/>
          <w:szCs w:val="20"/>
        </w:rPr>
        <w:t>Behavior</w:t>
      </w:r>
      <w:proofErr w:type="spellEnd"/>
      <w:r w:rsidRPr="007E373F">
        <w:rPr>
          <w:rFonts w:ascii="Arial" w:hAnsi="Arial" w:cs="Arial"/>
          <w:sz w:val="20"/>
          <w:szCs w:val="20"/>
        </w:rPr>
        <w:t xml:space="preserve"> management a guide to good practice: managing behavioural and psychological symptoms of dementia. Commonwealth: Canberra.</w:t>
      </w:r>
      <w:hyperlink r:id="rId15" w:history="1">
        <w:r w:rsidRPr="007E373F">
          <w:rPr>
            <w:rStyle w:val="Hyperlink"/>
            <w:rFonts w:ascii="Arial" w:hAnsi="Arial" w:cs="Arial"/>
            <w:color w:val="auto"/>
            <w:sz w:val="20"/>
            <w:szCs w:val="20"/>
          </w:rPr>
          <w:t>http://dementiaresearch.com.au/images/dcrc/output-files/328-2012_dbmas_bpsd_guidelines_guide.pdf</w:t>
        </w:r>
      </w:hyperlink>
      <w:r w:rsidRPr="007E373F">
        <w:rPr>
          <w:rStyle w:val="Hyperlink"/>
          <w:rFonts w:ascii="Arial" w:hAnsi="Arial" w:cs="Arial"/>
          <w:color w:val="auto"/>
          <w:sz w:val="20"/>
          <w:szCs w:val="20"/>
        </w:rPr>
        <w:t xml:space="preserve">. </w:t>
      </w:r>
      <w:proofErr w:type="gramStart"/>
      <w:r w:rsidRPr="007E373F">
        <w:rPr>
          <w:rStyle w:val="Hyperlink"/>
          <w:rFonts w:ascii="Arial" w:hAnsi="Arial" w:cs="Arial"/>
          <w:color w:val="auto"/>
          <w:sz w:val="20"/>
          <w:szCs w:val="20"/>
        </w:rPr>
        <w:t>Accessed May 2016.</w:t>
      </w:r>
      <w:proofErr w:type="gramEnd"/>
    </w:p>
  </w:footnote>
  <w:footnote w:id="19">
    <w:p w:rsidR="00BC3D6F" w:rsidRPr="007E373F" w:rsidRDefault="00BC3D6F" w:rsidP="007E373F">
      <w:pPr>
        <w:shd w:val="clear" w:color="auto" w:fill="FFFFFF"/>
        <w:spacing w:after="0" w:line="240" w:lineRule="auto"/>
        <w:rPr>
          <w:rFonts w:ascii="Arial" w:hAnsi="Arial" w:cs="Arial"/>
          <w:sz w:val="20"/>
          <w:szCs w:val="20"/>
        </w:rPr>
      </w:pPr>
      <w:r w:rsidRPr="007E373F">
        <w:rPr>
          <w:rStyle w:val="FootnoteReference"/>
          <w:rFonts w:ascii="Arial" w:hAnsi="Arial" w:cs="Arial"/>
          <w:sz w:val="20"/>
          <w:szCs w:val="20"/>
        </w:rPr>
        <w:footnoteRef/>
      </w:r>
      <w:r w:rsidRPr="007E373F">
        <w:rPr>
          <w:rFonts w:ascii="Arial" w:hAnsi="Arial" w:cs="Arial"/>
          <w:sz w:val="20"/>
          <w:szCs w:val="20"/>
        </w:rPr>
        <w:t xml:space="preserve"> </w:t>
      </w:r>
      <w:proofErr w:type="spellStart"/>
      <w:r w:rsidRPr="007E373F">
        <w:rPr>
          <w:rFonts w:ascii="Arial" w:hAnsi="Arial" w:cs="Arial"/>
          <w:sz w:val="20"/>
          <w:szCs w:val="20"/>
        </w:rPr>
        <w:t>Brodaty</w:t>
      </w:r>
      <w:proofErr w:type="spellEnd"/>
      <w:r w:rsidRPr="007E373F">
        <w:rPr>
          <w:rFonts w:ascii="Arial" w:hAnsi="Arial" w:cs="Arial"/>
          <w:sz w:val="20"/>
          <w:szCs w:val="20"/>
        </w:rPr>
        <w:t xml:space="preserve">, H., Draper, B., Saab, D., Low, L. F., Richards, V., Paton, H. &amp; Lie, D. (2001). Psychosis, depression and behavioural disturbances in Sydney nursing home residents: prevalence and predictors. </w:t>
      </w:r>
      <w:r w:rsidRPr="007E373F">
        <w:rPr>
          <w:rFonts w:ascii="Arial" w:hAnsi="Arial" w:cs="Arial"/>
          <w:i/>
          <w:sz w:val="20"/>
          <w:szCs w:val="20"/>
        </w:rPr>
        <w:t xml:space="preserve">International Journal of Geriatric Medicine, </w:t>
      </w:r>
      <w:r w:rsidRPr="007E373F">
        <w:rPr>
          <w:rFonts w:ascii="Arial" w:hAnsi="Arial" w:cs="Arial"/>
          <w:sz w:val="20"/>
          <w:szCs w:val="20"/>
        </w:rPr>
        <w:t>16(5), 451-551.</w:t>
      </w:r>
    </w:p>
  </w:footnote>
  <w:footnote w:id="20">
    <w:p w:rsidR="007E373F" w:rsidRPr="007E373F" w:rsidRDefault="00DB2BD6" w:rsidP="007E373F">
      <w:pPr>
        <w:spacing w:after="0" w:line="240" w:lineRule="auto"/>
        <w:rPr>
          <w:rFonts w:ascii="Arial" w:hAnsi="Arial" w:cs="Arial"/>
          <w:bCs/>
          <w:sz w:val="20"/>
          <w:szCs w:val="20"/>
        </w:rPr>
      </w:pPr>
      <w:r w:rsidRPr="007E373F">
        <w:rPr>
          <w:rStyle w:val="FootnoteReference"/>
          <w:rFonts w:ascii="Arial" w:hAnsi="Arial" w:cs="Arial"/>
          <w:sz w:val="20"/>
          <w:szCs w:val="20"/>
        </w:rPr>
        <w:footnoteRef/>
      </w:r>
      <w:r w:rsidRPr="007E373F">
        <w:rPr>
          <w:rFonts w:ascii="Arial" w:hAnsi="Arial" w:cs="Arial"/>
          <w:sz w:val="20"/>
          <w:szCs w:val="20"/>
        </w:rPr>
        <w:t xml:space="preserve"> </w:t>
      </w:r>
      <w:proofErr w:type="spellStart"/>
      <w:r w:rsidR="007E373F" w:rsidRPr="007E373F">
        <w:rPr>
          <w:rFonts w:ascii="Arial" w:hAnsi="Arial" w:cs="Arial"/>
          <w:bCs/>
          <w:sz w:val="20"/>
          <w:szCs w:val="20"/>
        </w:rPr>
        <w:t>Peisah</w:t>
      </w:r>
      <w:proofErr w:type="spellEnd"/>
      <w:r w:rsidR="007E373F" w:rsidRPr="007E373F">
        <w:rPr>
          <w:rFonts w:ascii="Arial" w:hAnsi="Arial" w:cs="Arial"/>
          <w:bCs/>
          <w:sz w:val="20"/>
          <w:szCs w:val="20"/>
        </w:rPr>
        <w:t xml:space="preserve"> C. (2014) </w:t>
      </w:r>
      <w:proofErr w:type="gramStart"/>
      <w:r w:rsidR="007E373F" w:rsidRPr="007E373F">
        <w:rPr>
          <w:rFonts w:ascii="Arial" w:hAnsi="Arial" w:cs="Arial"/>
          <w:bCs/>
          <w:sz w:val="20"/>
          <w:szCs w:val="20"/>
        </w:rPr>
        <w:t>The</w:t>
      </w:r>
      <w:proofErr w:type="gramEnd"/>
      <w:r w:rsidR="007E373F" w:rsidRPr="007E373F">
        <w:rPr>
          <w:rFonts w:ascii="Arial" w:hAnsi="Arial" w:cs="Arial"/>
          <w:bCs/>
          <w:sz w:val="20"/>
          <w:szCs w:val="20"/>
        </w:rPr>
        <w:t xml:space="preserve"> use of restraints and psychotropic medications in people with dementia Paper 38: A report for Alzheimer’s Australia. </w:t>
      </w:r>
      <w:proofErr w:type="gramStart"/>
      <w:r w:rsidR="007E373F" w:rsidRPr="007E373F">
        <w:rPr>
          <w:rFonts w:ascii="Arial" w:hAnsi="Arial" w:cs="Arial"/>
          <w:bCs/>
          <w:sz w:val="20"/>
          <w:szCs w:val="20"/>
        </w:rPr>
        <w:t>Alzheimer’s Australia.</w:t>
      </w:r>
      <w:proofErr w:type="gramEnd"/>
      <w:r w:rsidR="007E373F" w:rsidRPr="007E373F">
        <w:rPr>
          <w:rFonts w:ascii="Arial" w:hAnsi="Arial" w:cs="Arial"/>
          <w:bCs/>
          <w:sz w:val="20"/>
          <w:szCs w:val="20"/>
        </w:rPr>
        <w:t xml:space="preserve"> https://fightdementia.org.au/sites/default/files/NATIONAL/documents/Alzheimers-Australia-Numbered-Publication-38.pdf</w:t>
      </w:r>
    </w:p>
    <w:p w:rsidR="00DB2BD6" w:rsidRDefault="00DB2BD6">
      <w:pPr>
        <w:pStyle w:val="FootnoteText"/>
      </w:pPr>
    </w:p>
  </w:footnote>
  <w:footnote w:id="21">
    <w:p w:rsidR="00DB2BD6" w:rsidRDefault="00DB2BD6" w:rsidP="00A11D9A">
      <w:pPr>
        <w:shd w:val="clear" w:color="auto" w:fill="FFFFFF"/>
        <w:spacing w:after="0" w:line="240" w:lineRule="auto"/>
      </w:pPr>
      <w:r>
        <w:rPr>
          <w:rStyle w:val="FootnoteReference"/>
        </w:rPr>
        <w:footnoteRef/>
      </w:r>
      <w:r>
        <w:t xml:space="preserve"> </w:t>
      </w:r>
      <w:proofErr w:type="gramStart"/>
      <w:r>
        <w:rPr>
          <w:rFonts w:cs="Arial"/>
        </w:rPr>
        <w:t>Department of Health and Ageing (2012).</w:t>
      </w:r>
      <w:proofErr w:type="gramEnd"/>
      <w:r>
        <w:rPr>
          <w:rFonts w:cs="Arial"/>
        </w:rPr>
        <w:t xml:space="preserve"> </w:t>
      </w:r>
      <w:proofErr w:type="gramStart"/>
      <w:r>
        <w:rPr>
          <w:rFonts w:cs="Arial"/>
        </w:rPr>
        <w:t>Decision Making Tool- Supporting a Restraint-free Environment in Community Aged Care.</w:t>
      </w:r>
      <w:proofErr w:type="gramEnd"/>
      <w:r>
        <w:rPr>
          <w:rFonts w:cs="Arial"/>
        </w:rPr>
        <w:t xml:space="preserve"> </w:t>
      </w:r>
      <w:proofErr w:type="gramStart"/>
      <w:r>
        <w:rPr>
          <w:rFonts w:cs="Arial"/>
        </w:rPr>
        <w:t>Commonwealth of Australia.</w:t>
      </w:r>
      <w:proofErr w:type="gramEnd"/>
    </w:p>
  </w:footnote>
  <w:footnote w:id="22">
    <w:p w:rsidR="00DB2BD6" w:rsidRPr="00612512" w:rsidRDefault="00DB2BD6">
      <w:pPr>
        <w:pStyle w:val="FootnoteText"/>
      </w:pPr>
      <w:r>
        <w:rPr>
          <w:rStyle w:val="FootnoteReference"/>
        </w:rPr>
        <w:footnoteRef/>
      </w:r>
      <w:r>
        <w:t xml:space="preserve"> </w:t>
      </w:r>
      <w:proofErr w:type="gramStart"/>
      <w:r w:rsidRPr="00612512">
        <w:rPr>
          <w:rFonts w:ascii="Arial" w:hAnsi="Arial" w:cs="Arial"/>
        </w:rPr>
        <w:t xml:space="preserve">Snowdon, J., </w:t>
      </w:r>
      <w:proofErr w:type="spellStart"/>
      <w:r w:rsidRPr="00612512">
        <w:rPr>
          <w:rFonts w:ascii="Arial" w:hAnsi="Arial" w:cs="Arial"/>
        </w:rPr>
        <w:t>Galanos</w:t>
      </w:r>
      <w:proofErr w:type="spellEnd"/>
      <w:r w:rsidRPr="00612512">
        <w:rPr>
          <w:rFonts w:ascii="Arial" w:hAnsi="Arial" w:cs="Arial"/>
        </w:rPr>
        <w:t xml:space="preserve">, D., &amp; </w:t>
      </w:r>
      <w:proofErr w:type="spellStart"/>
      <w:r w:rsidRPr="00612512">
        <w:rPr>
          <w:rFonts w:ascii="Arial" w:hAnsi="Arial" w:cs="Arial"/>
        </w:rPr>
        <w:t>Vaswani</w:t>
      </w:r>
      <w:proofErr w:type="spellEnd"/>
      <w:r w:rsidRPr="00612512">
        <w:rPr>
          <w:rFonts w:ascii="Arial" w:hAnsi="Arial" w:cs="Arial"/>
        </w:rPr>
        <w:t>, D. (2011).</w:t>
      </w:r>
      <w:proofErr w:type="gramEnd"/>
      <w:r w:rsidRPr="00612512">
        <w:rPr>
          <w:rFonts w:ascii="Arial" w:hAnsi="Arial" w:cs="Arial"/>
        </w:rPr>
        <w:t xml:space="preserve"> </w:t>
      </w:r>
      <w:proofErr w:type="gramStart"/>
      <w:r w:rsidRPr="00612512">
        <w:rPr>
          <w:rFonts w:ascii="Arial" w:hAnsi="Arial" w:cs="Arial"/>
        </w:rPr>
        <w:t>A 2009 survey of psychotropic medication use in Sydney nursing homes.</w:t>
      </w:r>
      <w:proofErr w:type="gramEnd"/>
      <w:r w:rsidRPr="00612512">
        <w:rPr>
          <w:rFonts w:ascii="Arial" w:hAnsi="Arial" w:cs="Arial"/>
        </w:rPr>
        <w:t xml:space="preserve"> </w:t>
      </w:r>
      <w:proofErr w:type="gramStart"/>
      <w:r w:rsidRPr="00612512">
        <w:rPr>
          <w:rFonts w:ascii="Arial" w:hAnsi="Arial" w:cs="Arial"/>
          <w:i/>
          <w:iCs/>
        </w:rPr>
        <w:t>Medical Journal of Australia, 194</w:t>
      </w:r>
      <w:r w:rsidRPr="00612512">
        <w:rPr>
          <w:rFonts w:ascii="Arial" w:hAnsi="Arial" w:cs="Arial"/>
        </w:rPr>
        <w:t>(5), 270-1.</w:t>
      </w:r>
      <w:proofErr w:type="gramEnd"/>
    </w:p>
  </w:footnote>
  <w:footnote w:id="23">
    <w:p w:rsidR="00DB2BD6" w:rsidRPr="00612512" w:rsidRDefault="00DB2BD6" w:rsidP="009278A5">
      <w:pPr>
        <w:spacing w:after="0" w:line="240" w:lineRule="auto"/>
        <w:rPr>
          <w:sz w:val="20"/>
          <w:szCs w:val="20"/>
        </w:rPr>
      </w:pPr>
      <w:r w:rsidRPr="00612512">
        <w:rPr>
          <w:rStyle w:val="FootnoteReference"/>
          <w:sz w:val="20"/>
          <w:szCs w:val="20"/>
        </w:rPr>
        <w:footnoteRef/>
      </w:r>
      <w:r w:rsidRPr="00612512">
        <w:rPr>
          <w:sz w:val="20"/>
          <w:szCs w:val="20"/>
        </w:rPr>
        <w:t xml:space="preserve"> </w:t>
      </w:r>
      <w:proofErr w:type="spellStart"/>
      <w:r w:rsidRPr="00612512">
        <w:rPr>
          <w:rFonts w:ascii="Arial" w:hAnsi="Arial" w:cs="Arial"/>
          <w:bCs/>
          <w:sz w:val="20"/>
          <w:szCs w:val="20"/>
        </w:rPr>
        <w:t>Peisah</w:t>
      </w:r>
      <w:proofErr w:type="spellEnd"/>
      <w:r w:rsidRPr="00612512">
        <w:rPr>
          <w:rFonts w:ascii="Arial" w:hAnsi="Arial" w:cs="Arial"/>
          <w:bCs/>
          <w:sz w:val="20"/>
          <w:szCs w:val="20"/>
        </w:rPr>
        <w:t xml:space="preserve"> C. (2014) </w:t>
      </w:r>
      <w:proofErr w:type="gramStart"/>
      <w:r w:rsidRPr="00612512">
        <w:rPr>
          <w:rFonts w:ascii="Arial" w:hAnsi="Arial" w:cs="Arial"/>
          <w:bCs/>
          <w:sz w:val="20"/>
          <w:szCs w:val="20"/>
        </w:rPr>
        <w:t>The</w:t>
      </w:r>
      <w:proofErr w:type="gramEnd"/>
      <w:r w:rsidRPr="00612512">
        <w:rPr>
          <w:rFonts w:ascii="Arial" w:hAnsi="Arial" w:cs="Arial"/>
          <w:bCs/>
          <w:sz w:val="20"/>
          <w:szCs w:val="20"/>
        </w:rPr>
        <w:t xml:space="preserve"> use of restraints and psychotropic medications in people with dementia Paper 38: A report for Alzheimer’s Australia. </w:t>
      </w:r>
      <w:proofErr w:type="gramStart"/>
      <w:r w:rsidRPr="00612512">
        <w:rPr>
          <w:rFonts w:ascii="Arial" w:hAnsi="Arial" w:cs="Arial"/>
          <w:bCs/>
          <w:sz w:val="20"/>
          <w:szCs w:val="20"/>
        </w:rPr>
        <w:t>Alzheimer’s Australia.</w:t>
      </w:r>
      <w:proofErr w:type="gramEnd"/>
      <w:r w:rsidRPr="00612512">
        <w:rPr>
          <w:rFonts w:ascii="Arial" w:hAnsi="Arial" w:cs="Arial"/>
          <w:bCs/>
          <w:sz w:val="20"/>
          <w:szCs w:val="20"/>
        </w:rPr>
        <w:t xml:space="preserve"> https://fightdementia.org.au/sites/default/files/NATIONAL/documents/Alzheimers-Australia-Numbered-Publication-38.pdf</w:t>
      </w:r>
    </w:p>
  </w:footnote>
  <w:footnote w:id="24">
    <w:p w:rsidR="00DB2BD6" w:rsidRPr="00612512" w:rsidRDefault="00DB2BD6" w:rsidP="00BF5306">
      <w:pPr>
        <w:shd w:val="clear" w:color="auto" w:fill="FFFFFF"/>
        <w:spacing w:after="0" w:line="240" w:lineRule="auto"/>
        <w:rPr>
          <w:sz w:val="20"/>
          <w:szCs w:val="20"/>
        </w:rPr>
      </w:pPr>
      <w:r w:rsidRPr="00612512">
        <w:rPr>
          <w:rStyle w:val="FootnoteReference"/>
          <w:sz w:val="20"/>
          <w:szCs w:val="20"/>
        </w:rPr>
        <w:footnoteRef/>
      </w:r>
      <w:r w:rsidRPr="00612512">
        <w:rPr>
          <w:sz w:val="20"/>
          <w:szCs w:val="20"/>
        </w:rPr>
        <w:t xml:space="preserve"> </w:t>
      </w:r>
      <w:r w:rsidRPr="00612512">
        <w:rPr>
          <w:rFonts w:ascii="Arial" w:hAnsi="Arial" w:cs="Arial"/>
          <w:sz w:val="20"/>
          <w:szCs w:val="20"/>
        </w:rPr>
        <w:t xml:space="preserve">Chenoweth, L., et al. (2009). </w:t>
      </w:r>
      <w:proofErr w:type="gramStart"/>
      <w:r w:rsidRPr="00612512">
        <w:rPr>
          <w:rFonts w:ascii="Arial" w:hAnsi="Arial" w:cs="Arial"/>
          <w:sz w:val="20"/>
          <w:szCs w:val="20"/>
        </w:rPr>
        <w:t>Caring for aged dementia care resident study (CADRES) of person-centred care, dementia-care mapping, and usual care in dementia: a cluster-randomised trial.</w:t>
      </w:r>
      <w:proofErr w:type="gramEnd"/>
      <w:r w:rsidRPr="00612512">
        <w:rPr>
          <w:rFonts w:ascii="Arial" w:hAnsi="Arial" w:cs="Arial"/>
          <w:sz w:val="20"/>
          <w:szCs w:val="20"/>
        </w:rPr>
        <w:t xml:space="preserve"> </w:t>
      </w:r>
      <w:r w:rsidRPr="00612512">
        <w:rPr>
          <w:rFonts w:ascii="Arial" w:hAnsi="Arial" w:cs="Arial"/>
          <w:i/>
          <w:sz w:val="20"/>
          <w:szCs w:val="20"/>
        </w:rPr>
        <w:t>The Lancet Neurology,</w:t>
      </w:r>
      <w:r w:rsidRPr="00612512">
        <w:rPr>
          <w:rFonts w:ascii="Arial" w:hAnsi="Arial" w:cs="Arial"/>
          <w:sz w:val="20"/>
          <w:szCs w:val="20"/>
        </w:rPr>
        <w:t xml:space="preserve"> 8(4), 317-325.</w:t>
      </w:r>
    </w:p>
  </w:footnote>
  <w:footnote w:id="25">
    <w:p w:rsidR="00DB2BD6" w:rsidRPr="00612512" w:rsidRDefault="00DB2BD6" w:rsidP="00BF5306">
      <w:pPr>
        <w:pStyle w:val="Heading1"/>
        <w:numPr>
          <w:ilvl w:val="0"/>
          <w:numId w:val="0"/>
        </w:numPr>
        <w:shd w:val="clear" w:color="auto" w:fill="FFFFFF"/>
        <w:autoSpaceDE w:val="0"/>
        <w:autoSpaceDN w:val="0"/>
        <w:adjustRightInd w:val="0"/>
        <w:spacing w:before="0" w:after="0"/>
        <w:rPr>
          <w:sz w:val="20"/>
        </w:rPr>
      </w:pPr>
      <w:r w:rsidRPr="00612512">
        <w:rPr>
          <w:rStyle w:val="FootnoteReference"/>
          <w:sz w:val="20"/>
        </w:rPr>
        <w:footnoteRef/>
      </w:r>
      <w:r w:rsidRPr="00612512">
        <w:rPr>
          <w:sz w:val="20"/>
        </w:rPr>
        <w:t xml:space="preserve"> </w:t>
      </w:r>
      <w:proofErr w:type="gramStart"/>
      <w:r w:rsidRPr="00612512">
        <w:rPr>
          <w:rFonts w:cs="Arial"/>
          <w:b w:val="0"/>
          <w:sz w:val="20"/>
        </w:rPr>
        <w:t>O'Connor, D. W., Ames, D., Gardner, B. &amp; King, M. (2009).</w:t>
      </w:r>
      <w:proofErr w:type="gramEnd"/>
      <w:r w:rsidRPr="00612512">
        <w:rPr>
          <w:rFonts w:cs="Arial"/>
          <w:b w:val="0"/>
          <w:sz w:val="20"/>
        </w:rPr>
        <w:t xml:space="preserve"> Psychosocial treatments of psychological symptoms in dementia: a systematic review of reports meeting quality standards</w:t>
      </w:r>
      <w:r w:rsidRPr="00612512">
        <w:rPr>
          <w:rFonts w:cs="Arial"/>
          <w:b w:val="0"/>
          <w:i/>
          <w:sz w:val="20"/>
        </w:rPr>
        <w:t xml:space="preserve">. International </w:t>
      </w:r>
      <w:proofErr w:type="spellStart"/>
      <w:r w:rsidRPr="00612512">
        <w:rPr>
          <w:rFonts w:cs="Arial"/>
          <w:b w:val="0"/>
          <w:i/>
          <w:sz w:val="20"/>
        </w:rPr>
        <w:t>Psychogeriatrics</w:t>
      </w:r>
      <w:proofErr w:type="spellEnd"/>
      <w:r w:rsidRPr="00612512">
        <w:rPr>
          <w:rFonts w:cs="Arial"/>
          <w:b w:val="0"/>
          <w:sz w:val="20"/>
        </w:rPr>
        <w:t>, 21, 241-251.</w:t>
      </w:r>
    </w:p>
  </w:footnote>
  <w:footnote w:id="26">
    <w:p w:rsidR="00DB2BD6" w:rsidRPr="0093174D" w:rsidRDefault="00DB2BD6" w:rsidP="0093174D">
      <w:pPr>
        <w:spacing w:after="0" w:line="240" w:lineRule="auto"/>
        <w:rPr>
          <w:rFonts w:ascii="Arial" w:hAnsi="Arial" w:cs="Arial"/>
          <w:sz w:val="20"/>
          <w:szCs w:val="20"/>
        </w:rPr>
      </w:pPr>
      <w:r w:rsidRPr="00612512">
        <w:rPr>
          <w:rStyle w:val="FootnoteReference"/>
          <w:sz w:val="20"/>
          <w:szCs w:val="20"/>
        </w:rPr>
        <w:footnoteRef/>
      </w:r>
      <w:r w:rsidRPr="00612512">
        <w:rPr>
          <w:sz w:val="20"/>
          <w:szCs w:val="20"/>
        </w:rPr>
        <w:t xml:space="preserve"> </w:t>
      </w:r>
      <w:proofErr w:type="spellStart"/>
      <w:r w:rsidRPr="0093174D">
        <w:rPr>
          <w:rFonts w:ascii="Arial" w:hAnsi="Arial" w:cs="Arial"/>
          <w:sz w:val="20"/>
          <w:szCs w:val="20"/>
        </w:rPr>
        <w:t>Testad</w:t>
      </w:r>
      <w:proofErr w:type="spellEnd"/>
      <w:r w:rsidRPr="0093174D">
        <w:rPr>
          <w:rFonts w:ascii="Arial" w:hAnsi="Arial" w:cs="Arial"/>
          <w:sz w:val="20"/>
          <w:szCs w:val="20"/>
        </w:rPr>
        <w:t xml:space="preserve"> I., Corbett A., </w:t>
      </w:r>
      <w:proofErr w:type="spellStart"/>
      <w:r w:rsidRPr="0093174D">
        <w:rPr>
          <w:rFonts w:ascii="Arial" w:hAnsi="Arial" w:cs="Arial"/>
          <w:sz w:val="20"/>
          <w:szCs w:val="20"/>
        </w:rPr>
        <w:t>Aarslan</w:t>
      </w:r>
      <w:proofErr w:type="spellEnd"/>
      <w:r w:rsidRPr="0093174D">
        <w:rPr>
          <w:rFonts w:ascii="Arial" w:hAnsi="Arial" w:cs="Arial"/>
          <w:sz w:val="20"/>
          <w:szCs w:val="20"/>
        </w:rPr>
        <w:t xml:space="preserve"> D., </w:t>
      </w:r>
      <w:proofErr w:type="spellStart"/>
      <w:r w:rsidRPr="0093174D">
        <w:rPr>
          <w:rFonts w:ascii="Arial" w:hAnsi="Arial" w:cs="Arial"/>
          <w:sz w:val="20"/>
          <w:szCs w:val="20"/>
        </w:rPr>
        <w:t>Lexow</w:t>
      </w:r>
      <w:proofErr w:type="spellEnd"/>
      <w:r w:rsidRPr="0093174D">
        <w:rPr>
          <w:rFonts w:ascii="Arial" w:hAnsi="Arial" w:cs="Arial"/>
          <w:sz w:val="20"/>
          <w:szCs w:val="20"/>
        </w:rPr>
        <w:t xml:space="preserve">, K.O., </w:t>
      </w:r>
      <w:proofErr w:type="spellStart"/>
      <w:r w:rsidRPr="0093174D">
        <w:rPr>
          <w:rFonts w:ascii="Arial" w:hAnsi="Arial" w:cs="Arial"/>
          <w:sz w:val="20"/>
          <w:szCs w:val="20"/>
        </w:rPr>
        <w:t>Fossey</w:t>
      </w:r>
      <w:proofErr w:type="spellEnd"/>
      <w:r w:rsidRPr="0093174D">
        <w:rPr>
          <w:rFonts w:ascii="Arial" w:hAnsi="Arial" w:cs="Arial"/>
          <w:sz w:val="20"/>
          <w:szCs w:val="20"/>
        </w:rPr>
        <w:t xml:space="preserve"> J., Woods B., Ballard C., (2014) Personalized psychosocial interventions in care home settings International </w:t>
      </w:r>
      <w:proofErr w:type="spellStart"/>
      <w:r w:rsidRPr="0093174D">
        <w:rPr>
          <w:rFonts w:ascii="Arial" w:hAnsi="Arial" w:cs="Arial"/>
          <w:sz w:val="20"/>
          <w:szCs w:val="20"/>
        </w:rPr>
        <w:t>Psychogeriatrics</w:t>
      </w:r>
      <w:proofErr w:type="spellEnd"/>
      <w:r w:rsidRPr="0093174D">
        <w:rPr>
          <w:rFonts w:ascii="Arial" w:hAnsi="Arial" w:cs="Arial"/>
          <w:sz w:val="20"/>
          <w:szCs w:val="20"/>
        </w:rPr>
        <w:t xml:space="preserve"> 26:1083-1098</w:t>
      </w:r>
    </w:p>
  </w:footnote>
  <w:footnote w:id="27">
    <w:p w:rsidR="00DB2BD6" w:rsidRPr="00D46D0C" w:rsidRDefault="00DB2BD6" w:rsidP="00D46D0C">
      <w:pPr>
        <w:spacing w:after="0" w:line="240" w:lineRule="auto"/>
        <w:rPr>
          <w:rFonts w:ascii="Arial" w:hAnsi="Arial" w:cs="Arial"/>
          <w:sz w:val="20"/>
          <w:szCs w:val="20"/>
        </w:rPr>
      </w:pPr>
      <w:r w:rsidRPr="00D46D0C">
        <w:rPr>
          <w:rStyle w:val="FootnoteReference"/>
          <w:rFonts w:ascii="Arial" w:hAnsi="Arial" w:cs="Arial"/>
          <w:sz w:val="20"/>
          <w:szCs w:val="20"/>
        </w:rPr>
        <w:footnoteRef/>
      </w:r>
      <w:r w:rsidRPr="00D46D0C">
        <w:rPr>
          <w:rFonts w:ascii="Arial" w:hAnsi="Arial" w:cs="Arial"/>
          <w:sz w:val="20"/>
          <w:szCs w:val="20"/>
        </w:rPr>
        <w:t xml:space="preserve"> </w:t>
      </w:r>
      <w:proofErr w:type="spellStart"/>
      <w:r w:rsidRPr="00D46D0C">
        <w:rPr>
          <w:rFonts w:ascii="Arial" w:hAnsi="Arial" w:cs="Arial"/>
          <w:sz w:val="20"/>
          <w:szCs w:val="20"/>
          <w:lang w:eastAsia="en-AU"/>
        </w:rPr>
        <w:t>Peisah</w:t>
      </w:r>
      <w:proofErr w:type="spellEnd"/>
      <w:r w:rsidRPr="00D46D0C">
        <w:rPr>
          <w:rFonts w:ascii="Arial" w:hAnsi="Arial" w:cs="Arial"/>
          <w:sz w:val="20"/>
          <w:szCs w:val="20"/>
          <w:lang w:eastAsia="en-AU"/>
        </w:rPr>
        <w:t xml:space="preserve"> C., Weaver</w:t>
      </w:r>
      <w:r w:rsidRPr="00D46D0C">
        <w:rPr>
          <w:rFonts w:ascii="Arial" w:hAnsi="Arial" w:cs="Arial"/>
          <w:sz w:val="20"/>
          <w:szCs w:val="20"/>
          <w:vertAlign w:val="superscript"/>
          <w:lang w:eastAsia="en-AU"/>
        </w:rPr>
        <w:t xml:space="preserve"> </w:t>
      </w:r>
      <w:r w:rsidRPr="00D46D0C">
        <w:rPr>
          <w:rFonts w:ascii="Arial" w:hAnsi="Arial" w:cs="Arial"/>
          <w:sz w:val="20"/>
          <w:szCs w:val="20"/>
          <w:lang w:eastAsia="en-AU"/>
        </w:rPr>
        <w:t>J., Wong</w:t>
      </w:r>
      <w:r w:rsidRPr="00D46D0C">
        <w:rPr>
          <w:rFonts w:ascii="Arial" w:hAnsi="Arial" w:cs="Arial"/>
          <w:sz w:val="20"/>
          <w:szCs w:val="20"/>
          <w:vertAlign w:val="superscript"/>
          <w:lang w:eastAsia="en-AU"/>
        </w:rPr>
        <w:t xml:space="preserve"> </w:t>
      </w:r>
      <w:r w:rsidRPr="00D46D0C">
        <w:rPr>
          <w:rFonts w:ascii="Arial" w:hAnsi="Arial" w:cs="Arial"/>
          <w:sz w:val="20"/>
          <w:szCs w:val="20"/>
          <w:lang w:eastAsia="en-AU"/>
        </w:rPr>
        <w:t xml:space="preserve">L., </w:t>
      </w:r>
      <w:proofErr w:type="spellStart"/>
      <w:r w:rsidRPr="00D46D0C">
        <w:rPr>
          <w:rFonts w:ascii="Arial" w:hAnsi="Arial" w:cs="Arial"/>
          <w:sz w:val="20"/>
          <w:szCs w:val="20"/>
          <w:lang w:eastAsia="en-AU"/>
        </w:rPr>
        <w:t>Strukovski</w:t>
      </w:r>
      <w:proofErr w:type="spellEnd"/>
      <w:r w:rsidRPr="00D46D0C">
        <w:rPr>
          <w:rFonts w:ascii="Arial" w:hAnsi="Arial" w:cs="Arial"/>
          <w:sz w:val="20"/>
          <w:szCs w:val="20"/>
          <w:lang w:eastAsia="en-AU"/>
        </w:rPr>
        <w:t xml:space="preserve"> J. (2014) </w:t>
      </w:r>
      <w:r w:rsidRPr="00D46D0C">
        <w:rPr>
          <w:rFonts w:ascii="Arial" w:hAnsi="Arial" w:cs="Arial"/>
          <w:sz w:val="20"/>
          <w:szCs w:val="20"/>
        </w:rPr>
        <w:t>Silent and suffering: a pilot study exploring gaps between theory and practice in pain management for people with severe dementia in residential care facilities</w:t>
      </w:r>
      <w:r w:rsidRPr="00D46D0C">
        <w:rPr>
          <w:rFonts w:ascii="Arial" w:hAnsi="Arial" w:cs="Arial"/>
          <w:bCs/>
          <w:sz w:val="20"/>
          <w:szCs w:val="20"/>
        </w:rPr>
        <w:t xml:space="preserve"> Clinical Interventions in Ageing. 9: 1767-1774. </w:t>
      </w:r>
    </w:p>
  </w:footnote>
  <w:footnote w:id="28">
    <w:p w:rsidR="00DB2BD6" w:rsidRPr="00D46D0C" w:rsidRDefault="00DB2BD6" w:rsidP="00D46D0C">
      <w:pPr>
        <w:shd w:val="clear" w:color="auto" w:fill="FFFFFF"/>
        <w:spacing w:after="0" w:line="240" w:lineRule="auto"/>
        <w:rPr>
          <w:rFonts w:ascii="Arial" w:hAnsi="Arial" w:cs="Arial"/>
          <w:sz w:val="20"/>
          <w:szCs w:val="20"/>
        </w:rPr>
      </w:pPr>
      <w:r w:rsidRPr="00D46D0C">
        <w:rPr>
          <w:rStyle w:val="FootnoteReference"/>
          <w:rFonts w:ascii="Arial" w:hAnsi="Arial" w:cs="Arial"/>
          <w:sz w:val="20"/>
          <w:szCs w:val="20"/>
        </w:rPr>
        <w:footnoteRef/>
      </w:r>
      <w:r w:rsidRPr="00D46D0C">
        <w:rPr>
          <w:rFonts w:ascii="Arial" w:hAnsi="Arial" w:cs="Arial"/>
          <w:sz w:val="20"/>
          <w:szCs w:val="20"/>
        </w:rPr>
        <w:t xml:space="preserve"> </w:t>
      </w:r>
      <w:proofErr w:type="spellStart"/>
      <w:proofErr w:type="gramStart"/>
      <w:r w:rsidRPr="00D46D0C">
        <w:rPr>
          <w:rFonts w:ascii="Arial" w:hAnsi="Arial" w:cs="Arial"/>
          <w:sz w:val="20"/>
          <w:szCs w:val="20"/>
        </w:rPr>
        <w:t>Rendina</w:t>
      </w:r>
      <w:proofErr w:type="spellEnd"/>
      <w:r w:rsidRPr="00D46D0C">
        <w:rPr>
          <w:rFonts w:ascii="Arial" w:hAnsi="Arial" w:cs="Arial"/>
          <w:sz w:val="20"/>
          <w:szCs w:val="20"/>
        </w:rPr>
        <w:t xml:space="preserve">, N., </w:t>
      </w:r>
      <w:proofErr w:type="spellStart"/>
      <w:r w:rsidRPr="00D46D0C">
        <w:rPr>
          <w:rFonts w:ascii="Arial" w:hAnsi="Arial" w:cs="Arial"/>
          <w:sz w:val="20"/>
          <w:szCs w:val="20"/>
        </w:rPr>
        <w:t>Brodaty</w:t>
      </w:r>
      <w:proofErr w:type="spellEnd"/>
      <w:r w:rsidRPr="00D46D0C">
        <w:rPr>
          <w:rFonts w:ascii="Arial" w:hAnsi="Arial" w:cs="Arial"/>
          <w:sz w:val="20"/>
          <w:szCs w:val="20"/>
        </w:rPr>
        <w:t xml:space="preserve">, H., Draper, B., </w:t>
      </w:r>
      <w:proofErr w:type="spellStart"/>
      <w:r w:rsidRPr="00D46D0C">
        <w:rPr>
          <w:rFonts w:ascii="Arial" w:hAnsi="Arial" w:cs="Arial"/>
          <w:sz w:val="20"/>
          <w:szCs w:val="20"/>
        </w:rPr>
        <w:t>Peisah</w:t>
      </w:r>
      <w:proofErr w:type="spellEnd"/>
      <w:r w:rsidRPr="00D46D0C">
        <w:rPr>
          <w:rFonts w:ascii="Arial" w:hAnsi="Arial" w:cs="Arial"/>
          <w:sz w:val="20"/>
          <w:szCs w:val="20"/>
        </w:rPr>
        <w:t xml:space="preserve">, C., &amp; </w:t>
      </w:r>
      <w:proofErr w:type="spellStart"/>
      <w:r w:rsidRPr="00D46D0C">
        <w:rPr>
          <w:rFonts w:ascii="Arial" w:hAnsi="Arial" w:cs="Arial"/>
          <w:sz w:val="20"/>
          <w:szCs w:val="20"/>
        </w:rPr>
        <w:t>Brugue</w:t>
      </w:r>
      <w:proofErr w:type="spellEnd"/>
      <w:r w:rsidRPr="00D46D0C">
        <w:rPr>
          <w:rFonts w:ascii="Arial" w:hAnsi="Arial" w:cs="Arial"/>
          <w:sz w:val="20"/>
          <w:szCs w:val="20"/>
        </w:rPr>
        <w:t>, E. (2009).</w:t>
      </w:r>
      <w:proofErr w:type="gramEnd"/>
      <w:r w:rsidRPr="00D46D0C">
        <w:rPr>
          <w:rFonts w:ascii="Arial" w:hAnsi="Arial" w:cs="Arial"/>
          <w:sz w:val="20"/>
          <w:szCs w:val="20"/>
        </w:rPr>
        <w:t xml:space="preserve"> Substitute consent for nursing home residents prescribed psychotropic medication. </w:t>
      </w:r>
      <w:proofErr w:type="gramStart"/>
      <w:r w:rsidRPr="00D46D0C">
        <w:rPr>
          <w:rFonts w:ascii="Arial" w:hAnsi="Arial" w:cs="Arial"/>
          <w:i/>
          <w:iCs/>
          <w:sz w:val="20"/>
          <w:szCs w:val="20"/>
        </w:rPr>
        <w:t>International Journal of Geriatric Psychiatry, 24</w:t>
      </w:r>
      <w:r w:rsidRPr="00D46D0C">
        <w:rPr>
          <w:rFonts w:ascii="Arial" w:hAnsi="Arial" w:cs="Arial"/>
          <w:sz w:val="20"/>
          <w:szCs w:val="20"/>
        </w:rPr>
        <w:t>(3), 226-31.</w:t>
      </w:r>
      <w:proofErr w:type="gramEnd"/>
    </w:p>
  </w:footnote>
  <w:footnote w:id="29">
    <w:p w:rsidR="007F6A74" w:rsidRPr="00D46D0C" w:rsidRDefault="007F6A74" w:rsidP="00D46D0C">
      <w:pPr>
        <w:pStyle w:val="FootnoteText"/>
        <w:rPr>
          <w:rFonts w:ascii="Arial" w:hAnsi="Arial" w:cs="Arial"/>
        </w:rPr>
      </w:pPr>
      <w:r w:rsidRPr="00D46D0C">
        <w:rPr>
          <w:rStyle w:val="FootnoteReference"/>
          <w:rFonts w:ascii="Arial" w:hAnsi="Arial" w:cs="Arial"/>
        </w:rPr>
        <w:footnoteRef/>
      </w:r>
      <w:r w:rsidRPr="00D46D0C">
        <w:rPr>
          <w:rFonts w:ascii="Arial" w:hAnsi="Arial" w:cs="Arial"/>
        </w:rPr>
        <w:t xml:space="preserve"> Ibid.</w:t>
      </w:r>
    </w:p>
  </w:footnote>
  <w:footnote w:id="30">
    <w:p w:rsidR="00D46D0C" w:rsidRPr="00D46D0C" w:rsidRDefault="00DB2BD6" w:rsidP="00D46D0C">
      <w:pPr>
        <w:spacing w:after="0" w:line="240" w:lineRule="auto"/>
        <w:rPr>
          <w:rFonts w:ascii="Arial" w:hAnsi="Arial" w:cs="Arial"/>
          <w:sz w:val="20"/>
          <w:szCs w:val="20"/>
        </w:rPr>
      </w:pPr>
      <w:r w:rsidRPr="00D46D0C">
        <w:rPr>
          <w:rStyle w:val="FootnoteReference"/>
          <w:rFonts w:ascii="Arial" w:hAnsi="Arial" w:cs="Arial"/>
          <w:sz w:val="20"/>
          <w:szCs w:val="20"/>
        </w:rPr>
        <w:footnoteRef/>
      </w:r>
      <w:r w:rsidRPr="00D46D0C">
        <w:rPr>
          <w:rFonts w:ascii="Arial" w:hAnsi="Arial" w:cs="Arial"/>
          <w:sz w:val="20"/>
          <w:szCs w:val="20"/>
        </w:rPr>
        <w:t xml:space="preserve"> Ibid</w:t>
      </w:r>
      <w:r w:rsidR="00D46D0C" w:rsidRPr="00D46D0C">
        <w:rPr>
          <w:rFonts w:ascii="Arial" w:hAnsi="Arial" w:cs="Arial"/>
          <w:sz w:val="20"/>
          <w:szCs w:val="20"/>
        </w:rPr>
        <w:t xml:space="preserve">., See also Jessop, T.,  Harrison F., </w:t>
      </w:r>
      <w:proofErr w:type="spellStart"/>
      <w:r w:rsidR="00D46D0C" w:rsidRPr="00D46D0C">
        <w:rPr>
          <w:rFonts w:ascii="Arial" w:hAnsi="Arial" w:cs="Arial"/>
          <w:sz w:val="20"/>
          <w:szCs w:val="20"/>
        </w:rPr>
        <w:t>Cations</w:t>
      </w:r>
      <w:proofErr w:type="spellEnd"/>
      <w:r w:rsidR="00D46D0C" w:rsidRPr="00D46D0C">
        <w:rPr>
          <w:rFonts w:ascii="Arial" w:hAnsi="Arial" w:cs="Arial"/>
          <w:sz w:val="20"/>
          <w:szCs w:val="20"/>
        </w:rPr>
        <w:t xml:space="preserve"> M., Shell A., </w:t>
      </w:r>
      <w:proofErr w:type="spellStart"/>
      <w:r w:rsidR="00D46D0C" w:rsidRPr="00D46D0C">
        <w:rPr>
          <w:rFonts w:ascii="Arial" w:hAnsi="Arial" w:cs="Arial"/>
          <w:sz w:val="20"/>
          <w:szCs w:val="20"/>
        </w:rPr>
        <w:t>Brodaty</w:t>
      </w:r>
      <w:proofErr w:type="spellEnd"/>
      <w:r w:rsidR="00D46D0C" w:rsidRPr="00D46D0C">
        <w:rPr>
          <w:rFonts w:ascii="Arial" w:hAnsi="Arial" w:cs="Arial"/>
          <w:sz w:val="20"/>
          <w:szCs w:val="20"/>
        </w:rPr>
        <w:t xml:space="preserve"> H. (2016) </w:t>
      </w:r>
      <w:proofErr w:type="spellStart"/>
      <w:r w:rsidR="00D46D0C" w:rsidRPr="00D46D0C">
        <w:rPr>
          <w:rFonts w:ascii="Arial" w:hAnsi="Arial" w:cs="Arial"/>
          <w:bCs/>
          <w:sz w:val="20"/>
          <w:szCs w:val="20"/>
        </w:rPr>
        <w:t>Deprescribing</w:t>
      </w:r>
      <w:proofErr w:type="spellEnd"/>
      <w:r w:rsidR="00D46D0C" w:rsidRPr="00D46D0C">
        <w:rPr>
          <w:rFonts w:ascii="Arial" w:hAnsi="Arial" w:cs="Arial"/>
          <w:bCs/>
          <w:sz w:val="20"/>
          <w:szCs w:val="20"/>
        </w:rPr>
        <w:t xml:space="preserve"> Antipsychotics in Long Term Care Residents with </w:t>
      </w:r>
      <w:proofErr w:type="spellStart"/>
      <w:r w:rsidR="00D46D0C" w:rsidRPr="00D46D0C">
        <w:rPr>
          <w:rFonts w:ascii="Arial" w:hAnsi="Arial" w:cs="Arial"/>
          <w:bCs/>
          <w:sz w:val="20"/>
          <w:szCs w:val="20"/>
        </w:rPr>
        <w:t>Behavioral</w:t>
      </w:r>
      <w:proofErr w:type="spellEnd"/>
      <w:r w:rsidR="00D46D0C" w:rsidRPr="00D46D0C">
        <w:rPr>
          <w:rFonts w:ascii="Arial" w:hAnsi="Arial" w:cs="Arial"/>
          <w:bCs/>
          <w:sz w:val="20"/>
          <w:szCs w:val="20"/>
        </w:rPr>
        <w:t xml:space="preserve"> and Psychological Symptoms of Dementia</w:t>
      </w:r>
      <w:r w:rsidR="00D46D0C" w:rsidRPr="00D46D0C">
        <w:rPr>
          <w:rFonts w:ascii="Arial" w:hAnsi="Arial" w:cs="Arial"/>
          <w:sz w:val="20"/>
          <w:szCs w:val="20"/>
        </w:rPr>
        <w:t xml:space="preserve"> Alzheimer’s and Dementia (in press)  </w:t>
      </w:r>
    </w:p>
    <w:p w:rsidR="00DB2BD6" w:rsidRDefault="00DB2BD6">
      <w:pPr>
        <w:pStyle w:val="FootnoteText"/>
      </w:pPr>
    </w:p>
  </w:footnote>
  <w:footnote w:id="31">
    <w:p w:rsidR="00DB2BD6" w:rsidRPr="00D22B26" w:rsidRDefault="00DB2BD6" w:rsidP="00DB2BD6">
      <w:pPr>
        <w:autoSpaceDE w:val="0"/>
        <w:autoSpaceDN w:val="0"/>
        <w:adjustRightInd w:val="0"/>
        <w:spacing w:after="0" w:line="240" w:lineRule="auto"/>
        <w:rPr>
          <w:rFonts w:ascii="Arial" w:hAnsi="Arial" w:cs="Arial"/>
          <w:sz w:val="20"/>
          <w:szCs w:val="20"/>
        </w:rPr>
      </w:pPr>
      <w:r w:rsidRPr="00C40F9B">
        <w:rPr>
          <w:rStyle w:val="FootnoteReference"/>
          <w:rFonts w:ascii="Arial" w:hAnsi="Arial" w:cs="Arial"/>
          <w:sz w:val="20"/>
          <w:szCs w:val="20"/>
        </w:rPr>
        <w:footnoteRef/>
      </w:r>
      <w:r w:rsidRPr="00C40F9B">
        <w:rPr>
          <w:rFonts w:ascii="Arial" w:hAnsi="Arial" w:cs="Arial"/>
          <w:sz w:val="20"/>
          <w:szCs w:val="20"/>
        </w:rPr>
        <w:t xml:space="preserve"> </w:t>
      </w:r>
      <w:r w:rsidRPr="00D22B26">
        <w:rPr>
          <w:rFonts w:ascii="Arial" w:hAnsi="Arial" w:cs="Arial"/>
          <w:sz w:val="20"/>
          <w:szCs w:val="20"/>
          <w:lang w:val="en-US"/>
        </w:rPr>
        <w:t>Draper</w:t>
      </w:r>
      <w:proofErr w:type="gramStart"/>
      <w:r w:rsidRPr="00D22B26">
        <w:rPr>
          <w:rFonts w:ascii="Arial" w:hAnsi="Arial" w:cs="Arial"/>
          <w:sz w:val="20"/>
          <w:szCs w:val="20"/>
          <w:lang w:val="en-US"/>
        </w:rPr>
        <w:t>,  et</w:t>
      </w:r>
      <w:proofErr w:type="gramEnd"/>
      <w:r w:rsidRPr="00D22B26">
        <w:rPr>
          <w:rFonts w:ascii="Arial" w:hAnsi="Arial" w:cs="Arial"/>
          <w:sz w:val="20"/>
          <w:szCs w:val="20"/>
          <w:lang w:val="en-US"/>
        </w:rPr>
        <w:t xml:space="preserve"> al  2011; International </w:t>
      </w:r>
      <w:proofErr w:type="spellStart"/>
      <w:r w:rsidRPr="00D22B26">
        <w:rPr>
          <w:rFonts w:ascii="Arial" w:hAnsi="Arial" w:cs="Arial"/>
          <w:sz w:val="20"/>
          <w:szCs w:val="20"/>
          <w:lang w:val="en-US"/>
        </w:rPr>
        <w:t>Psychogeriatrics</w:t>
      </w:r>
      <w:proofErr w:type="spellEnd"/>
      <w:r w:rsidRPr="00D22B26">
        <w:rPr>
          <w:rFonts w:ascii="Arial" w:hAnsi="Arial" w:cs="Arial"/>
          <w:sz w:val="20"/>
          <w:szCs w:val="20"/>
          <w:lang w:val="en-US"/>
        </w:rPr>
        <w:t xml:space="preserve"> , 23 (10) ,pp. 1649-1658 ; </w:t>
      </w:r>
      <w:proofErr w:type="spellStart"/>
      <w:r w:rsidRPr="00D22B26">
        <w:rPr>
          <w:rFonts w:ascii="Arial" w:hAnsi="Arial" w:cs="Arial"/>
          <w:sz w:val="20"/>
          <w:szCs w:val="20"/>
          <w:lang w:val="en-US"/>
        </w:rPr>
        <w:t>Mukadam</w:t>
      </w:r>
      <w:proofErr w:type="spellEnd"/>
      <w:r w:rsidRPr="00D22B26">
        <w:rPr>
          <w:rFonts w:ascii="Arial" w:hAnsi="Arial" w:cs="Arial"/>
          <w:sz w:val="20"/>
          <w:szCs w:val="20"/>
          <w:lang w:val="en-US"/>
        </w:rPr>
        <w:t xml:space="preserve"> and Sampson, 2011 </w:t>
      </w:r>
      <w:hyperlink r:id="rId16" w:tooltip="International psychogeriatrics / IPA." w:history="1">
        <w:proofErr w:type="spellStart"/>
        <w:r w:rsidRPr="00D22B26">
          <w:rPr>
            <w:rStyle w:val="Hyperlink"/>
            <w:rFonts w:ascii="Arial" w:hAnsi="Arial" w:cs="Arial"/>
            <w:color w:val="auto"/>
            <w:sz w:val="20"/>
            <w:szCs w:val="20"/>
            <w:u w:val="none"/>
          </w:rPr>
          <w:t>Int</w:t>
        </w:r>
        <w:proofErr w:type="spellEnd"/>
        <w:r w:rsidRPr="00D22B26">
          <w:rPr>
            <w:rStyle w:val="Hyperlink"/>
            <w:rFonts w:ascii="Arial" w:hAnsi="Arial" w:cs="Arial"/>
            <w:color w:val="auto"/>
            <w:sz w:val="20"/>
            <w:szCs w:val="20"/>
            <w:u w:val="none"/>
          </w:rPr>
          <w:t xml:space="preserve"> </w:t>
        </w:r>
        <w:proofErr w:type="spellStart"/>
        <w:r w:rsidRPr="00D22B26">
          <w:rPr>
            <w:rStyle w:val="Hyperlink"/>
            <w:rFonts w:ascii="Arial" w:hAnsi="Arial" w:cs="Arial"/>
            <w:color w:val="auto"/>
            <w:sz w:val="20"/>
            <w:szCs w:val="20"/>
            <w:u w:val="none"/>
          </w:rPr>
          <w:t>Psychogeriatr</w:t>
        </w:r>
        <w:proofErr w:type="spellEnd"/>
        <w:r w:rsidRPr="00D22B26">
          <w:rPr>
            <w:rStyle w:val="Hyperlink"/>
            <w:rFonts w:ascii="Arial" w:hAnsi="Arial" w:cs="Arial"/>
            <w:color w:val="auto"/>
            <w:sz w:val="20"/>
            <w:szCs w:val="20"/>
            <w:u w:val="none"/>
          </w:rPr>
          <w:t>.</w:t>
        </w:r>
      </w:hyperlink>
      <w:r w:rsidRPr="00D22B26">
        <w:rPr>
          <w:rFonts w:ascii="Arial" w:hAnsi="Arial" w:cs="Arial"/>
          <w:sz w:val="20"/>
          <w:szCs w:val="20"/>
        </w:rPr>
        <w:t xml:space="preserve"> Apr</w:t>
      </w:r>
      <w:proofErr w:type="gramStart"/>
      <w:r w:rsidRPr="00D22B26">
        <w:rPr>
          <w:rFonts w:ascii="Arial" w:hAnsi="Arial" w:cs="Arial"/>
          <w:sz w:val="20"/>
          <w:szCs w:val="20"/>
        </w:rPr>
        <w:t>;23</w:t>
      </w:r>
      <w:proofErr w:type="gramEnd"/>
      <w:r w:rsidRPr="00D22B26">
        <w:rPr>
          <w:rFonts w:ascii="Arial" w:hAnsi="Arial" w:cs="Arial"/>
          <w:sz w:val="20"/>
          <w:szCs w:val="20"/>
        </w:rPr>
        <w:t xml:space="preserve">(3):344-55; </w:t>
      </w:r>
      <w:proofErr w:type="spellStart"/>
      <w:r w:rsidRPr="00D22B26">
        <w:rPr>
          <w:rFonts w:ascii="Arial" w:hAnsi="Arial" w:cs="Arial"/>
          <w:sz w:val="20"/>
          <w:szCs w:val="20"/>
        </w:rPr>
        <w:t>Watkin</w:t>
      </w:r>
      <w:proofErr w:type="spellEnd"/>
      <w:r w:rsidRPr="00D22B26">
        <w:rPr>
          <w:rFonts w:ascii="Arial" w:hAnsi="Arial" w:cs="Arial"/>
          <w:sz w:val="20"/>
          <w:szCs w:val="20"/>
        </w:rPr>
        <w:t xml:space="preserve"> et al, 2012, </w:t>
      </w:r>
      <w:hyperlink r:id="rId17" w:tooltip="International journal of geriatric psychiatry." w:history="1">
        <w:proofErr w:type="spellStart"/>
        <w:r w:rsidRPr="00D22B26">
          <w:rPr>
            <w:rStyle w:val="Hyperlink"/>
            <w:rFonts w:ascii="Arial" w:hAnsi="Arial" w:cs="Arial"/>
            <w:color w:val="auto"/>
            <w:sz w:val="20"/>
            <w:szCs w:val="20"/>
            <w:u w:val="none"/>
          </w:rPr>
          <w:t>Int</w:t>
        </w:r>
        <w:proofErr w:type="spellEnd"/>
        <w:r w:rsidRPr="00D22B26">
          <w:rPr>
            <w:rStyle w:val="Hyperlink"/>
            <w:rFonts w:ascii="Arial" w:hAnsi="Arial" w:cs="Arial"/>
            <w:color w:val="auto"/>
            <w:sz w:val="20"/>
            <w:szCs w:val="20"/>
            <w:u w:val="none"/>
          </w:rPr>
          <w:t xml:space="preserve"> J </w:t>
        </w:r>
        <w:proofErr w:type="spellStart"/>
        <w:r w:rsidRPr="00D22B26">
          <w:rPr>
            <w:rStyle w:val="Hyperlink"/>
            <w:rFonts w:ascii="Arial" w:hAnsi="Arial" w:cs="Arial"/>
            <w:color w:val="auto"/>
            <w:sz w:val="20"/>
            <w:szCs w:val="20"/>
            <w:u w:val="none"/>
          </w:rPr>
          <w:t>Geriatr</w:t>
        </w:r>
        <w:proofErr w:type="spellEnd"/>
        <w:r w:rsidRPr="00D22B26">
          <w:rPr>
            <w:rStyle w:val="Hyperlink"/>
            <w:rFonts w:ascii="Arial" w:hAnsi="Arial" w:cs="Arial"/>
            <w:color w:val="auto"/>
            <w:sz w:val="20"/>
            <w:szCs w:val="20"/>
            <w:u w:val="none"/>
          </w:rPr>
          <w:t xml:space="preserve"> Psychiatry.</w:t>
        </w:r>
      </w:hyperlink>
      <w:r w:rsidRPr="00D22B26">
        <w:rPr>
          <w:rFonts w:ascii="Arial" w:hAnsi="Arial" w:cs="Arial"/>
          <w:sz w:val="20"/>
          <w:szCs w:val="20"/>
        </w:rPr>
        <w:t xml:space="preserve"> 27(1):76-82; George et al, 2013 </w:t>
      </w:r>
      <w:hyperlink r:id="rId18" w:tooltip="Journal of the Royal Society of Medicine." w:history="1">
        <w:r w:rsidRPr="00D22B26">
          <w:rPr>
            <w:rStyle w:val="Hyperlink"/>
            <w:rFonts w:ascii="Arial" w:hAnsi="Arial" w:cs="Arial"/>
            <w:color w:val="auto"/>
            <w:sz w:val="20"/>
            <w:szCs w:val="20"/>
            <w:u w:val="none"/>
          </w:rPr>
          <w:t>J Royal Soc Med.</w:t>
        </w:r>
      </w:hyperlink>
      <w:r w:rsidRPr="00D22B26">
        <w:rPr>
          <w:rFonts w:ascii="Arial" w:hAnsi="Arial" w:cs="Arial"/>
          <w:sz w:val="20"/>
          <w:szCs w:val="20"/>
        </w:rPr>
        <w:t xml:space="preserve"> 106(9):355-61</w:t>
      </w:r>
    </w:p>
  </w:footnote>
  <w:footnote w:id="32">
    <w:p w:rsidR="00DB2BD6" w:rsidRPr="00D22B26" w:rsidRDefault="00DB2BD6" w:rsidP="00DB2BD6">
      <w:pPr>
        <w:pStyle w:val="FootnoteText"/>
        <w:rPr>
          <w:rFonts w:ascii="Arial" w:hAnsi="Arial" w:cs="Arial"/>
        </w:rPr>
      </w:pPr>
      <w:r w:rsidRPr="00D22B26">
        <w:rPr>
          <w:rStyle w:val="FootnoteReference"/>
          <w:rFonts w:ascii="Arial" w:hAnsi="Arial" w:cs="Arial"/>
        </w:rPr>
        <w:footnoteRef/>
      </w:r>
      <w:r w:rsidRPr="00D22B26">
        <w:rPr>
          <w:rFonts w:ascii="Arial" w:hAnsi="Arial" w:cs="Arial"/>
        </w:rPr>
        <w:t xml:space="preserve"> </w:t>
      </w:r>
      <w:proofErr w:type="spellStart"/>
      <w:r w:rsidRPr="00D22B26">
        <w:rPr>
          <w:rFonts w:ascii="Arial" w:hAnsi="Arial" w:cs="Arial"/>
        </w:rPr>
        <w:t>Peisah</w:t>
      </w:r>
      <w:proofErr w:type="spellEnd"/>
      <w:r w:rsidRPr="00D22B26">
        <w:rPr>
          <w:rFonts w:ascii="Arial" w:hAnsi="Arial" w:cs="Arial"/>
        </w:rPr>
        <w:t xml:space="preserve"> et al, (2015) The development and testing of the Quality Use of Medications in Dementia  (QUM-D): a tool for quality prescribing for Behavioural and Psychological Symptoms of Dementia (BPSD) International </w:t>
      </w:r>
      <w:proofErr w:type="spellStart"/>
      <w:r w:rsidRPr="00D22B26">
        <w:rPr>
          <w:rFonts w:ascii="Arial" w:hAnsi="Arial" w:cs="Arial"/>
        </w:rPr>
        <w:t>Psychogeriatrics</w:t>
      </w:r>
      <w:proofErr w:type="spellEnd"/>
      <w:r w:rsidRPr="00D22B26">
        <w:rPr>
          <w:rFonts w:ascii="Arial" w:hAnsi="Arial" w:cs="Arial"/>
        </w:rPr>
        <w:t xml:space="preserve"> 27(8):1313-22</w:t>
      </w:r>
    </w:p>
  </w:footnote>
  <w:footnote w:id="33">
    <w:p w:rsidR="00D46D0C" w:rsidRDefault="00D46D0C">
      <w:pPr>
        <w:pStyle w:val="FootnoteText"/>
      </w:pPr>
      <w:r>
        <w:rPr>
          <w:rStyle w:val="FootnoteReference"/>
        </w:rPr>
        <w:footnoteRef/>
      </w:r>
      <w:r>
        <w:t xml:space="preserve"> </w:t>
      </w:r>
      <w:r w:rsidRPr="00D46D0C">
        <w:rPr>
          <w:rFonts w:ascii="Arial" w:hAnsi="Arial" w:cs="Arial"/>
        </w:rPr>
        <w:t xml:space="preserve">Jessop, T.,  Harrison F., </w:t>
      </w:r>
      <w:proofErr w:type="spellStart"/>
      <w:r w:rsidRPr="00D46D0C">
        <w:rPr>
          <w:rFonts w:ascii="Arial" w:hAnsi="Arial" w:cs="Arial"/>
        </w:rPr>
        <w:t>Cations</w:t>
      </w:r>
      <w:proofErr w:type="spellEnd"/>
      <w:r w:rsidRPr="00D46D0C">
        <w:rPr>
          <w:rFonts w:ascii="Arial" w:hAnsi="Arial" w:cs="Arial"/>
        </w:rPr>
        <w:t xml:space="preserve"> M., Shell A., </w:t>
      </w:r>
      <w:proofErr w:type="spellStart"/>
      <w:r w:rsidRPr="00D46D0C">
        <w:rPr>
          <w:rFonts w:ascii="Arial" w:hAnsi="Arial" w:cs="Arial"/>
        </w:rPr>
        <w:t>Brodaty</w:t>
      </w:r>
      <w:proofErr w:type="spellEnd"/>
      <w:r w:rsidRPr="00D46D0C">
        <w:rPr>
          <w:rFonts w:ascii="Arial" w:hAnsi="Arial" w:cs="Arial"/>
        </w:rPr>
        <w:t xml:space="preserve"> H. (2016) </w:t>
      </w:r>
      <w:proofErr w:type="spellStart"/>
      <w:r w:rsidRPr="00D46D0C">
        <w:rPr>
          <w:rFonts w:ascii="Arial" w:hAnsi="Arial" w:cs="Arial"/>
          <w:bCs/>
        </w:rPr>
        <w:t>Deprescribing</w:t>
      </w:r>
      <w:proofErr w:type="spellEnd"/>
      <w:r w:rsidRPr="00D46D0C">
        <w:rPr>
          <w:rFonts w:ascii="Arial" w:hAnsi="Arial" w:cs="Arial"/>
          <w:bCs/>
        </w:rPr>
        <w:t xml:space="preserve"> Antipsychotics in Long Term Care Residents with </w:t>
      </w:r>
      <w:proofErr w:type="spellStart"/>
      <w:r w:rsidRPr="00D46D0C">
        <w:rPr>
          <w:rFonts w:ascii="Arial" w:hAnsi="Arial" w:cs="Arial"/>
          <w:bCs/>
        </w:rPr>
        <w:t>Behavioral</w:t>
      </w:r>
      <w:proofErr w:type="spellEnd"/>
      <w:r w:rsidRPr="00D46D0C">
        <w:rPr>
          <w:rFonts w:ascii="Arial" w:hAnsi="Arial" w:cs="Arial"/>
          <w:bCs/>
        </w:rPr>
        <w:t xml:space="preserve"> and Psychological Symptoms of Dementia</w:t>
      </w:r>
      <w:r w:rsidRPr="00D46D0C">
        <w:rPr>
          <w:rFonts w:ascii="Arial" w:hAnsi="Arial" w:cs="Arial"/>
        </w:rPr>
        <w:t xml:space="preserve"> Alzheimer’s and Dementia (in press)  </w:t>
      </w:r>
    </w:p>
  </w:footnote>
  <w:footnote w:id="34">
    <w:p w:rsidR="00D22B26" w:rsidRPr="00D22B26" w:rsidRDefault="00D22B26" w:rsidP="00D22B26">
      <w:pPr>
        <w:spacing w:after="0" w:line="259" w:lineRule="auto"/>
        <w:rPr>
          <w:rFonts w:ascii="Arial" w:hAnsi="Arial" w:cs="Arial"/>
          <w:sz w:val="20"/>
          <w:szCs w:val="20"/>
        </w:rPr>
      </w:pPr>
      <w:r w:rsidRPr="00D22B26">
        <w:rPr>
          <w:rStyle w:val="FootnoteReference"/>
          <w:rFonts w:ascii="Arial" w:hAnsi="Arial" w:cs="Arial"/>
          <w:sz w:val="20"/>
          <w:szCs w:val="20"/>
        </w:rPr>
        <w:footnoteRef/>
      </w:r>
      <w:r w:rsidRPr="00D22B26">
        <w:rPr>
          <w:rFonts w:ascii="Arial" w:hAnsi="Arial" w:cs="Arial"/>
          <w:sz w:val="20"/>
          <w:szCs w:val="20"/>
        </w:rPr>
        <w:t xml:space="preserve"> State Coroner South Australia Inquiry into the Death of John Arthur Burns Inquest Number  24/2010 (1389/2006)</w:t>
      </w:r>
      <w:r w:rsidRPr="00D22B26">
        <w:rPr>
          <w:rFonts w:ascii="Arial" w:eastAsia="Times New Roman" w:hAnsi="Arial" w:cs="Arial"/>
          <w:i/>
          <w:sz w:val="20"/>
          <w:szCs w:val="20"/>
        </w:rPr>
        <w:t xml:space="preserve"> </w:t>
      </w:r>
    </w:p>
    <w:p w:rsidR="00D22B26" w:rsidRDefault="00D22B26">
      <w:pPr>
        <w:pStyle w:val="FootnoteText"/>
      </w:pPr>
    </w:p>
  </w:footnote>
  <w:footnote w:id="35">
    <w:p w:rsidR="00C40F9B" w:rsidRPr="00C40F9B" w:rsidRDefault="00C40F9B" w:rsidP="00C40F9B">
      <w:pPr>
        <w:pStyle w:val="FootnoteText"/>
        <w:rPr>
          <w:rFonts w:ascii="Arial" w:hAnsi="Arial" w:cs="Arial"/>
        </w:rPr>
      </w:pPr>
      <w:r w:rsidRPr="00C40F9B">
        <w:rPr>
          <w:rStyle w:val="FootnoteReference"/>
          <w:rFonts w:ascii="Arial" w:hAnsi="Arial" w:cs="Arial"/>
        </w:rPr>
        <w:footnoteRef/>
      </w:r>
      <w:r w:rsidRPr="00C40F9B">
        <w:rPr>
          <w:rFonts w:ascii="Arial" w:hAnsi="Arial" w:cs="Arial"/>
        </w:rPr>
        <w:t>The Australian Residential Care Manual (2014</w:t>
      </w:r>
      <w:proofErr w:type="gramStart"/>
      <w:r w:rsidRPr="00C40F9B">
        <w:rPr>
          <w:rFonts w:ascii="Arial" w:hAnsi="Arial" w:cs="Arial"/>
        </w:rPr>
        <w:t>)  Resicaremanual.health.gov.au</w:t>
      </w:r>
      <w:proofErr w:type="gramEnd"/>
      <w:r w:rsidRPr="00C40F9B">
        <w:rPr>
          <w:rFonts w:ascii="Arial" w:hAnsi="Arial" w:cs="Arial"/>
        </w:rPr>
        <w:t xml:space="preserve">  Pages 9-11, Accessed August 10, 2016. </w:t>
      </w:r>
    </w:p>
  </w:footnote>
  <w:footnote w:id="36">
    <w:p w:rsidR="00DB2BD6" w:rsidRPr="00D25C37" w:rsidRDefault="00DB2BD6" w:rsidP="00DB2BD6">
      <w:pPr>
        <w:pStyle w:val="FootnoteText"/>
        <w:rPr>
          <w:rFonts w:ascii="Arial" w:hAnsi="Arial" w:cs="Arial"/>
        </w:rPr>
      </w:pPr>
      <w:r w:rsidRPr="00D25C37">
        <w:rPr>
          <w:rStyle w:val="FootnoteReference"/>
          <w:rFonts w:ascii="Arial" w:hAnsi="Arial" w:cs="Arial"/>
        </w:rPr>
        <w:footnoteRef/>
      </w:r>
      <w:r w:rsidRPr="00D25C37">
        <w:rPr>
          <w:rFonts w:ascii="Arial" w:hAnsi="Arial" w:cs="Arial"/>
        </w:rPr>
        <w:t xml:space="preserve"> </w:t>
      </w:r>
      <w:proofErr w:type="gramStart"/>
      <w:r w:rsidRPr="00D25C37">
        <w:rPr>
          <w:rFonts w:ascii="Arial" w:hAnsi="Arial" w:cs="Arial"/>
        </w:rPr>
        <w:t>Lacey, W. (2014).</w:t>
      </w:r>
      <w:proofErr w:type="gramEnd"/>
      <w:r w:rsidRPr="00D25C37">
        <w:rPr>
          <w:rFonts w:ascii="Arial" w:hAnsi="Arial" w:cs="Arial"/>
        </w:rPr>
        <w:t xml:space="preserve"> </w:t>
      </w:r>
      <w:proofErr w:type="gramStart"/>
      <w:r w:rsidRPr="00D25C37">
        <w:rPr>
          <w:rFonts w:ascii="Arial" w:hAnsi="Arial" w:cs="Arial"/>
        </w:rPr>
        <w:t>Neglectful to the point of cruelty?</w:t>
      </w:r>
      <w:proofErr w:type="gramEnd"/>
      <w:r w:rsidRPr="00D25C37">
        <w:rPr>
          <w:rFonts w:ascii="Arial" w:hAnsi="Arial" w:cs="Arial"/>
        </w:rPr>
        <w:t xml:space="preserve"> </w:t>
      </w:r>
      <w:proofErr w:type="gramStart"/>
      <w:r w:rsidRPr="00D25C37">
        <w:rPr>
          <w:rFonts w:ascii="Arial" w:hAnsi="Arial" w:cs="Arial"/>
        </w:rPr>
        <w:t>Elder abuse and the rights of older persons in Australia.</w:t>
      </w:r>
      <w:proofErr w:type="gramEnd"/>
      <w:r w:rsidRPr="00D25C37">
        <w:rPr>
          <w:rFonts w:ascii="Arial" w:hAnsi="Arial" w:cs="Arial"/>
        </w:rPr>
        <w:t xml:space="preserve"> </w:t>
      </w:r>
      <w:r w:rsidRPr="00D25C37">
        <w:rPr>
          <w:rStyle w:val="Emphasis"/>
          <w:rFonts w:ascii="Arial" w:hAnsi="Arial" w:cs="Arial"/>
        </w:rPr>
        <w:t>Sydney Law Review</w:t>
      </w:r>
      <w:r w:rsidRPr="00D25C37">
        <w:rPr>
          <w:rFonts w:ascii="Arial" w:hAnsi="Arial" w:cs="Arial"/>
        </w:rPr>
        <w:t xml:space="preserve">, </w:t>
      </w:r>
      <w:r w:rsidRPr="00D25C37">
        <w:rPr>
          <w:rStyle w:val="Emphasis"/>
          <w:rFonts w:ascii="Arial" w:hAnsi="Arial" w:cs="Arial"/>
        </w:rPr>
        <w:t>36</w:t>
      </w:r>
      <w:r w:rsidRPr="00D25C37">
        <w:rPr>
          <w:rFonts w:ascii="Arial" w:hAnsi="Arial" w:cs="Arial"/>
        </w:rPr>
        <w:t>, 99-130.</w:t>
      </w:r>
    </w:p>
  </w:footnote>
  <w:footnote w:id="37">
    <w:p w:rsidR="00DB2BD6" w:rsidRPr="00DB2BD6" w:rsidRDefault="00DB2BD6" w:rsidP="00DB2BD6">
      <w:pPr>
        <w:pStyle w:val="FootnoteText"/>
        <w:rPr>
          <w:rFonts w:ascii="Arial" w:hAnsi="Arial" w:cs="Arial"/>
        </w:rPr>
      </w:pPr>
      <w:r w:rsidRPr="00D25C37">
        <w:rPr>
          <w:rStyle w:val="FootnoteReference"/>
          <w:rFonts w:ascii="Arial" w:hAnsi="Arial" w:cs="Arial"/>
        </w:rPr>
        <w:footnoteRef/>
      </w:r>
      <w:r w:rsidRPr="00D25C37">
        <w:rPr>
          <w:rFonts w:ascii="Arial" w:hAnsi="Arial" w:cs="Arial"/>
        </w:rPr>
        <w:t xml:space="preserve"> </w:t>
      </w:r>
      <w:proofErr w:type="spellStart"/>
      <w:proofErr w:type="gramStart"/>
      <w:r w:rsidR="00D25C37" w:rsidRPr="00D25C37">
        <w:rPr>
          <w:rFonts w:ascii="Arial" w:hAnsi="Arial" w:cs="Arial"/>
        </w:rPr>
        <w:t>Kaspiew</w:t>
      </w:r>
      <w:proofErr w:type="spellEnd"/>
      <w:r w:rsidR="00D25C37" w:rsidRPr="00D25C37">
        <w:rPr>
          <w:rFonts w:ascii="Arial" w:hAnsi="Arial" w:cs="Arial"/>
        </w:rPr>
        <w:t xml:space="preserve"> R., Carson R., Rhoades H. Elder Abuse Australian Institute Family Studies.</w:t>
      </w:r>
      <w:proofErr w:type="gramEnd"/>
      <w:r w:rsidR="00D25C37" w:rsidRPr="00D25C37">
        <w:rPr>
          <w:rFonts w:ascii="Arial" w:hAnsi="Arial" w:cs="Arial"/>
        </w:rPr>
        <w:t xml:space="preserve"> https://aifs.gov.au/publications/elder-abuse/export </w:t>
      </w:r>
    </w:p>
  </w:footnote>
  <w:footnote w:id="38">
    <w:p w:rsidR="00DB2BD6" w:rsidRPr="00C54C6C" w:rsidRDefault="00DB2BD6" w:rsidP="00C54C6C">
      <w:pPr>
        <w:spacing w:after="0" w:line="240" w:lineRule="auto"/>
        <w:rPr>
          <w:rFonts w:ascii="Arial" w:hAnsi="Arial" w:cs="Arial"/>
          <w:sz w:val="20"/>
          <w:szCs w:val="20"/>
        </w:rPr>
      </w:pPr>
      <w:r>
        <w:rPr>
          <w:rStyle w:val="FootnoteReference"/>
        </w:rPr>
        <w:footnoteRef/>
      </w:r>
      <w:r>
        <w:t xml:space="preserve"> </w:t>
      </w:r>
      <w:r w:rsidRPr="00C54C6C">
        <w:rPr>
          <w:rFonts w:ascii="Arial" w:hAnsi="Arial" w:cs="Arial"/>
          <w:sz w:val="20"/>
          <w:szCs w:val="20"/>
        </w:rPr>
        <w:t xml:space="preserve">Adams VM, </w:t>
      </w:r>
      <w:proofErr w:type="spellStart"/>
      <w:r w:rsidRPr="00C54C6C">
        <w:rPr>
          <w:rFonts w:ascii="Arial" w:hAnsi="Arial" w:cs="Arial"/>
          <w:sz w:val="20"/>
          <w:szCs w:val="20"/>
        </w:rPr>
        <w:t>Bagshaw</w:t>
      </w:r>
      <w:proofErr w:type="spellEnd"/>
      <w:r w:rsidRPr="00C54C6C">
        <w:rPr>
          <w:rFonts w:ascii="Arial" w:hAnsi="Arial" w:cs="Arial"/>
          <w:sz w:val="20"/>
          <w:szCs w:val="20"/>
        </w:rPr>
        <w:t xml:space="preserve"> D, Wendt S, </w:t>
      </w:r>
      <w:proofErr w:type="spellStart"/>
      <w:r w:rsidRPr="00C54C6C">
        <w:rPr>
          <w:rFonts w:ascii="Arial" w:hAnsi="Arial" w:cs="Arial"/>
          <w:sz w:val="20"/>
          <w:szCs w:val="20"/>
        </w:rPr>
        <w:t>Zannettino</w:t>
      </w:r>
      <w:proofErr w:type="spellEnd"/>
      <w:r w:rsidRPr="00C54C6C">
        <w:rPr>
          <w:rFonts w:ascii="Arial" w:hAnsi="Arial" w:cs="Arial"/>
          <w:sz w:val="20"/>
          <w:szCs w:val="20"/>
        </w:rPr>
        <w:t xml:space="preserve"> L. 2014. Financial abuse of older people by a family member: a difficult terrain for service providers in Australia. </w:t>
      </w:r>
      <w:proofErr w:type="gramStart"/>
      <w:r w:rsidRPr="00C54C6C">
        <w:rPr>
          <w:rFonts w:ascii="Arial" w:hAnsi="Arial" w:cs="Arial"/>
          <w:sz w:val="20"/>
          <w:szCs w:val="20"/>
        </w:rPr>
        <w:t xml:space="preserve">J Elder Abuse </w:t>
      </w:r>
      <w:proofErr w:type="spellStart"/>
      <w:r w:rsidRPr="00C54C6C">
        <w:rPr>
          <w:rFonts w:ascii="Arial" w:hAnsi="Arial" w:cs="Arial"/>
          <w:sz w:val="20"/>
          <w:szCs w:val="20"/>
        </w:rPr>
        <w:t>Negl</w:t>
      </w:r>
      <w:proofErr w:type="spellEnd"/>
      <w:r w:rsidRPr="00C54C6C">
        <w:rPr>
          <w:rFonts w:ascii="Arial" w:hAnsi="Arial" w:cs="Arial"/>
          <w:sz w:val="20"/>
          <w:szCs w:val="20"/>
        </w:rPr>
        <w:t>.</w:t>
      </w:r>
      <w:proofErr w:type="gramEnd"/>
      <w:r w:rsidRPr="00C54C6C">
        <w:rPr>
          <w:rFonts w:ascii="Arial" w:hAnsi="Arial" w:cs="Arial"/>
          <w:sz w:val="20"/>
          <w:szCs w:val="20"/>
        </w:rPr>
        <w:t xml:space="preserve"> 26(3):270-90. </w:t>
      </w:r>
    </w:p>
    <w:p w:rsidR="00DB2BD6" w:rsidRPr="007D2F85" w:rsidRDefault="00DB2BD6" w:rsidP="00C54C6C">
      <w:pPr>
        <w:spacing w:after="0" w:line="240" w:lineRule="auto"/>
        <w:rPr>
          <w:rFonts w:ascii="Arial" w:hAnsi="Arial" w:cs="Arial"/>
          <w:sz w:val="20"/>
          <w:szCs w:val="20"/>
        </w:rPr>
      </w:pPr>
      <w:r w:rsidRPr="00C54C6C">
        <w:rPr>
          <w:rFonts w:ascii="Arial" w:hAnsi="Arial" w:cs="Arial"/>
          <w:sz w:val="20"/>
          <w:szCs w:val="20"/>
        </w:rPr>
        <w:t xml:space="preserve">See also King C, </w:t>
      </w:r>
      <w:proofErr w:type="spellStart"/>
      <w:r w:rsidRPr="00C54C6C">
        <w:rPr>
          <w:rFonts w:ascii="Arial" w:hAnsi="Arial" w:cs="Arial"/>
          <w:sz w:val="20"/>
          <w:szCs w:val="20"/>
        </w:rPr>
        <w:t>Wainer</w:t>
      </w:r>
      <w:proofErr w:type="spellEnd"/>
      <w:r w:rsidRPr="00C54C6C">
        <w:rPr>
          <w:rFonts w:ascii="Arial" w:hAnsi="Arial" w:cs="Arial"/>
          <w:sz w:val="20"/>
          <w:szCs w:val="20"/>
        </w:rPr>
        <w:t xml:space="preserve"> J, </w:t>
      </w:r>
      <w:proofErr w:type="spellStart"/>
      <w:r w:rsidRPr="00C54C6C">
        <w:rPr>
          <w:rFonts w:ascii="Arial" w:hAnsi="Arial" w:cs="Arial"/>
          <w:sz w:val="20"/>
          <w:szCs w:val="20"/>
        </w:rPr>
        <w:t>Lowndes</w:t>
      </w:r>
      <w:proofErr w:type="spellEnd"/>
      <w:r w:rsidRPr="00C54C6C">
        <w:rPr>
          <w:rFonts w:ascii="Arial" w:hAnsi="Arial" w:cs="Arial"/>
          <w:sz w:val="20"/>
          <w:szCs w:val="20"/>
        </w:rPr>
        <w:t xml:space="preserve"> G, </w:t>
      </w:r>
      <w:proofErr w:type="spellStart"/>
      <w:r w:rsidRPr="00C54C6C">
        <w:rPr>
          <w:rFonts w:ascii="Arial" w:hAnsi="Arial" w:cs="Arial"/>
          <w:sz w:val="20"/>
          <w:szCs w:val="20"/>
        </w:rPr>
        <w:t>Darzins</w:t>
      </w:r>
      <w:proofErr w:type="spellEnd"/>
      <w:r w:rsidRPr="00C54C6C">
        <w:rPr>
          <w:rFonts w:ascii="Arial" w:hAnsi="Arial" w:cs="Arial"/>
          <w:sz w:val="20"/>
          <w:szCs w:val="20"/>
        </w:rPr>
        <w:t xml:space="preserve"> P, </w:t>
      </w:r>
      <w:proofErr w:type="spellStart"/>
      <w:r w:rsidRPr="00C54C6C">
        <w:rPr>
          <w:rFonts w:ascii="Arial" w:hAnsi="Arial" w:cs="Arial"/>
          <w:sz w:val="20"/>
          <w:szCs w:val="20"/>
        </w:rPr>
        <w:t>Owada</w:t>
      </w:r>
      <w:proofErr w:type="spellEnd"/>
      <w:r w:rsidRPr="00C54C6C">
        <w:rPr>
          <w:rFonts w:ascii="Arial" w:hAnsi="Arial" w:cs="Arial"/>
          <w:sz w:val="20"/>
          <w:szCs w:val="20"/>
        </w:rPr>
        <w:t xml:space="preserve"> K. 2011. For Love or Money: intergenerational management of older Victorians' assets</w:t>
      </w:r>
      <w:r w:rsidRPr="00C54C6C">
        <w:rPr>
          <w:rFonts w:ascii="Arial" w:hAnsi="Arial" w:cs="Arial"/>
          <w:i/>
          <w:sz w:val="20"/>
          <w:szCs w:val="20"/>
        </w:rPr>
        <w:t xml:space="preserve"> </w:t>
      </w:r>
      <w:r w:rsidRPr="00C54C6C">
        <w:rPr>
          <w:rFonts w:ascii="Arial" w:hAnsi="Arial" w:cs="Arial"/>
          <w:sz w:val="20"/>
          <w:szCs w:val="20"/>
        </w:rPr>
        <w:t xml:space="preserve">Monash University, Medicine Nursing and Health Sciences, State Trustees: Victoria; </w:t>
      </w:r>
      <w:proofErr w:type="spellStart"/>
      <w:r w:rsidRPr="00C54C6C">
        <w:rPr>
          <w:rFonts w:ascii="Arial" w:hAnsi="Arial" w:cs="Arial"/>
          <w:sz w:val="20"/>
          <w:szCs w:val="20"/>
        </w:rPr>
        <w:t>Wainer</w:t>
      </w:r>
      <w:proofErr w:type="spellEnd"/>
      <w:r w:rsidRPr="00C54C6C">
        <w:rPr>
          <w:rFonts w:ascii="Arial" w:hAnsi="Arial" w:cs="Arial"/>
          <w:sz w:val="20"/>
          <w:szCs w:val="20"/>
        </w:rPr>
        <w:t xml:space="preserve"> J, </w:t>
      </w:r>
      <w:proofErr w:type="spellStart"/>
      <w:r w:rsidRPr="00C54C6C">
        <w:rPr>
          <w:rFonts w:ascii="Arial" w:hAnsi="Arial" w:cs="Arial"/>
          <w:sz w:val="20"/>
          <w:szCs w:val="20"/>
        </w:rPr>
        <w:t>Darzins</w:t>
      </w:r>
      <w:proofErr w:type="spellEnd"/>
      <w:r w:rsidRPr="00C54C6C">
        <w:rPr>
          <w:rFonts w:ascii="Arial" w:hAnsi="Arial" w:cs="Arial"/>
          <w:sz w:val="20"/>
          <w:szCs w:val="20"/>
        </w:rPr>
        <w:t xml:space="preserve"> P, </w:t>
      </w:r>
      <w:proofErr w:type="spellStart"/>
      <w:r w:rsidRPr="00C54C6C">
        <w:rPr>
          <w:rFonts w:ascii="Arial" w:hAnsi="Arial" w:cs="Arial"/>
          <w:sz w:val="20"/>
          <w:szCs w:val="20"/>
        </w:rPr>
        <w:t>Owada</w:t>
      </w:r>
      <w:proofErr w:type="spellEnd"/>
      <w:r w:rsidRPr="00C54C6C">
        <w:rPr>
          <w:rFonts w:ascii="Arial" w:hAnsi="Arial" w:cs="Arial"/>
          <w:sz w:val="20"/>
          <w:szCs w:val="20"/>
        </w:rPr>
        <w:t xml:space="preserve"> K. 2010. </w:t>
      </w:r>
      <w:proofErr w:type="gramStart"/>
      <w:r w:rsidRPr="00C54C6C">
        <w:rPr>
          <w:rFonts w:ascii="Arial" w:hAnsi="Arial" w:cs="Arial"/>
          <w:sz w:val="20"/>
          <w:szCs w:val="20"/>
        </w:rPr>
        <w:t xml:space="preserve">Prevalence of elder </w:t>
      </w:r>
      <w:r w:rsidRPr="007D2F85">
        <w:rPr>
          <w:rFonts w:ascii="Arial" w:hAnsi="Arial" w:cs="Arial"/>
          <w:sz w:val="20"/>
          <w:szCs w:val="20"/>
        </w:rPr>
        <w:t>financial abuse in Victoria, Protecting elders’ assets study, 2010.</w:t>
      </w:r>
      <w:proofErr w:type="gramEnd"/>
      <w:r w:rsidRPr="007D2F85">
        <w:rPr>
          <w:rFonts w:ascii="Arial" w:hAnsi="Arial" w:cs="Arial"/>
          <w:sz w:val="20"/>
          <w:szCs w:val="20"/>
        </w:rPr>
        <w:t xml:space="preserve"> </w:t>
      </w:r>
      <w:proofErr w:type="gramStart"/>
      <w:r w:rsidRPr="007D2F85">
        <w:rPr>
          <w:rFonts w:ascii="Arial" w:hAnsi="Arial" w:cs="Arial"/>
          <w:sz w:val="20"/>
          <w:szCs w:val="20"/>
        </w:rPr>
        <w:t>Monash University, Medicine Nursing and Health Sciences, State Trustees.</w:t>
      </w:r>
      <w:proofErr w:type="gramEnd"/>
      <w:r w:rsidRPr="007D2F85">
        <w:rPr>
          <w:rFonts w:ascii="Arial" w:hAnsi="Arial" w:cs="Arial"/>
          <w:sz w:val="20"/>
          <w:szCs w:val="20"/>
        </w:rPr>
        <w:t xml:space="preserve">  Peterson JC, </w:t>
      </w:r>
      <w:r w:rsidRPr="007D2F85">
        <w:rPr>
          <w:rFonts w:ascii="Arial" w:hAnsi="Arial" w:cs="Arial"/>
          <w:i/>
          <w:sz w:val="20"/>
          <w:szCs w:val="20"/>
        </w:rPr>
        <w:t>et al</w:t>
      </w:r>
      <w:r w:rsidRPr="007D2F85">
        <w:rPr>
          <w:rFonts w:ascii="Arial" w:hAnsi="Arial" w:cs="Arial"/>
          <w:sz w:val="20"/>
          <w:szCs w:val="20"/>
        </w:rPr>
        <w:t xml:space="preserve">., 2014. Financial exploitation of older adults: a population-based prevalence </w:t>
      </w:r>
      <w:proofErr w:type="spellStart"/>
      <w:r w:rsidRPr="007D2F85">
        <w:rPr>
          <w:rFonts w:ascii="Arial" w:hAnsi="Arial" w:cs="Arial"/>
          <w:sz w:val="20"/>
          <w:szCs w:val="20"/>
        </w:rPr>
        <w:t>study.J</w:t>
      </w:r>
      <w:proofErr w:type="spellEnd"/>
      <w:r w:rsidRPr="007D2F85">
        <w:rPr>
          <w:rFonts w:ascii="Arial" w:hAnsi="Arial" w:cs="Arial"/>
          <w:sz w:val="20"/>
          <w:szCs w:val="20"/>
        </w:rPr>
        <w:t xml:space="preserve"> Gen Intern Med. 29:1615-23.  </w:t>
      </w:r>
    </w:p>
  </w:footnote>
  <w:footnote w:id="39">
    <w:p w:rsidR="00DB2BD6" w:rsidRDefault="00DB2BD6">
      <w:pPr>
        <w:pStyle w:val="FootnoteText"/>
      </w:pPr>
      <w:r>
        <w:rPr>
          <w:rStyle w:val="FootnoteReference"/>
        </w:rPr>
        <w:footnoteRef/>
      </w:r>
      <w:r>
        <w:t xml:space="preserve"> </w:t>
      </w:r>
      <w:r w:rsidRPr="007D2F85">
        <w:rPr>
          <w:rFonts w:ascii="Arial" w:hAnsi="Arial" w:cs="Arial"/>
        </w:rPr>
        <w:t>https://nsw.fightdementia.org.au/sites/default/files/20140618-NSW-Pub-DiscussionPaperFinancialAbuse.pdf</w:t>
      </w:r>
      <w:r>
        <w:rPr>
          <w:rFonts w:ascii="Arial" w:hAnsi="Arial" w:cs="Arial"/>
        </w:rPr>
        <w:t>.</w:t>
      </w:r>
    </w:p>
  </w:footnote>
  <w:footnote w:id="40">
    <w:p w:rsidR="00DB2BD6" w:rsidRPr="007D2F85" w:rsidRDefault="00DB2BD6" w:rsidP="007D2F85">
      <w:pPr>
        <w:spacing w:after="0" w:line="240" w:lineRule="auto"/>
        <w:rPr>
          <w:rFonts w:ascii="Arial" w:hAnsi="Arial" w:cs="Arial"/>
          <w:sz w:val="20"/>
          <w:szCs w:val="20"/>
        </w:rPr>
      </w:pPr>
      <w:r w:rsidRPr="007D2F85">
        <w:rPr>
          <w:rStyle w:val="FootnoteReference"/>
          <w:rFonts w:ascii="Arial" w:hAnsi="Arial" w:cs="Arial"/>
          <w:sz w:val="20"/>
          <w:szCs w:val="20"/>
        </w:rPr>
        <w:footnoteRef/>
      </w:r>
      <w:r w:rsidRPr="007D2F85">
        <w:rPr>
          <w:rFonts w:ascii="Arial" w:hAnsi="Arial" w:cs="Arial"/>
          <w:sz w:val="20"/>
          <w:szCs w:val="20"/>
        </w:rPr>
        <w:t xml:space="preserve"> </w:t>
      </w:r>
      <w:proofErr w:type="spellStart"/>
      <w:r w:rsidRPr="007D2F85">
        <w:rPr>
          <w:rFonts w:ascii="Arial" w:hAnsi="Arial" w:cs="Arial"/>
          <w:bCs/>
          <w:sz w:val="20"/>
          <w:szCs w:val="20"/>
        </w:rPr>
        <w:t>Peisah</w:t>
      </w:r>
      <w:proofErr w:type="spellEnd"/>
      <w:r w:rsidRPr="007D2F85">
        <w:rPr>
          <w:rFonts w:ascii="Arial" w:hAnsi="Arial" w:cs="Arial"/>
          <w:bCs/>
          <w:sz w:val="20"/>
          <w:szCs w:val="20"/>
        </w:rPr>
        <w:t xml:space="preserve"> C. Bhatia </w:t>
      </w:r>
      <w:proofErr w:type="spellStart"/>
      <w:r w:rsidRPr="007D2F85">
        <w:rPr>
          <w:rFonts w:ascii="Arial" w:hAnsi="Arial" w:cs="Arial"/>
          <w:bCs/>
          <w:sz w:val="20"/>
          <w:szCs w:val="20"/>
        </w:rPr>
        <w:t>MacNab</w:t>
      </w:r>
      <w:proofErr w:type="spellEnd"/>
      <w:r w:rsidRPr="007D2F85">
        <w:rPr>
          <w:rFonts w:ascii="Arial" w:hAnsi="Arial" w:cs="Arial"/>
          <w:bCs/>
          <w:sz w:val="20"/>
          <w:szCs w:val="20"/>
        </w:rPr>
        <w:t xml:space="preserve"> J., </w:t>
      </w:r>
      <w:proofErr w:type="spellStart"/>
      <w:r w:rsidRPr="007D2F85">
        <w:rPr>
          <w:rFonts w:ascii="Arial" w:hAnsi="Arial" w:cs="Arial"/>
          <w:bCs/>
          <w:sz w:val="20"/>
          <w:szCs w:val="20"/>
        </w:rPr>
        <w:t>Brodaty</w:t>
      </w:r>
      <w:proofErr w:type="spellEnd"/>
      <w:r w:rsidRPr="007D2F85">
        <w:rPr>
          <w:rFonts w:ascii="Arial" w:hAnsi="Arial" w:cs="Arial"/>
          <w:bCs/>
          <w:sz w:val="20"/>
          <w:szCs w:val="20"/>
        </w:rPr>
        <w:t xml:space="preserve"> H.</w:t>
      </w:r>
      <w:r w:rsidRPr="007D2F85">
        <w:rPr>
          <w:rFonts w:ascii="Arial" w:hAnsi="Arial" w:cs="Arial"/>
          <w:sz w:val="20"/>
          <w:szCs w:val="20"/>
        </w:rPr>
        <w:t xml:space="preserve"> (2016) Knowledge translation regarding financial abuse and dementia for the banking sector: the development and testing of an education tool International Journal Geriatric Psychiatry</w:t>
      </w:r>
      <w:r>
        <w:rPr>
          <w:rFonts w:ascii="Arial" w:hAnsi="Arial" w:cs="Arial"/>
          <w:sz w:val="20"/>
          <w:szCs w:val="20"/>
        </w:rPr>
        <w:t xml:space="preserve">. </w:t>
      </w:r>
      <w:r w:rsidRPr="007D2F85">
        <w:rPr>
          <w:rFonts w:ascii="Arial" w:hAnsi="Arial" w:cs="Arial"/>
          <w:sz w:val="20"/>
          <w:szCs w:val="20"/>
        </w:rPr>
        <w:t>31(7):702-7.</w:t>
      </w:r>
    </w:p>
  </w:footnote>
  <w:footnote w:id="41">
    <w:p w:rsidR="00DB2BD6" w:rsidRPr="007D2F85" w:rsidRDefault="00DB2BD6">
      <w:pPr>
        <w:pStyle w:val="FootnoteText"/>
        <w:rPr>
          <w:rFonts w:ascii="Arial" w:hAnsi="Arial" w:cs="Arial"/>
        </w:rPr>
      </w:pPr>
      <w:r w:rsidRPr="007D2F85">
        <w:rPr>
          <w:rStyle w:val="FootnoteReference"/>
          <w:rFonts w:ascii="Arial" w:hAnsi="Arial" w:cs="Arial"/>
        </w:rPr>
        <w:footnoteRef/>
      </w:r>
      <w:r w:rsidRPr="007D2F85">
        <w:rPr>
          <w:rFonts w:ascii="Arial" w:hAnsi="Arial" w:cs="Arial"/>
        </w:rPr>
        <w:t xml:space="preserve"> https://nsw.fightdementia.org.au/sites/default/files/20140618-NSW-Pub-DiscussionPaperFinancialAbuse.pdf</w:t>
      </w:r>
    </w:p>
  </w:footnote>
  <w:footnote w:id="42">
    <w:p w:rsidR="001230F1" w:rsidRPr="006469C5" w:rsidRDefault="001230F1" w:rsidP="001230F1">
      <w:pPr>
        <w:pStyle w:val="FootnoteText"/>
        <w:rPr>
          <w:rFonts w:ascii="Arial" w:hAnsi="Arial" w:cs="Arial"/>
        </w:rPr>
      </w:pPr>
      <w:r>
        <w:rPr>
          <w:rStyle w:val="FootnoteReference"/>
        </w:rPr>
        <w:footnoteRef/>
      </w:r>
      <w:r>
        <w:t xml:space="preserve"> </w:t>
      </w:r>
      <w:r w:rsidRPr="006469C5">
        <w:rPr>
          <w:rFonts w:ascii="Arial" w:hAnsi="Arial" w:cs="Arial"/>
        </w:rPr>
        <w:t xml:space="preserve">New South Wales. </w:t>
      </w:r>
      <w:proofErr w:type="gramStart"/>
      <w:r w:rsidRPr="006469C5">
        <w:rPr>
          <w:rFonts w:ascii="Arial" w:hAnsi="Arial" w:cs="Arial"/>
        </w:rPr>
        <w:t>Parliament.</w:t>
      </w:r>
      <w:proofErr w:type="gramEnd"/>
      <w:r w:rsidRPr="006469C5">
        <w:rPr>
          <w:rFonts w:ascii="Arial" w:hAnsi="Arial" w:cs="Arial"/>
        </w:rPr>
        <w:t xml:space="preserve"> </w:t>
      </w:r>
      <w:proofErr w:type="gramStart"/>
      <w:r w:rsidRPr="006469C5">
        <w:rPr>
          <w:rFonts w:ascii="Arial" w:hAnsi="Arial" w:cs="Arial"/>
        </w:rPr>
        <w:t>Legislative Council.</w:t>
      </w:r>
      <w:proofErr w:type="gramEnd"/>
      <w:r w:rsidRPr="006469C5">
        <w:rPr>
          <w:rFonts w:ascii="Arial" w:hAnsi="Arial" w:cs="Arial"/>
        </w:rPr>
        <w:t xml:space="preserve"> General Purpose Standing Committee No. 2 (2016) Elder abuse in New South Wales / General Purpose Standing Committee No. 2 [Sydney, N.S.W.</w:t>
      </w:r>
      <w:proofErr w:type="gramStart"/>
      <w:r w:rsidRPr="006469C5">
        <w:rPr>
          <w:rFonts w:ascii="Arial" w:hAnsi="Arial" w:cs="Arial"/>
        </w:rPr>
        <w:t>] :</w:t>
      </w:r>
      <w:proofErr w:type="gramEnd"/>
      <w:r w:rsidRPr="006469C5">
        <w:rPr>
          <w:rFonts w:ascii="Arial" w:hAnsi="Arial" w:cs="Arial"/>
        </w:rPr>
        <w:t xml:space="preserve"> the Committee, 2016. [</w:t>
      </w:r>
      <w:proofErr w:type="gramStart"/>
      <w:r w:rsidRPr="006469C5">
        <w:rPr>
          <w:rFonts w:ascii="Arial" w:hAnsi="Arial" w:cs="Arial"/>
        </w:rPr>
        <w:t>xx</w:t>
      </w:r>
      <w:proofErr w:type="gramEnd"/>
      <w:r w:rsidRPr="006469C5">
        <w:rPr>
          <w:rFonts w:ascii="Arial" w:hAnsi="Arial" w:cs="Arial"/>
        </w:rPr>
        <w:t>, 186] p. ; 30 cm. (Report no. 44 / General Purpose Standing Committee No. 2).</w:t>
      </w:r>
    </w:p>
    <w:p w:rsidR="001230F1" w:rsidRDefault="001230F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68F"/>
    <w:multiLevelType w:val="multilevel"/>
    <w:tmpl w:val="67443C94"/>
    <w:lvl w:ilvl="0">
      <w:start w:val="1"/>
      <w:numFmt w:val="decimal"/>
      <w:pStyle w:val="Heading1"/>
      <w:lvlText w:val="%1."/>
      <w:lvlJc w:val="left"/>
      <w:pPr>
        <w:tabs>
          <w:tab w:val="num" w:pos="567"/>
        </w:tabs>
        <w:ind w:left="567" w:hanging="567"/>
      </w:pPr>
      <w:rPr>
        <w:rFonts w:ascii="Arial" w:hAnsi="Arial" w:hint="default"/>
        <w:b/>
        <w:i w:val="0"/>
        <w:sz w:val="28"/>
      </w:rPr>
    </w:lvl>
    <w:lvl w:ilvl="1">
      <w:start w:val="1"/>
      <w:numFmt w:val="decimal"/>
      <w:pStyle w:val="Heading2"/>
      <w:lvlText w:val="%1.%2"/>
      <w:lvlJc w:val="left"/>
      <w:pPr>
        <w:tabs>
          <w:tab w:val="num" w:pos="927"/>
        </w:tabs>
        <w:ind w:left="0" w:firstLine="567"/>
      </w:pPr>
      <w:rPr>
        <w:rFonts w:ascii="Arial" w:hAnsi="Arial" w:hint="default"/>
        <w:b w:val="0"/>
        <w:i w:val="0"/>
        <w:sz w:val="22"/>
      </w:rPr>
    </w:lvl>
    <w:lvl w:ilvl="2">
      <w:start w:val="1"/>
      <w:numFmt w:val="decimal"/>
      <w:lvlText w:val="%1.%2.%3."/>
      <w:lvlJc w:val="left"/>
      <w:pPr>
        <w:tabs>
          <w:tab w:val="num" w:pos="1287"/>
        </w:tabs>
        <w:ind w:left="851" w:hanging="284"/>
      </w:pPr>
      <w:rPr>
        <w:rFonts w:ascii="Arial" w:hAnsi="Arial" w:hint="default"/>
        <w:b w:val="0"/>
        <w:i w:val="0"/>
        <w:sz w:val="22"/>
      </w:rPr>
    </w:lvl>
    <w:lvl w:ilvl="3">
      <w:start w:val="1"/>
      <w:numFmt w:val="bullet"/>
      <w:lvlText w:val=""/>
      <w:lvlJc w:val="left"/>
      <w:pPr>
        <w:tabs>
          <w:tab w:val="num" w:pos="567"/>
        </w:tabs>
        <w:ind w:left="567" w:hanging="567"/>
      </w:pPr>
      <w:rPr>
        <w:rFonts w:ascii="Symbol" w:hAnsi="Symbol" w:hint="default"/>
        <w:sz w:val="24"/>
      </w:rPr>
    </w:lvl>
    <w:lvl w:ilvl="4">
      <w:start w:val="1"/>
      <w:numFmt w:val="bullet"/>
      <w:lvlText w:val="-"/>
      <w:lvlJc w:val="left"/>
      <w:pPr>
        <w:tabs>
          <w:tab w:val="num" w:pos="927"/>
        </w:tabs>
        <w:ind w:left="794" w:hanging="227"/>
      </w:pPr>
      <w:rPr>
        <w:rFonts w:ascii="Arial" w:hAnsi="Arial" w:hint="default"/>
        <w:sz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567" w:firstLine="1593"/>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604570"/>
    <w:multiLevelType w:val="hybridMultilevel"/>
    <w:tmpl w:val="81921C9C"/>
    <w:lvl w:ilvl="0" w:tplc="6E9E3986">
      <w:start w:val="1"/>
      <w:numFmt w:val="decimal"/>
      <w:lvlText w:val="%1."/>
      <w:lvlJc w:val="left"/>
      <w:pPr>
        <w:ind w:left="71" w:hanging="360"/>
      </w:pPr>
      <w:rPr>
        <w:rFonts w:hint="default"/>
        <w:b/>
        <w:i/>
      </w:rPr>
    </w:lvl>
    <w:lvl w:ilvl="1" w:tplc="0C090019" w:tentative="1">
      <w:start w:val="1"/>
      <w:numFmt w:val="lowerLetter"/>
      <w:lvlText w:val="%2."/>
      <w:lvlJc w:val="left"/>
      <w:pPr>
        <w:ind w:left="791" w:hanging="360"/>
      </w:pPr>
    </w:lvl>
    <w:lvl w:ilvl="2" w:tplc="0C09001B" w:tentative="1">
      <w:start w:val="1"/>
      <w:numFmt w:val="lowerRoman"/>
      <w:lvlText w:val="%3."/>
      <w:lvlJc w:val="right"/>
      <w:pPr>
        <w:ind w:left="1511" w:hanging="180"/>
      </w:pPr>
    </w:lvl>
    <w:lvl w:ilvl="3" w:tplc="0C09000F" w:tentative="1">
      <w:start w:val="1"/>
      <w:numFmt w:val="decimal"/>
      <w:lvlText w:val="%4."/>
      <w:lvlJc w:val="left"/>
      <w:pPr>
        <w:ind w:left="2231" w:hanging="360"/>
      </w:pPr>
    </w:lvl>
    <w:lvl w:ilvl="4" w:tplc="0C090019" w:tentative="1">
      <w:start w:val="1"/>
      <w:numFmt w:val="lowerLetter"/>
      <w:lvlText w:val="%5."/>
      <w:lvlJc w:val="left"/>
      <w:pPr>
        <w:ind w:left="2951" w:hanging="360"/>
      </w:pPr>
    </w:lvl>
    <w:lvl w:ilvl="5" w:tplc="0C09001B" w:tentative="1">
      <w:start w:val="1"/>
      <w:numFmt w:val="lowerRoman"/>
      <w:lvlText w:val="%6."/>
      <w:lvlJc w:val="right"/>
      <w:pPr>
        <w:ind w:left="3671" w:hanging="180"/>
      </w:pPr>
    </w:lvl>
    <w:lvl w:ilvl="6" w:tplc="0C09000F" w:tentative="1">
      <w:start w:val="1"/>
      <w:numFmt w:val="decimal"/>
      <w:lvlText w:val="%7."/>
      <w:lvlJc w:val="left"/>
      <w:pPr>
        <w:ind w:left="4391" w:hanging="360"/>
      </w:pPr>
    </w:lvl>
    <w:lvl w:ilvl="7" w:tplc="0C090019" w:tentative="1">
      <w:start w:val="1"/>
      <w:numFmt w:val="lowerLetter"/>
      <w:lvlText w:val="%8."/>
      <w:lvlJc w:val="left"/>
      <w:pPr>
        <w:ind w:left="5111" w:hanging="360"/>
      </w:pPr>
    </w:lvl>
    <w:lvl w:ilvl="8" w:tplc="0C09001B" w:tentative="1">
      <w:start w:val="1"/>
      <w:numFmt w:val="lowerRoman"/>
      <w:lvlText w:val="%9."/>
      <w:lvlJc w:val="right"/>
      <w:pPr>
        <w:ind w:left="5831" w:hanging="180"/>
      </w:pPr>
    </w:lvl>
  </w:abstractNum>
  <w:abstractNum w:abstractNumId="2">
    <w:nsid w:val="165B56B6"/>
    <w:multiLevelType w:val="hybridMultilevel"/>
    <w:tmpl w:val="98CA1736"/>
    <w:lvl w:ilvl="0" w:tplc="B5CE481A">
      <w:start w:val="1"/>
      <w:numFmt w:val="bullet"/>
      <w:lvlText w:val="•"/>
      <w:lvlJc w:val="left"/>
      <w:pPr>
        <w:tabs>
          <w:tab w:val="num" w:pos="720"/>
        </w:tabs>
        <w:ind w:left="720" w:hanging="360"/>
      </w:pPr>
      <w:rPr>
        <w:rFonts w:ascii="Arial" w:hAnsi="Arial" w:hint="default"/>
      </w:rPr>
    </w:lvl>
    <w:lvl w:ilvl="1" w:tplc="9A0AF06C" w:tentative="1">
      <w:start w:val="1"/>
      <w:numFmt w:val="bullet"/>
      <w:lvlText w:val="•"/>
      <w:lvlJc w:val="left"/>
      <w:pPr>
        <w:tabs>
          <w:tab w:val="num" w:pos="1440"/>
        </w:tabs>
        <w:ind w:left="1440" w:hanging="360"/>
      </w:pPr>
      <w:rPr>
        <w:rFonts w:ascii="Arial" w:hAnsi="Arial" w:hint="default"/>
      </w:rPr>
    </w:lvl>
    <w:lvl w:ilvl="2" w:tplc="FD8C9552" w:tentative="1">
      <w:start w:val="1"/>
      <w:numFmt w:val="bullet"/>
      <w:lvlText w:val="•"/>
      <w:lvlJc w:val="left"/>
      <w:pPr>
        <w:tabs>
          <w:tab w:val="num" w:pos="2160"/>
        </w:tabs>
        <w:ind w:left="2160" w:hanging="360"/>
      </w:pPr>
      <w:rPr>
        <w:rFonts w:ascii="Arial" w:hAnsi="Arial" w:hint="default"/>
      </w:rPr>
    </w:lvl>
    <w:lvl w:ilvl="3" w:tplc="0D34CA24" w:tentative="1">
      <w:start w:val="1"/>
      <w:numFmt w:val="bullet"/>
      <w:lvlText w:val="•"/>
      <w:lvlJc w:val="left"/>
      <w:pPr>
        <w:tabs>
          <w:tab w:val="num" w:pos="2880"/>
        </w:tabs>
        <w:ind w:left="2880" w:hanging="360"/>
      </w:pPr>
      <w:rPr>
        <w:rFonts w:ascii="Arial" w:hAnsi="Arial" w:hint="default"/>
      </w:rPr>
    </w:lvl>
    <w:lvl w:ilvl="4" w:tplc="4DC4CB1C" w:tentative="1">
      <w:start w:val="1"/>
      <w:numFmt w:val="bullet"/>
      <w:lvlText w:val="•"/>
      <w:lvlJc w:val="left"/>
      <w:pPr>
        <w:tabs>
          <w:tab w:val="num" w:pos="3600"/>
        </w:tabs>
        <w:ind w:left="3600" w:hanging="360"/>
      </w:pPr>
      <w:rPr>
        <w:rFonts w:ascii="Arial" w:hAnsi="Arial" w:hint="default"/>
      </w:rPr>
    </w:lvl>
    <w:lvl w:ilvl="5" w:tplc="8F16D386" w:tentative="1">
      <w:start w:val="1"/>
      <w:numFmt w:val="bullet"/>
      <w:lvlText w:val="•"/>
      <w:lvlJc w:val="left"/>
      <w:pPr>
        <w:tabs>
          <w:tab w:val="num" w:pos="4320"/>
        </w:tabs>
        <w:ind w:left="4320" w:hanging="360"/>
      </w:pPr>
      <w:rPr>
        <w:rFonts w:ascii="Arial" w:hAnsi="Arial" w:hint="default"/>
      </w:rPr>
    </w:lvl>
    <w:lvl w:ilvl="6" w:tplc="3BA4832A" w:tentative="1">
      <w:start w:val="1"/>
      <w:numFmt w:val="bullet"/>
      <w:lvlText w:val="•"/>
      <w:lvlJc w:val="left"/>
      <w:pPr>
        <w:tabs>
          <w:tab w:val="num" w:pos="5040"/>
        </w:tabs>
        <w:ind w:left="5040" w:hanging="360"/>
      </w:pPr>
      <w:rPr>
        <w:rFonts w:ascii="Arial" w:hAnsi="Arial" w:hint="default"/>
      </w:rPr>
    </w:lvl>
    <w:lvl w:ilvl="7" w:tplc="4880C752" w:tentative="1">
      <w:start w:val="1"/>
      <w:numFmt w:val="bullet"/>
      <w:lvlText w:val="•"/>
      <w:lvlJc w:val="left"/>
      <w:pPr>
        <w:tabs>
          <w:tab w:val="num" w:pos="5760"/>
        </w:tabs>
        <w:ind w:left="5760" w:hanging="360"/>
      </w:pPr>
      <w:rPr>
        <w:rFonts w:ascii="Arial" w:hAnsi="Arial" w:hint="default"/>
      </w:rPr>
    </w:lvl>
    <w:lvl w:ilvl="8" w:tplc="4DFADC3E" w:tentative="1">
      <w:start w:val="1"/>
      <w:numFmt w:val="bullet"/>
      <w:lvlText w:val="•"/>
      <w:lvlJc w:val="left"/>
      <w:pPr>
        <w:tabs>
          <w:tab w:val="num" w:pos="6480"/>
        </w:tabs>
        <w:ind w:left="6480" w:hanging="360"/>
      </w:pPr>
      <w:rPr>
        <w:rFonts w:ascii="Arial" w:hAnsi="Arial" w:hint="default"/>
      </w:rPr>
    </w:lvl>
  </w:abstractNum>
  <w:abstractNum w:abstractNumId="3">
    <w:nsid w:val="16713508"/>
    <w:multiLevelType w:val="hybridMultilevel"/>
    <w:tmpl w:val="66BE22E0"/>
    <w:lvl w:ilvl="0" w:tplc="6BEE1208">
      <w:start w:val="1"/>
      <w:numFmt w:val="bullet"/>
      <w:lvlText w:val="•"/>
      <w:lvlJc w:val="left"/>
      <w:pPr>
        <w:tabs>
          <w:tab w:val="num" w:pos="720"/>
        </w:tabs>
        <w:ind w:left="720" w:hanging="360"/>
      </w:pPr>
      <w:rPr>
        <w:rFonts w:ascii="Arial" w:hAnsi="Arial" w:hint="default"/>
      </w:rPr>
    </w:lvl>
    <w:lvl w:ilvl="1" w:tplc="FE4E7950" w:tentative="1">
      <w:start w:val="1"/>
      <w:numFmt w:val="bullet"/>
      <w:lvlText w:val="•"/>
      <w:lvlJc w:val="left"/>
      <w:pPr>
        <w:tabs>
          <w:tab w:val="num" w:pos="1440"/>
        </w:tabs>
        <w:ind w:left="1440" w:hanging="360"/>
      </w:pPr>
      <w:rPr>
        <w:rFonts w:ascii="Arial" w:hAnsi="Arial" w:hint="default"/>
      </w:rPr>
    </w:lvl>
    <w:lvl w:ilvl="2" w:tplc="7284C004" w:tentative="1">
      <w:start w:val="1"/>
      <w:numFmt w:val="bullet"/>
      <w:lvlText w:val="•"/>
      <w:lvlJc w:val="left"/>
      <w:pPr>
        <w:tabs>
          <w:tab w:val="num" w:pos="2160"/>
        </w:tabs>
        <w:ind w:left="2160" w:hanging="360"/>
      </w:pPr>
      <w:rPr>
        <w:rFonts w:ascii="Arial" w:hAnsi="Arial" w:hint="default"/>
      </w:rPr>
    </w:lvl>
    <w:lvl w:ilvl="3" w:tplc="CFBCFA1A" w:tentative="1">
      <w:start w:val="1"/>
      <w:numFmt w:val="bullet"/>
      <w:lvlText w:val="•"/>
      <w:lvlJc w:val="left"/>
      <w:pPr>
        <w:tabs>
          <w:tab w:val="num" w:pos="2880"/>
        </w:tabs>
        <w:ind w:left="2880" w:hanging="360"/>
      </w:pPr>
      <w:rPr>
        <w:rFonts w:ascii="Arial" w:hAnsi="Arial" w:hint="default"/>
      </w:rPr>
    </w:lvl>
    <w:lvl w:ilvl="4" w:tplc="642427FA" w:tentative="1">
      <w:start w:val="1"/>
      <w:numFmt w:val="bullet"/>
      <w:lvlText w:val="•"/>
      <w:lvlJc w:val="left"/>
      <w:pPr>
        <w:tabs>
          <w:tab w:val="num" w:pos="3600"/>
        </w:tabs>
        <w:ind w:left="3600" w:hanging="360"/>
      </w:pPr>
      <w:rPr>
        <w:rFonts w:ascii="Arial" w:hAnsi="Arial" w:hint="default"/>
      </w:rPr>
    </w:lvl>
    <w:lvl w:ilvl="5" w:tplc="0FA8191C" w:tentative="1">
      <w:start w:val="1"/>
      <w:numFmt w:val="bullet"/>
      <w:lvlText w:val="•"/>
      <w:lvlJc w:val="left"/>
      <w:pPr>
        <w:tabs>
          <w:tab w:val="num" w:pos="4320"/>
        </w:tabs>
        <w:ind w:left="4320" w:hanging="360"/>
      </w:pPr>
      <w:rPr>
        <w:rFonts w:ascii="Arial" w:hAnsi="Arial" w:hint="default"/>
      </w:rPr>
    </w:lvl>
    <w:lvl w:ilvl="6" w:tplc="C87E1CEC" w:tentative="1">
      <w:start w:val="1"/>
      <w:numFmt w:val="bullet"/>
      <w:lvlText w:val="•"/>
      <w:lvlJc w:val="left"/>
      <w:pPr>
        <w:tabs>
          <w:tab w:val="num" w:pos="5040"/>
        </w:tabs>
        <w:ind w:left="5040" w:hanging="360"/>
      </w:pPr>
      <w:rPr>
        <w:rFonts w:ascii="Arial" w:hAnsi="Arial" w:hint="default"/>
      </w:rPr>
    </w:lvl>
    <w:lvl w:ilvl="7" w:tplc="E718102A" w:tentative="1">
      <w:start w:val="1"/>
      <w:numFmt w:val="bullet"/>
      <w:lvlText w:val="•"/>
      <w:lvlJc w:val="left"/>
      <w:pPr>
        <w:tabs>
          <w:tab w:val="num" w:pos="5760"/>
        </w:tabs>
        <w:ind w:left="5760" w:hanging="360"/>
      </w:pPr>
      <w:rPr>
        <w:rFonts w:ascii="Arial" w:hAnsi="Arial" w:hint="default"/>
      </w:rPr>
    </w:lvl>
    <w:lvl w:ilvl="8" w:tplc="5E540F18" w:tentative="1">
      <w:start w:val="1"/>
      <w:numFmt w:val="bullet"/>
      <w:lvlText w:val="•"/>
      <w:lvlJc w:val="left"/>
      <w:pPr>
        <w:tabs>
          <w:tab w:val="num" w:pos="6480"/>
        </w:tabs>
        <w:ind w:left="6480" w:hanging="360"/>
      </w:pPr>
      <w:rPr>
        <w:rFonts w:ascii="Arial" w:hAnsi="Arial" w:hint="default"/>
      </w:rPr>
    </w:lvl>
  </w:abstractNum>
  <w:abstractNum w:abstractNumId="4">
    <w:nsid w:val="1E997C14"/>
    <w:multiLevelType w:val="hybridMultilevel"/>
    <w:tmpl w:val="C648316A"/>
    <w:lvl w:ilvl="0" w:tplc="15E41E64">
      <w:start w:val="1"/>
      <w:numFmt w:val="bullet"/>
      <w:lvlText w:val=""/>
      <w:lvlJc w:val="left"/>
      <w:pPr>
        <w:tabs>
          <w:tab w:val="num" w:pos="720"/>
        </w:tabs>
        <w:ind w:left="720" w:hanging="360"/>
      </w:pPr>
      <w:rPr>
        <w:rFonts w:ascii="Wingdings 2" w:hAnsi="Wingdings 2" w:hint="default"/>
      </w:rPr>
    </w:lvl>
    <w:lvl w:ilvl="1" w:tplc="3AB0BE60" w:tentative="1">
      <w:start w:val="1"/>
      <w:numFmt w:val="bullet"/>
      <w:lvlText w:val=""/>
      <w:lvlJc w:val="left"/>
      <w:pPr>
        <w:tabs>
          <w:tab w:val="num" w:pos="1440"/>
        </w:tabs>
        <w:ind w:left="1440" w:hanging="360"/>
      </w:pPr>
      <w:rPr>
        <w:rFonts w:ascii="Wingdings 2" w:hAnsi="Wingdings 2" w:hint="default"/>
      </w:rPr>
    </w:lvl>
    <w:lvl w:ilvl="2" w:tplc="11BCAEE6" w:tentative="1">
      <w:start w:val="1"/>
      <w:numFmt w:val="bullet"/>
      <w:lvlText w:val=""/>
      <w:lvlJc w:val="left"/>
      <w:pPr>
        <w:tabs>
          <w:tab w:val="num" w:pos="2160"/>
        </w:tabs>
        <w:ind w:left="2160" w:hanging="360"/>
      </w:pPr>
      <w:rPr>
        <w:rFonts w:ascii="Wingdings 2" w:hAnsi="Wingdings 2" w:hint="default"/>
      </w:rPr>
    </w:lvl>
    <w:lvl w:ilvl="3" w:tplc="4DD42E86" w:tentative="1">
      <w:start w:val="1"/>
      <w:numFmt w:val="bullet"/>
      <w:lvlText w:val=""/>
      <w:lvlJc w:val="left"/>
      <w:pPr>
        <w:tabs>
          <w:tab w:val="num" w:pos="2880"/>
        </w:tabs>
        <w:ind w:left="2880" w:hanging="360"/>
      </w:pPr>
      <w:rPr>
        <w:rFonts w:ascii="Wingdings 2" w:hAnsi="Wingdings 2" w:hint="default"/>
      </w:rPr>
    </w:lvl>
    <w:lvl w:ilvl="4" w:tplc="1F488734" w:tentative="1">
      <w:start w:val="1"/>
      <w:numFmt w:val="bullet"/>
      <w:lvlText w:val=""/>
      <w:lvlJc w:val="left"/>
      <w:pPr>
        <w:tabs>
          <w:tab w:val="num" w:pos="3600"/>
        </w:tabs>
        <w:ind w:left="3600" w:hanging="360"/>
      </w:pPr>
      <w:rPr>
        <w:rFonts w:ascii="Wingdings 2" w:hAnsi="Wingdings 2" w:hint="default"/>
      </w:rPr>
    </w:lvl>
    <w:lvl w:ilvl="5" w:tplc="52D8C15A" w:tentative="1">
      <w:start w:val="1"/>
      <w:numFmt w:val="bullet"/>
      <w:lvlText w:val=""/>
      <w:lvlJc w:val="left"/>
      <w:pPr>
        <w:tabs>
          <w:tab w:val="num" w:pos="4320"/>
        </w:tabs>
        <w:ind w:left="4320" w:hanging="360"/>
      </w:pPr>
      <w:rPr>
        <w:rFonts w:ascii="Wingdings 2" w:hAnsi="Wingdings 2" w:hint="default"/>
      </w:rPr>
    </w:lvl>
    <w:lvl w:ilvl="6" w:tplc="2CF07884" w:tentative="1">
      <w:start w:val="1"/>
      <w:numFmt w:val="bullet"/>
      <w:lvlText w:val=""/>
      <w:lvlJc w:val="left"/>
      <w:pPr>
        <w:tabs>
          <w:tab w:val="num" w:pos="5040"/>
        </w:tabs>
        <w:ind w:left="5040" w:hanging="360"/>
      </w:pPr>
      <w:rPr>
        <w:rFonts w:ascii="Wingdings 2" w:hAnsi="Wingdings 2" w:hint="default"/>
      </w:rPr>
    </w:lvl>
    <w:lvl w:ilvl="7" w:tplc="ED7650AC" w:tentative="1">
      <w:start w:val="1"/>
      <w:numFmt w:val="bullet"/>
      <w:lvlText w:val=""/>
      <w:lvlJc w:val="left"/>
      <w:pPr>
        <w:tabs>
          <w:tab w:val="num" w:pos="5760"/>
        </w:tabs>
        <w:ind w:left="5760" w:hanging="360"/>
      </w:pPr>
      <w:rPr>
        <w:rFonts w:ascii="Wingdings 2" w:hAnsi="Wingdings 2" w:hint="default"/>
      </w:rPr>
    </w:lvl>
    <w:lvl w:ilvl="8" w:tplc="41A82902" w:tentative="1">
      <w:start w:val="1"/>
      <w:numFmt w:val="bullet"/>
      <w:lvlText w:val=""/>
      <w:lvlJc w:val="left"/>
      <w:pPr>
        <w:tabs>
          <w:tab w:val="num" w:pos="6480"/>
        </w:tabs>
        <w:ind w:left="6480" w:hanging="360"/>
      </w:pPr>
      <w:rPr>
        <w:rFonts w:ascii="Wingdings 2" w:hAnsi="Wingdings 2" w:hint="default"/>
      </w:rPr>
    </w:lvl>
  </w:abstractNum>
  <w:abstractNum w:abstractNumId="5">
    <w:nsid w:val="2C5C7DE5"/>
    <w:multiLevelType w:val="multilevel"/>
    <w:tmpl w:val="395E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9A777D"/>
    <w:multiLevelType w:val="hybridMultilevel"/>
    <w:tmpl w:val="B2B6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717C1"/>
    <w:multiLevelType w:val="hybridMultilevel"/>
    <w:tmpl w:val="0EF0540C"/>
    <w:lvl w:ilvl="0" w:tplc="A1BC3E78">
      <w:start w:val="1"/>
      <w:numFmt w:val="bullet"/>
      <w:lvlText w:val="•"/>
      <w:lvlJc w:val="left"/>
      <w:pPr>
        <w:tabs>
          <w:tab w:val="num" w:pos="720"/>
        </w:tabs>
        <w:ind w:left="720" w:hanging="360"/>
      </w:pPr>
      <w:rPr>
        <w:rFonts w:ascii="Arial" w:hAnsi="Arial" w:hint="default"/>
      </w:rPr>
    </w:lvl>
    <w:lvl w:ilvl="1" w:tplc="0FE299C4" w:tentative="1">
      <w:start w:val="1"/>
      <w:numFmt w:val="bullet"/>
      <w:lvlText w:val="•"/>
      <w:lvlJc w:val="left"/>
      <w:pPr>
        <w:tabs>
          <w:tab w:val="num" w:pos="1440"/>
        </w:tabs>
        <w:ind w:left="1440" w:hanging="360"/>
      </w:pPr>
      <w:rPr>
        <w:rFonts w:ascii="Arial" w:hAnsi="Arial" w:hint="default"/>
      </w:rPr>
    </w:lvl>
    <w:lvl w:ilvl="2" w:tplc="79B6B352" w:tentative="1">
      <w:start w:val="1"/>
      <w:numFmt w:val="bullet"/>
      <w:lvlText w:val="•"/>
      <w:lvlJc w:val="left"/>
      <w:pPr>
        <w:tabs>
          <w:tab w:val="num" w:pos="2160"/>
        </w:tabs>
        <w:ind w:left="2160" w:hanging="360"/>
      </w:pPr>
      <w:rPr>
        <w:rFonts w:ascii="Arial" w:hAnsi="Arial" w:hint="default"/>
      </w:rPr>
    </w:lvl>
    <w:lvl w:ilvl="3" w:tplc="BF3AB956" w:tentative="1">
      <w:start w:val="1"/>
      <w:numFmt w:val="bullet"/>
      <w:lvlText w:val="•"/>
      <w:lvlJc w:val="left"/>
      <w:pPr>
        <w:tabs>
          <w:tab w:val="num" w:pos="2880"/>
        </w:tabs>
        <w:ind w:left="2880" w:hanging="360"/>
      </w:pPr>
      <w:rPr>
        <w:rFonts w:ascii="Arial" w:hAnsi="Arial" w:hint="default"/>
      </w:rPr>
    </w:lvl>
    <w:lvl w:ilvl="4" w:tplc="B4BE8F8C" w:tentative="1">
      <w:start w:val="1"/>
      <w:numFmt w:val="bullet"/>
      <w:lvlText w:val="•"/>
      <w:lvlJc w:val="left"/>
      <w:pPr>
        <w:tabs>
          <w:tab w:val="num" w:pos="3600"/>
        </w:tabs>
        <w:ind w:left="3600" w:hanging="360"/>
      </w:pPr>
      <w:rPr>
        <w:rFonts w:ascii="Arial" w:hAnsi="Arial" w:hint="default"/>
      </w:rPr>
    </w:lvl>
    <w:lvl w:ilvl="5" w:tplc="8916B176" w:tentative="1">
      <w:start w:val="1"/>
      <w:numFmt w:val="bullet"/>
      <w:lvlText w:val="•"/>
      <w:lvlJc w:val="left"/>
      <w:pPr>
        <w:tabs>
          <w:tab w:val="num" w:pos="4320"/>
        </w:tabs>
        <w:ind w:left="4320" w:hanging="360"/>
      </w:pPr>
      <w:rPr>
        <w:rFonts w:ascii="Arial" w:hAnsi="Arial" w:hint="default"/>
      </w:rPr>
    </w:lvl>
    <w:lvl w:ilvl="6" w:tplc="703C2030" w:tentative="1">
      <w:start w:val="1"/>
      <w:numFmt w:val="bullet"/>
      <w:lvlText w:val="•"/>
      <w:lvlJc w:val="left"/>
      <w:pPr>
        <w:tabs>
          <w:tab w:val="num" w:pos="5040"/>
        </w:tabs>
        <w:ind w:left="5040" w:hanging="360"/>
      </w:pPr>
      <w:rPr>
        <w:rFonts w:ascii="Arial" w:hAnsi="Arial" w:hint="default"/>
      </w:rPr>
    </w:lvl>
    <w:lvl w:ilvl="7" w:tplc="3D288F8E" w:tentative="1">
      <w:start w:val="1"/>
      <w:numFmt w:val="bullet"/>
      <w:lvlText w:val="•"/>
      <w:lvlJc w:val="left"/>
      <w:pPr>
        <w:tabs>
          <w:tab w:val="num" w:pos="5760"/>
        </w:tabs>
        <w:ind w:left="5760" w:hanging="360"/>
      </w:pPr>
      <w:rPr>
        <w:rFonts w:ascii="Arial" w:hAnsi="Arial" w:hint="default"/>
      </w:rPr>
    </w:lvl>
    <w:lvl w:ilvl="8" w:tplc="D8EED7BC" w:tentative="1">
      <w:start w:val="1"/>
      <w:numFmt w:val="bullet"/>
      <w:lvlText w:val="•"/>
      <w:lvlJc w:val="left"/>
      <w:pPr>
        <w:tabs>
          <w:tab w:val="num" w:pos="6480"/>
        </w:tabs>
        <w:ind w:left="6480" w:hanging="360"/>
      </w:pPr>
      <w:rPr>
        <w:rFonts w:ascii="Arial" w:hAnsi="Arial" w:hint="default"/>
      </w:rPr>
    </w:lvl>
  </w:abstractNum>
  <w:abstractNum w:abstractNumId="8">
    <w:nsid w:val="445A6168"/>
    <w:multiLevelType w:val="hybridMultilevel"/>
    <w:tmpl w:val="541080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962969"/>
    <w:multiLevelType w:val="hybridMultilevel"/>
    <w:tmpl w:val="F760CDA4"/>
    <w:lvl w:ilvl="0" w:tplc="0C09000F">
      <w:start w:val="1"/>
      <w:numFmt w:val="decimal"/>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A122C7"/>
    <w:multiLevelType w:val="hybridMultilevel"/>
    <w:tmpl w:val="EEC22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DF4AFA"/>
    <w:multiLevelType w:val="hybridMultilevel"/>
    <w:tmpl w:val="86943DEA"/>
    <w:lvl w:ilvl="0" w:tplc="20441F98">
      <w:start w:val="1"/>
      <w:numFmt w:val="decimal"/>
      <w:lvlText w:val="%1."/>
      <w:lvlJc w:val="left"/>
      <w:pPr>
        <w:ind w:left="71" w:hanging="360"/>
      </w:pPr>
      <w:rPr>
        <w:rFonts w:hint="default"/>
        <w:i/>
      </w:rPr>
    </w:lvl>
    <w:lvl w:ilvl="1" w:tplc="0C090019" w:tentative="1">
      <w:start w:val="1"/>
      <w:numFmt w:val="lowerLetter"/>
      <w:lvlText w:val="%2."/>
      <w:lvlJc w:val="left"/>
      <w:pPr>
        <w:ind w:left="791" w:hanging="360"/>
      </w:pPr>
    </w:lvl>
    <w:lvl w:ilvl="2" w:tplc="0C09001B" w:tentative="1">
      <w:start w:val="1"/>
      <w:numFmt w:val="lowerRoman"/>
      <w:lvlText w:val="%3."/>
      <w:lvlJc w:val="right"/>
      <w:pPr>
        <w:ind w:left="1511" w:hanging="180"/>
      </w:pPr>
    </w:lvl>
    <w:lvl w:ilvl="3" w:tplc="0C09000F" w:tentative="1">
      <w:start w:val="1"/>
      <w:numFmt w:val="decimal"/>
      <w:lvlText w:val="%4."/>
      <w:lvlJc w:val="left"/>
      <w:pPr>
        <w:ind w:left="2231" w:hanging="360"/>
      </w:pPr>
    </w:lvl>
    <w:lvl w:ilvl="4" w:tplc="0C090019" w:tentative="1">
      <w:start w:val="1"/>
      <w:numFmt w:val="lowerLetter"/>
      <w:lvlText w:val="%5."/>
      <w:lvlJc w:val="left"/>
      <w:pPr>
        <w:ind w:left="2951" w:hanging="360"/>
      </w:pPr>
    </w:lvl>
    <w:lvl w:ilvl="5" w:tplc="0C09001B" w:tentative="1">
      <w:start w:val="1"/>
      <w:numFmt w:val="lowerRoman"/>
      <w:lvlText w:val="%6."/>
      <w:lvlJc w:val="right"/>
      <w:pPr>
        <w:ind w:left="3671" w:hanging="180"/>
      </w:pPr>
    </w:lvl>
    <w:lvl w:ilvl="6" w:tplc="0C09000F" w:tentative="1">
      <w:start w:val="1"/>
      <w:numFmt w:val="decimal"/>
      <w:lvlText w:val="%7."/>
      <w:lvlJc w:val="left"/>
      <w:pPr>
        <w:ind w:left="4391" w:hanging="360"/>
      </w:pPr>
    </w:lvl>
    <w:lvl w:ilvl="7" w:tplc="0C090019" w:tentative="1">
      <w:start w:val="1"/>
      <w:numFmt w:val="lowerLetter"/>
      <w:lvlText w:val="%8."/>
      <w:lvlJc w:val="left"/>
      <w:pPr>
        <w:ind w:left="5111" w:hanging="360"/>
      </w:pPr>
    </w:lvl>
    <w:lvl w:ilvl="8" w:tplc="0C09001B" w:tentative="1">
      <w:start w:val="1"/>
      <w:numFmt w:val="lowerRoman"/>
      <w:lvlText w:val="%9."/>
      <w:lvlJc w:val="right"/>
      <w:pPr>
        <w:ind w:left="5831" w:hanging="180"/>
      </w:pPr>
    </w:lvl>
  </w:abstractNum>
  <w:abstractNum w:abstractNumId="12">
    <w:nsid w:val="60736815"/>
    <w:multiLevelType w:val="hybridMultilevel"/>
    <w:tmpl w:val="E21E3932"/>
    <w:lvl w:ilvl="0" w:tplc="D09804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63960EB"/>
    <w:multiLevelType w:val="hybridMultilevel"/>
    <w:tmpl w:val="DB4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F221F0"/>
    <w:multiLevelType w:val="hybridMultilevel"/>
    <w:tmpl w:val="3B22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2B6BEE"/>
    <w:multiLevelType w:val="hybridMultilevel"/>
    <w:tmpl w:val="D03C34DC"/>
    <w:lvl w:ilvl="0" w:tplc="605ADA7C">
      <w:start w:val="1"/>
      <w:numFmt w:val="bullet"/>
      <w:lvlText w:val="◦"/>
      <w:lvlJc w:val="left"/>
      <w:pPr>
        <w:tabs>
          <w:tab w:val="num" w:pos="720"/>
        </w:tabs>
        <w:ind w:left="720" w:hanging="360"/>
      </w:pPr>
      <w:rPr>
        <w:rFonts w:ascii="Verdana" w:hAnsi="Verdana" w:hint="default"/>
      </w:rPr>
    </w:lvl>
    <w:lvl w:ilvl="1" w:tplc="4D66CA96">
      <w:start w:val="1"/>
      <w:numFmt w:val="bullet"/>
      <w:lvlText w:val="◦"/>
      <w:lvlJc w:val="left"/>
      <w:pPr>
        <w:tabs>
          <w:tab w:val="num" w:pos="1440"/>
        </w:tabs>
        <w:ind w:left="1440" w:hanging="360"/>
      </w:pPr>
      <w:rPr>
        <w:rFonts w:ascii="Verdana" w:hAnsi="Verdana" w:hint="default"/>
      </w:rPr>
    </w:lvl>
    <w:lvl w:ilvl="2" w:tplc="5C36F1BA" w:tentative="1">
      <w:start w:val="1"/>
      <w:numFmt w:val="bullet"/>
      <w:lvlText w:val="◦"/>
      <w:lvlJc w:val="left"/>
      <w:pPr>
        <w:tabs>
          <w:tab w:val="num" w:pos="2160"/>
        </w:tabs>
        <w:ind w:left="2160" w:hanging="360"/>
      </w:pPr>
      <w:rPr>
        <w:rFonts w:ascii="Verdana" w:hAnsi="Verdana" w:hint="default"/>
      </w:rPr>
    </w:lvl>
    <w:lvl w:ilvl="3" w:tplc="2318B10C" w:tentative="1">
      <w:start w:val="1"/>
      <w:numFmt w:val="bullet"/>
      <w:lvlText w:val="◦"/>
      <w:lvlJc w:val="left"/>
      <w:pPr>
        <w:tabs>
          <w:tab w:val="num" w:pos="2880"/>
        </w:tabs>
        <w:ind w:left="2880" w:hanging="360"/>
      </w:pPr>
      <w:rPr>
        <w:rFonts w:ascii="Verdana" w:hAnsi="Verdana" w:hint="default"/>
      </w:rPr>
    </w:lvl>
    <w:lvl w:ilvl="4" w:tplc="910052D4" w:tentative="1">
      <w:start w:val="1"/>
      <w:numFmt w:val="bullet"/>
      <w:lvlText w:val="◦"/>
      <w:lvlJc w:val="left"/>
      <w:pPr>
        <w:tabs>
          <w:tab w:val="num" w:pos="3600"/>
        </w:tabs>
        <w:ind w:left="3600" w:hanging="360"/>
      </w:pPr>
      <w:rPr>
        <w:rFonts w:ascii="Verdana" w:hAnsi="Verdana" w:hint="default"/>
      </w:rPr>
    </w:lvl>
    <w:lvl w:ilvl="5" w:tplc="F3209E8E" w:tentative="1">
      <w:start w:val="1"/>
      <w:numFmt w:val="bullet"/>
      <w:lvlText w:val="◦"/>
      <w:lvlJc w:val="left"/>
      <w:pPr>
        <w:tabs>
          <w:tab w:val="num" w:pos="4320"/>
        </w:tabs>
        <w:ind w:left="4320" w:hanging="360"/>
      </w:pPr>
      <w:rPr>
        <w:rFonts w:ascii="Verdana" w:hAnsi="Verdana" w:hint="default"/>
      </w:rPr>
    </w:lvl>
    <w:lvl w:ilvl="6" w:tplc="2A50C118" w:tentative="1">
      <w:start w:val="1"/>
      <w:numFmt w:val="bullet"/>
      <w:lvlText w:val="◦"/>
      <w:lvlJc w:val="left"/>
      <w:pPr>
        <w:tabs>
          <w:tab w:val="num" w:pos="5040"/>
        </w:tabs>
        <w:ind w:left="5040" w:hanging="360"/>
      </w:pPr>
      <w:rPr>
        <w:rFonts w:ascii="Verdana" w:hAnsi="Verdana" w:hint="default"/>
      </w:rPr>
    </w:lvl>
    <w:lvl w:ilvl="7" w:tplc="44968E36" w:tentative="1">
      <w:start w:val="1"/>
      <w:numFmt w:val="bullet"/>
      <w:lvlText w:val="◦"/>
      <w:lvlJc w:val="left"/>
      <w:pPr>
        <w:tabs>
          <w:tab w:val="num" w:pos="5760"/>
        </w:tabs>
        <w:ind w:left="5760" w:hanging="360"/>
      </w:pPr>
      <w:rPr>
        <w:rFonts w:ascii="Verdana" w:hAnsi="Verdana" w:hint="default"/>
      </w:rPr>
    </w:lvl>
    <w:lvl w:ilvl="8" w:tplc="2A22A5AE" w:tentative="1">
      <w:start w:val="1"/>
      <w:numFmt w:val="bullet"/>
      <w:lvlText w:val="◦"/>
      <w:lvlJc w:val="left"/>
      <w:pPr>
        <w:tabs>
          <w:tab w:val="num" w:pos="6480"/>
        </w:tabs>
        <w:ind w:left="6480" w:hanging="360"/>
      </w:pPr>
      <w:rPr>
        <w:rFonts w:ascii="Verdana" w:hAnsi="Verdana" w:hint="default"/>
      </w:rPr>
    </w:lvl>
  </w:abstractNum>
  <w:abstractNum w:abstractNumId="16">
    <w:nsid w:val="77415B42"/>
    <w:multiLevelType w:val="hybridMultilevel"/>
    <w:tmpl w:val="7C32191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7D5A3824"/>
    <w:multiLevelType w:val="hybridMultilevel"/>
    <w:tmpl w:val="FE28C8F8"/>
    <w:lvl w:ilvl="0" w:tplc="512C8B00">
      <w:start w:val="1"/>
      <w:numFmt w:val="bullet"/>
      <w:lvlText w:val="•"/>
      <w:lvlJc w:val="left"/>
      <w:pPr>
        <w:tabs>
          <w:tab w:val="num" w:pos="720"/>
        </w:tabs>
        <w:ind w:left="720" w:hanging="360"/>
      </w:pPr>
      <w:rPr>
        <w:rFonts w:ascii="Times New Roman" w:hAnsi="Times New Roman" w:hint="default"/>
      </w:rPr>
    </w:lvl>
    <w:lvl w:ilvl="1" w:tplc="F1EC7A18" w:tentative="1">
      <w:start w:val="1"/>
      <w:numFmt w:val="bullet"/>
      <w:lvlText w:val="•"/>
      <w:lvlJc w:val="left"/>
      <w:pPr>
        <w:tabs>
          <w:tab w:val="num" w:pos="1440"/>
        </w:tabs>
        <w:ind w:left="1440" w:hanging="360"/>
      </w:pPr>
      <w:rPr>
        <w:rFonts w:ascii="Times New Roman" w:hAnsi="Times New Roman" w:hint="default"/>
      </w:rPr>
    </w:lvl>
    <w:lvl w:ilvl="2" w:tplc="6C1ABB1A" w:tentative="1">
      <w:start w:val="1"/>
      <w:numFmt w:val="bullet"/>
      <w:lvlText w:val="•"/>
      <w:lvlJc w:val="left"/>
      <w:pPr>
        <w:tabs>
          <w:tab w:val="num" w:pos="2160"/>
        </w:tabs>
        <w:ind w:left="2160" w:hanging="360"/>
      </w:pPr>
      <w:rPr>
        <w:rFonts w:ascii="Times New Roman" w:hAnsi="Times New Roman" w:hint="default"/>
      </w:rPr>
    </w:lvl>
    <w:lvl w:ilvl="3" w:tplc="8B9C60A8" w:tentative="1">
      <w:start w:val="1"/>
      <w:numFmt w:val="bullet"/>
      <w:lvlText w:val="•"/>
      <w:lvlJc w:val="left"/>
      <w:pPr>
        <w:tabs>
          <w:tab w:val="num" w:pos="2880"/>
        </w:tabs>
        <w:ind w:left="2880" w:hanging="360"/>
      </w:pPr>
      <w:rPr>
        <w:rFonts w:ascii="Times New Roman" w:hAnsi="Times New Roman" w:hint="default"/>
      </w:rPr>
    </w:lvl>
    <w:lvl w:ilvl="4" w:tplc="A1EC6C28" w:tentative="1">
      <w:start w:val="1"/>
      <w:numFmt w:val="bullet"/>
      <w:lvlText w:val="•"/>
      <w:lvlJc w:val="left"/>
      <w:pPr>
        <w:tabs>
          <w:tab w:val="num" w:pos="3600"/>
        </w:tabs>
        <w:ind w:left="3600" w:hanging="360"/>
      </w:pPr>
      <w:rPr>
        <w:rFonts w:ascii="Times New Roman" w:hAnsi="Times New Roman" w:hint="default"/>
      </w:rPr>
    </w:lvl>
    <w:lvl w:ilvl="5" w:tplc="9B64B0BC" w:tentative="1">
      <w:start w:val="1"/>
      <w:numFmt w:val="bullet"/>
      <w:lvlText w:val="•"/>
      <w:lvlJc w:val="left"/>
      <w:pPr>
        <w:tabs>
          <w:tab w:val="num" w:pos="4320"/>
        </w:tabs>
        <w:ind w:left="4320" w:hanging="360"/>
      </w:pPr>
      <w:rPr>
        <w:rFonts w:ascii="Times New Roman" w:hAnsi="Times New Roman" w:hint="default"/>
      </w:rPr>
    </w:lvl>
    <w:lvl w:ilvl="6" w:tplc="BFD01AF6" w:tentative="1">
      <w:start w:val="1"/>
      <w:numFmt w:val="bullet"/>
      <w:lvlText w:val="•"/>
      <w:lvlJc w:val="left"/>
      <w:pPr>
        <w:tabs>
          <w:tab w:val="num" w:pos="5040"/>
        </w:tabs>
        <w:ind w:left="5040" w:hanging="360"/>
      </w:pPr>
      <w:rPr>
        <w:rFonts w:ascii="Times New Roman" w:hAnsi="Times New Roman" w:hint="default"/>
      </w:rPr>
    </w:lvl>
    <w:lvl w:ilvl="7" w:tplc="8DB00568" w:tentative="1">
      <w:start w:val="1"/>
      <w:numFmt w:val="bullet"/>
      <w:lvlText w:val="•"/>
      <w:lvlJc w:val="left"/>
      <w:pPr>
        <w:tabs>
          <w:tab w:val="num" w:pos="5760"/>
        </w:tabs>
        <w:ind w:left="5760" w:hanging="360"/>
      </w:pPr>
      <w:rPr>
        <w:rFonts w:ascii="Times New Roman" w:hAnsi="Times New Roman" w:hint="default"/>
      </w:rPr>
    </w:lvl>
    <w:lvl w:ilvl="8" w:tplc="BB02C6E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
  </w:num>
  <w:num w:numId="3">
    <w:abstractNumId w:val="10"/>
  </w:num>
  <w:num w:numId="4">
    <w:abstractNumId w:val="13"/>
  </w:num>
  <w:num w:numId="5">
    <w:abstractNumId w:val="6"/>
  </w:num>
  <w:num w:numId="6">
    <w:abstractNumId w:val="5"/>
    <w:lvlOverride w:ilvl="0">
      <w:startOverride w:val="3"/>
    </w:lvlOverride>
  </w:num>
  <w:num w:numId="7">
    <w:abstractNumId w:val="5"/>
    <w:lvlOverride w:ilvl="0">
      <w:startOverride w:val="4"/>
    </w:lvlOverride>
  </w:num>
  <w:num w:numId="8">
    <w:abstractNumId w:val="5"/>
    <w:lvlOverride w:ilvl="0">
      <w:startOverride w:val="5"/>
    </w:lvlOverride>
  </w:num>
  <w:num w:numId="9">
    <w:abstractNumId w:val="5"/>
    <w:lvlOverride w:ilvl="0">
      <w:startOverride w:val="6"/>
    </w:lvlOverride>
  </w:num>
  <w:num w:numId="10">
    <w:abstractNumId w:val="8"/>
  </w:num>
  <w:num w:numId="11">
    <w:abstractNumId w:val="17"/>
  </w:num>
  <w:num w:numId="12">
    <w:abstractNumId w:val="4"/>
  </w:num>
  <w:num w:numId="13">
    <w:abstractNumId w:val="9"/>
  </w:num>
  <w:num w:numId="14">
    <w:abstractNumId w:val="1"/>
  </w:num>
  <w:num w:numId="15">
    <w:abstractNumId w:val="11"/>
  </w:num>
  <w:num w:numId="16">
    <w:abstractNumId w:val="14"/>
  </w:num>
  <w:num w:numId="17">
    <w:abstractNumId w:val="0"/>
  </w:num>
  <w:num w:numId="18">
    <w:abstractNumId w:val="3"/>
  </w:num>
  <w:num w:numId="19">
    <w:abstractNumId w:val="12"/>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EA3"/>
    <w:rsid w:val="00013630"/>
    <w:rsid w:val="00017E01"/>
    <w:rsid w:val="000273DD"/>
    <w:rsid w:val="00037B0C"/>
    <w:rsid w:val="00044946"/>
    <w:rsid w:val="00050C1D"/>
    <w:rsid w:val="000560C4"/>
    <w:rsid w:val="00062438"/>
    <w:rsid w:val="00062FFB"/>
    <w:rsid w:val="000645ED"/>
    <w:rsid w:val="00064ACE"/>
    <w:rsid w:val="0007148F"/>
    <w:rsid w:val="000826E4"/>
    <w:rsid w:val="00082F2C"/>
    <w:rsid w:val="00084665"/>
    <w:rsid w:val="000B0FD7"/>
    <w:rsid w:val="000B2B70"/>
    <w:rsid w:val="000B36D6"/>
    <w:rsid w:val="000C2597"/>
    <w:rsid w:val="000D68ED"/>
    <w:rsid w:val="000F20E1"/>
    <w:rsid w:val="00101617"/>
    <w:rsid w:val="00103026"/>
    <w:rsid w:val="001070D9"/>
    <w:rsid w:val="00114F74"/>
    <w:rsid w:val="001200A8"/>
    <w:rsid w:val="001226BF"/>
    <w:rsid w:val="001230F1"/>
    <w:rsid w:val="00127CBC"/>
    <w:rsid w:val="0014064C"/>
    <w:rsid w:val="00142AE8"/>
    <w:rsid w:val="00151852"/>
    <w:rsid w:val="00182869"/>
    <w:rsid w:val="001864FD"/>
    <w:rsid w:val="001879ED"/>
    <w:rsid w:val="0019459E"/>
    <w:rsid w:val="001C07B7"/>
    <w:rsid w:val="001D0D84"/>
    <w:rsid w:val="001D1899"/>
    <w:rsid w:val="001D2A35"/>
    <w:rsid w:val="001D682F"/>
    <w:rsid w:val="001E3DC2"/>
    <w:rsid w:val="001F0C6F"/>
    <w:rsid w:val="001F60AE"/>
    <w:rsid w:val="00205F84"/>
    <w:rsid w:val="00215A6C"/>
    <w:rsid w:val="00222F29"/>
    <w:rsid w:val="002432AB"/>
    <w:rsid w:val="002461D7"/>
    <w:rsid w:val="00255C29"/>
    <w:rsid w:val="00264673"/>
    <w:rsid w:val="00267E6B"/>
    <w:rsid w:val="00274A09"/>
    <w:rsid w:val="00275FFC"/>
    <w:rsid w:val="00280141"/>
    <w:rsid w:val="00280988"/>
    <w:rsid w:val="00293B8B"/>
    <w:rsid w:val="002A3E51"/>
    <w:rsid w:val="002A59C7"/>
    <w:rsid w:val="002A5CE3"/>
    <w:rsid w:val="002A6F4C"/>
    <w:rsid w:val="002B680D"/>
    <w:rsid w:val="002D10E3"/>
    <w:rsid w:val="002D3654"/>
    <w:rsid w:val="002D4658"/>
    <w:rsid w:val="002E6D38"/>
    <w:rsid w:val="00310972"/>
    <w:rsid w:val="003212B3"/>
    <w:rsid w:val="0033047C"/>
    <w:rsid w:val="00332271"/>
    <w:rsid w:val="003324C2"/>
    <w:rsid w:val="00337A30"/>
    <w:rsid w:val="0034014C"/>
    <w:rsid w:val="00345EEC"/>
    <w:rsid w:val="003461AB"/>
    <w:rsid w:val="0035023D"/>
    <w:rsid w:val="00371053"/>
    <w:rsid w:val="003757FA"/>
    <w:rsid w:val="00386320"/>
    <w:rsid w:val="00386D0A"/>
    <w:rsid w:val="0039553C"/>
    <w:rsid w:val="003A3E76"/>
    <w:rsid w:val="003B6FD5"/>
    <w:rsid w:val="003C17D7"/>
    <w:rsid w:val="003C29BB"/>
    <w:rsid w:val="003E3616"/>
    <w:rsid w:val="003E4485"/>
    <w:rsid w:val="003F1878"/>
    <w:rsid w:val="003F3079"/>
    <w:rsid w:val="004011F3"/>
    <w:rsid w:val="004020D9"/>
    <w:rsid w:val="004071A7"/>
    <w:rsid w:val="004269CC"/>
    <w:rsid w:val="004277A0"/>
    <w:rsid w:val="00441ECB"/>
    <w:rsid w:val="00443780"/>
    <w:rsid w:val="004472B3"/>
    <w:rsid w:val="00447CC3"/>
    <w:rsid w:val="00453733"/>
    <w:rsid w:val="00465089"/>
    <w:rsid w:val="004668A4"/>
    <w:rsid w:val="0046740E"/>
    <w:rsid w:val="00475280"/>
    <w:rsid w:val="00477D1E"/>
    <w:rsid w:val="004932C6"/>
    <w:rsid w:val="00497DC9"/>
    <w:rsid w:val="004A392A"/>
    <w:rsid w:val="004C1123"/>
    <w:rsid w:val="004C7572"/>
    <w:rsid w:val="004D0318"/>
    <w:rsid w:val="004D05F6"/>
    <w:rsid w:val="004E466A"/>
    <w:rsid w:val="004E5434"/>
    <w:rsid w:val="0050124B"/>
    <w:rsid w:val="005064B6"/>
    <w:rsid w:val="00525E59"/>
    <w:rsid w:val="0055629B"/>
    <w:rsid w:val="0055786F"/>
    <w:rsid w:val="0056179B"/>
    <w:rsid w:val="00571647"/>
    <w:rsid w:val="00573228"/>
    <w:rsid w:val="005743D1"/>
    <w:rsid w:val="00574716"/>
    <w:rsid w:val="005838A7"/>
    <w:rsid w:val="0058418D"/>
    <w:rsid w:val="00586E8B"/>
    <w:rsid w:val="005A3B0C"/>
    <w:rsid w:val="005B38B5"/>
    <w:rsid w:val="005C4561"/>
    <w:rsid w:val="005C5C7E"/>
    <w:rsid w:val="005D4F29"/>
    <w:rsid w:val="005E40C6"/>
    <w:rsid w:val="005E4FB2"/>
    <w:rsid w:val="005E5651"/>
    <w:rsid w:val="005F4F7F"/>
    <w:rsid w:val="00606DDC"/>
    <w:rsid w:val="00612512"/>
    <w:rsid w:val="00615E67"/>
    <w:rsid w:val="00630FD6"/>
    <w:rsid w:val="00635407"/>
    <w:rsid w:val="00643BAF"/>
    <w:rsid w:val="006469C5"/>
    <w:rsid w:val="00646C97"/>
    <w:rsid w:val="00654352"/>
    <w:rsid w:val="006565D9"/>
    <w:rsid w:val="00660D77"/>
    <w:rsid w:val="006866A5"/>
    <w:rsid w:val="006925AD"/>
    <w:rsid w:val="0069413B"/>
    <w:rsid w:val="006B7258"/>
    <w:rsid w:val="006C484A"/>
    <w:rsid w:val="006C65F5"/>
    <w:rsid w:val="006C7ED7"/>
    <w:rsid w:val="006D0638"/>
    <w:rsid w:val="006D265A"/>
    <w:rsid w:val="006D367C"/>
    <w:rsid w:val="006D3709"/>
    <w:rsid w:val="006D5538"/>
    <w:rsid w:val="006E2652"/>
    <w:rsid w:val="007101EE"/>
    <w:rsid w:val="00710640"/>
    <w:rsid w:val="007133E6"/>
    <w:rsid w:val="007139C0"/>
    <w:rsid w:val="00741F1D"/>
    <w:rsid w:val="00755C4C"/>
    <w:rsid w:val="007573CF"/>
    <w:rsid w:val="00787608"/>
    <w:rsid w:val="00792B4A"/>
    <w:rsid w:val="00796F44"/>
    <w:rsid w:val="007A790B"/>
    <w:rsid w:val="007B6F0F"/>
    <w:rsid w:val="007C7F7A"/>
    <w:rsid w:val="007D12C8"/>
    <w:rsid w:val="007D2F85"/>
    <w:rsid w:val="007D63D9"/>
    <w:rsid w:val="007E373F"/>
    <w:rsid w:val="007E7D98"/>
    <w:rsid w:val="007F3D25"/>
    <w:rsid w:val="007F6A74"/>
    <w:rsid w:val="007F7A8C"/>
    <w:rsid w:val="008078D0"/>
    <w:rsid w:val="008128C8"/>
    <w:rsid w:val="008217C6"/>
    <w:rsid w:val="00825078"/>
    <w:rsid w:val="00834A18"/>
    <w:rsid w:val="00834E10"/>
    <w:rsid w:val="00847AA6"/>
    <w:rsid w:val="008602E1"/>
    <w:rsid w:val="008719B1"/>
    <w:rsid w:val="00877C40"/>
    <w:rsid w:val="008839FA"/>
    <w:rsid w:val="00883A89"/>
    <w:rsid w:val="008A2CC8"/>
    <w:rsid w:val="008A6807"/>
    <w:rsid w:val="008C6E5E"/>
    <w:rsid w:val="008E2C2B"/>
    <w:rsid w:val="008E7092"/>
    <w:rsid w:val="008F5B73"/>
    <w:rsid w:val="008F66CA"/>
    <w:rsid w:val="00905628"/>
    <w:rsid w:val="009273CE"/>
    <w:rsid w:val="009278A5"/>
    <w:rsid w:val="00927C4A"/>
    <w:rsid w:val="0093174D"/>
    <w:rsid w:val="00935CEA"/>
    <w:rsid w:val="009411DA"/>
    <w:rsid w:val="00945A5D"/>
    <w:rsid w:val="00962303"/>
    <w:rsid w:val="00965040"/>
    <w:rsid w:val="009A450D"/>
    <w:rsid w:val="009B2BB3"/>
    <w:rsid w:val="009C464E"/>
    <w:rsid w:val="009C602B"/>
    <w:rsid w:val="009C7E14"/>
    <w:rsid w:val="009D70C1"/>
    <w:rsid w:val="009E15A1"/>
    <w:rsid w:val="009E1CDB"/>
    <w:rsid w:val="009E4A00"/>
    <w:rsid w:val="009F27BD"/>
    <w:rsid w:val="00A0108B"/>
    <w:rsid w:val="00A017CB"/>
    <w:rsid w:val="00A10557"/>
    <w:rsid w:val="00A11D9A"/>
    <w:rsid w:val="00A1782E"/>
    <w:rsid w:val="00A21453"/>
    <w:rsid w:val="00A25779"/>
    <w:rsid w:val="00A42759"/>
    <w:rsid w:val="00A4697C"/>
    <w:rsid w:val="00A47F04"/>
    <w:rsid w:val="00A54C17"/>
    <w:rsid w:val="00A61EA3"/>
    <w:rsid w:val="00A8002B"/>
    <w:rsid w:val="00A90FC4"/>
    <w:rsid w:val="00A9193A"/>
    <w:rsid w:val="00A96CFC"/>
    <w:rsid w:val="00AA39C7"/>
    <w:rsid w:val="00AC2D35"/>
    <w:rsid w:val="00AE77DB"/>
    <w:rsid w:val="00AF22C7"/>
    <w:rsid w:val="00AF24F5"/>
    <w:rsid w:val="00B1033F"/>
    <w:rsid w:val="00B13A82"/>
    <w:rsid w:val="00B239A2"/>
    <w:rsid w:val="00B33E8D"/>
    <w:rsid w:val="00B407BD"/>
    <w:rsid w:val="00B41606"/>
    <w:rsid w:val="00B42E92"/>
    <w:rsid w:val="00B43956"/>
    <w:rsid w:val="00B600DF"/>
    <w:rsid w:val="00B61181"/>
    <w:rsid w:val="00B619CF"/>
    <w:rsid w:val="00B803ED"/>
    <w:rsid w:val="00BB5049"/>
    <w:rsid w:val="00BB61F1"/>
    <w:rsid w:val="00BC3D6F"/>
    <w:rsid w:val="00BD190E"/>
    <w:rsid w:val="00BE54F5"/>
    <w:rsid w:val="00BF5306"/>
    <w:rsid w:val="00C04EFF"/>
    <w:rsid w:val="00C147D3"/>
    <w:rsid w:val="00C14EBB"/>
    <w:rsid w:val="00C27964"/>
    <w:rsid w:val="00C40F9B"/>
    <w:rsid w:val="00C46881"/>
    <w:rsid w:val="00C51C39"/>
    <w:rsid w:val="00C54C6C"/>
    <w:rsid w:val="00C75AA3"/>
    <w:rsid w:val="00C85781"/>
    <w:rsid w:val="00CA534C"/>
    <w:rsid w:val="00CA72AF"/>
    <w:rsid w:val="00CB007C"/>
    <w:rsid w:val="00CC75AF"/>
    <w:rsid w:val="00CD1882"/>
    <w:rsid w:val="00CE098E"/>
    <w:rsid w:val="00CE0C57"/>
    <w:rsid w:val="00CE7AEB"/>
    <w:rsid w:val="00CF526E"/>
    <w:rsid w:val="00D056CB"/>
    <w:rsid w:val="00D20A05"/>
    <w:rsid w:val="00D20DD9"/>
    <w:rsid w:val="00D22B26"/>
    <w:rsid w:val="00D25C37"/>
    <w:rsid w:val="00D3760C"/>
    <w:rsid w:val="00D46D0C"/>
    <w:rsid w:val="00D679A7"/>
    <w:rsid w:val="00D71C07"/>
    <w:rsid w:val="00D76347"/>
    <w:rsid w:val="00D84973"/>
    <w:rsid w:val="00D87964"/>
    <w:rsid w:val="00D97D24"/>
    <w:rsid w:val="00DB0B96"/>
    <w:rsid w:val="00DB2BD6"/>
    <w:rsid w:val="00DB7015"/>
    <w:rsid w:val="00DC25BA"/>
    <w:rsid w:val="00DD4380"/>
    <w:rsid w:val="00DD64BF"/>
    <w:rsid w:val="00DE43DC"/>
    <w:rsid w:val="00DF2F13"/>
    <w:rsid w:val="00DF4730"/>
    <w:rsid w:val="00E035AB"/>
    <w:rsid w:val="00E05459"/>
    <w:rsid w:val="00E069DC"/>
    <w:rsid w:val="00E15F07"/>
    <w:rsid w:val="00E16060"/>
    <w:rsid w:val="00E2135E"/>
    <w:rsid w:val="00E24B9E"/>
    <w:rsid w:val="00E271A5"/>
    <w:rsid w:val="00E44181"/>
    <w:rsid w:val="00E457AF"/>
    <w:rsid w:val="00E504E2"/>
    <w:rsid w:val="00E55D01"/>
    <w:rsid w:val="00E577E7"/>
    <w:rsid w:val="00E60410"/>
    <w:rsid w:val="00E65E86"/>
    <w:rsid w:val="00E70EA3"/>
    <w:rsid w:val="00E71765"/>
    <w:rsid w:val="00E83BF2"/>
    <w:rsid w:val="00E85307"/>
    <w:rsid w:val="00E91C59"/>
    <w:rsid w:val="00E925F3"/>
    <w:rsid w:val="00EA7F74"/>
    <w:rsid w:val="00EF10FA"/>
    <w:rsid w:val="00EF3312"/>
    <w:rsid w:val="00F06076"/>
    <w:rsid w:val="00F444E6"/>
    <w:rsid w:val="00F44DD1"/>
    <w:rsid w:val="00F45861"/>
    <w:rsid w:val="00F537C4"/>
    <w:rsid w:val="00F567C3"/>
    <w:rsid w:val="00F670C8"/>
    <w:rsid w:val="00F75BF5"/>
    <w:rsid w:val="00F83249"/>
    <w:rsid w:val="00F83253"/>
    <w:rsid w:val="00F9514C"/>
    <w:rsid w:val="00FC70C1"/>
    <w:rsid w:val="00FD3B42"/>
    <w:rsid w:val="00FD3C38"/>
    <w:rsid w:val="00FD6721"/>
    <w:rsid w:val="00FF28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A4"/>
  </w:style>
  <w:style w:type="paragraph" w:styleId="Heading1">
    <w:name w:val="heading 1"/>
    <w:basedOn w:val="Normal"/>
    <w:next w:val="Normal"/>
    <w:link w:val="Heading1Char"/>
    <w:uiPriority w:val="9"/>
    <w:qFormat/>
    <w:rsid w:val="00BF5306"/>
    <w:pPr>
      <w:keepNext/>
      <w:numPr>
        <w:numId w:val="17"/>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BF5306"/>
    <w:pPr>
      <w:keepNext/>
      <w:numPr>
        <w:ilvl w:val="1"/>
        <w:numId w:val="17"/>
      </w:numPr>
      <w:spacing w:after="0" w:line="240" w:lineRule="auto"/>
      <w:outlineLvl w:val="1"/>
    </w:pPr>
    <w:rPr>
      <w:rFonts w:ascii="Arial" w:eastAsia="Times New Roman" w:hAnsi="Arial"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7CB"/>
    <w:rPr>
      <w:color w:val="0563C1"/>
      <w:u w:val="single"/>
    </w:rPr>
  </w:style>
  <w:style w:type="paragraph" w:customStyle="1" w:styleId="Default">
    <w:name w:val="Default"/>
    <w:basedOn w:val="Normal"/>
    <w:rsid w:val="00A017CB"/>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017C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017CB"/>
    <w:rPr>
      <w:rFonts w:ascii="Calibri" w:hAnsi="Calibri" w:cs="Calibri"/>
    </w:rPr>
  </w:style>
  <w:style w:type="paragraph" w:styleId="ListParagraph">
    <w:name w:val="List Paragraph"/>
    <w:basedOn w:val="Normal"/>
    <w:uiPriority w:val="34"/>
    <w:qFormat/>
    <w:rsid w:val="004932C6"/>
    <w:pPr>
      <w:spacing w:after="0" w:line="240" w:lineRule="auto"/>
      <w:ind w:left="720"/>
      <w:contextualSpacing/>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407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1A7"/>
    <w:rPr>
      <w:sz w:val="20"/>
      <w:szCs w:val="20"/>
    </w:rPr>
  </w:style>
  <w:style w:type="character" w:styleId="FootnoteReference">
    <w:name w:val="footnote reference"/>
    <w:basedOn w:val="DefaultParagraphFont"/>
    <w:uiPriority w:val="99"/>
    <w:semiHidden/>
    <w:unhideWhenUsed/>
    <w:rsid w:val="004071A7"/>
    <w:rPr>
      <w:vertAlign w:val="superscript"/>
    </w:rPr>
  </w:style>
  <w:style w:type="paragraph" w:styleId="NormalWeb">
    <w:name w:val="Normal (Web)"/>
    <w:basedOn w:val="Normal"/>
    <w:unhideWhenUsed/>
    <w:rsid w:val="00927C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C7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7A"/>
    <w:rPr>
      <w:rFonts w:ascii="Tahoma" w:hAnsi="Tahoma" w:cs="Tahoma"/>
      <w:sz w:val="16"/>
      <w:szCs w:val="16"/>
    </w:rPr>
  </w:style>
  <w:style w:type="character" w:styleId="FollowedHyperlink">
    <w:name w:val="FollowedHyperlink"/>
    <w:basedOn w:val="DefaultParagraphFont"/>
    <w:uiPriority w:val="99"/>
    <w:semiHidden/>
    <w:unhideWhenUsed/>
    <w:rsid w:val="00E504E2"/>
    <w:rPr>
      <w:color w:val="800080" w:themeColor="followedHyperlink"/>
      <w:u w:val="single"/>
    </w:rPr>
  </w:style>
  <w:style w:type="character" w:styleId="CommentReference">
    <w:name w:val="annotation reference"/>
    <w:basedOn w:val="DefaultParagraphFont"/>
    <w:uiPriority w:val="99"/>
    <w:semiHidden/>
    <w:unhideWhenUsed/>
    <w:rsid w:val="000F20E1"/>
    <w:rPr>
      <w:sz w:val="16"/>
      <w:szCs w:val="16"/>
    </w:rPr>
  </w:style>
  <w:style w:type="paragraph" w:styleId="CommentText">
    <w:name w:val="annotation text"/>
    <w:basedOn w:val="Normal"/>
    <w:link w:val="CommentTextChar"/>
    <w:uiPriority w:val="99"/>
    <w:semiHidden/>
    <w:unhideWhenUsed/>
    <w:rsid w:val="000F20E1"/>
    <w:pPr>
      <w:spacing w:line="240" w:lineRule="auto"/>
    </w:pPr>
    <w:rPr>
      <w:sz w:val="20"/>
      <w:szCs w:val="20"/>
    </w:rPr>
  </w:style>
  <w:style w:type="character" w:customStyle="1" w:styleId="CommentTextChar">
    <w:name w:val="Comment Text Char"/>
    <w:basedOn w:val="DefaultParagraphFont"/>
    <w:link w:val="CommentText"/>
    <w:uiPriority w:val="99"/>
    <w:semiHidden/>
    <w:rsid w:val="000F20E1"/>
    <w:rPr>
      <w:sz w:val="20"/>
      <w:szCs w:val="20"/>
    </w:rPr>
  </w:style>
  <w:style w:type="paragraph" w:styleId="CommentSubject">
    <w:name w:val="annotation subject"/>
    <w:basedOn w:val="CommentText"/>
    <w:next w:val="CommentText"/>
    <w:link w:val="CommentSubjectChar"/>
    <w:uiPriority w:val="99"/>
    <w:semiHidden/>
    <w:unhideWhenUsed/>
    <w:rsid w:val="000F20E1"/>
    <w:rPr>
      <w:b/>
      <w:bCs/>
    </w:rPr>
  </w:style>
  <w:style w:type="character" w:customStyle="1" w:styleId="CommentSubjectChar">
    <w:name w:val="Comment Subject Char"/>
    <w:basedOn w:val="CommentTextChar"/>
    <w:link w:val="CommentSubject"/>
    <w:uiPriority w:val="99"/>
    <w:semiHidden/>
    <w:rsid w:val="000F20E1"/>
    <w:rPr>
      <w:b/>
      <w:bCs/>
      <w:sz w:val="20"/>
      <w:szCs w:val="20"/>
    </w:rPr>
  </w:style>
  <w:style w:type="character" w:customStyle="1" w:styleId="apple-converted-space">
    <w:name w:val="apple-converted-space"/>
    <w:basedOn w:val="DefaultParagraphFont"/>
    <w:rsid w:val="00F567C3"/>
  </w:style>
  <w:style w:type="paragraph" w:styleId="Header">
    <w:name w:val="header"/>
    <w:basedOn w:val="Normal"/>
    <w:link w:val="HeaderChar"/>
    <w:uiPriority w:val="99"/>
    <w:unhideWhenUsed/>
    <w:rsid w:val="00643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BAF"/>
  </w:style>
  <w:style w:type="paragraph" w:styleId="Footer">
    <w:name w:val="footer"/>
    <w:basedOn w:val="Normal"/>
    <w:link w:val="FooterChar"/>
    <w:uiPriority w:val="99"/>
    <w:unhideWhenUsed/>
    <w:rsid w:val="00643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BAF"/>
  </w:style>
  <w:style w:type="character" w:styleId="Strong">
    <w:name w:val="Strong"/>
    <w:basedOn w:val="DefaultParagraphFont"/>
    <w:uiPriority w:val="22"/>
    <w:qFormat/>
    <w:rsid w:val="00755C4C"/>
    <w:rPr>
      <w:b/>
      <w:bCs/>
    </w:rPr>
  </w:style>
  <w:style w:type="character" w:customStyle="1" w:styleId="Heading1Char">
    <w:name w:val="Heading 1 Char"/>
    <w:basedOn w:val="DefaultParagraphFont"/>
    <w:link w:val="Heading1"/>
    <w:uiPriority w:val="9"/>
    <w:rsid w:val="00BF530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BF5306"/>
    <w:rPr>
      <w:rFonts w:ascii="Arial" w:eastAsia="Times New Roman" w:hAnsi="Arial" w:cs="Times New Roman"/>
      <w:snapToGrid w:val="0"/>
      <w:szCs w:val="20"/>
    </w:rPr>
  </w:style>
  <w:style w:type="character" w:customStyle="1" w:styleId="bodycopy1">
    <w:name w:val="bodycopy1"/>
    <w:basedOn w:val="DefaultParagraphFont"/>
    <w:rsid w:val="00386320"/>
    <w:rPr>
      <w:rFonts w:ascii="Arial" w:hAnsi="Arial" w:cs="Arial" w:hint="default"/>
      <w:color w:val="000000"/>
    </w:rPr>
  </w:style>
  <w:style w:type="character" w:styleId="Emphasis">
    <w:name w:val="Emphasis"/>
    <w:basedOn w:val="DefaultParagraphFont"/>
    <w:uiPriority w:val="20"/>
    <w:qFormat/>
    <w:rsid w:val="00B600DF"/>
    <w:rPr>
      <w:i/>
      <w:iCs/>
    </w:rPr>
  </w:style>
  <w:style w:type="character" w:customStyle="1" w:styleId="highlight2">
    <w:name w:val="highlight2"/>
    <w:basedOn w:val="DefaultParagraphFont"/>
    <w:rsid w:val="00B407BD"/>
  </w:style>
  <w:style w:type="paragraph" w:customStyle="1" w:styleId="footnotedescription">
    <w:name w:val="footnote description"/>
    <w:next w:val="Normal"/>
    <w:link w:val="footnotedescriptionChar"/>
    <w:hidden/>
    <w:rsid w:val="00BC3D6F"/>
    <w:pPr>
      <w:spacing w:after="0" w:line="259" w:lineRule="auto"/>
      <w:ind w:left="288"/>
    </w:pPr>
    <w:rPr>
      <w:rFonts w:ascii="Calibri" w:eastAsia="Calibri" w:hAnsi="Calibri" w:cs="Calibri"/>
      <w:color w:val="000000"/>
      <w:sz w:val="20"/>
      <w:lang w:eastAsia="en-AU"/>
    </w:rPr>
  </w:style>
  <w:style w:type="character" w:customStyle="1" w:styleId="footnotedescriptionChar">
    <w:name w:val="footnote description Char"/>
    <w:link w:val="footnotedescription"/>
    <w:rsid w:val="00BC3D6F"/>
    <w:rPr>
      <w:rFonts w:ascii="Calibri" w:eastAsia="Calibri" w:hAnsi="Calibri" w:cs="Calibri"/>
      <w:color w:val="000000"/>
      <w:sz w:val="20"/>
      <w:lang w:eastAsia="en-AU"/>
    </w:rPr>
  </w:style>
  <w:style w:type="character" w:customStyle="1" w:styleId="footnotemark">
    <w:name w:val="footnote mark"/>
    <w:hidden/>
    <w:rsid w:val="00BC3D6F"/>
    <w:rPr>
      <w:rFonts w:ascii="Calibri" w:eastAsia="Calibri" w:hAnsi="Calibri" w:cs="Calibri"/>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149487703">
      <w:bodyDiv w:val="1"/>
      <w:marLeft w:val="0"/>
      <w:marRight w:val="0"/>
      <w:marTop w:val="0"/>
      <w:marBottom w:val="0"/>
      <w:divBdr>
        <w:top w:val="none" w:sz="0" w:space="0" w:color="auto"/>
        <w:left w:val="none" w:sz="0" w:space="0" w:color="auto"/>
        <w:bottom w:val="none" w:sz="0" w:space="0" w:color="auto"/>
        <w:right w:val="none" w:sz="0" w:space="0" w:color="auto"/>
      </w:divBdr>
    </w:div>
    <w:div w:id="334459930">
      <w:bodyDiv w:val="1"/>
      <w:marLeft w:val="0"/>
      <w:marRight w:val="0"/>
      <w:marTop w:val="0"/>
      <w:marBottom w:val="0"/>
      <w:divBdr>
        <w:top w:val="none" w:sz="0" w:space="0" w:color="auto"/>
        <w:left w:val="none" w:sz="0" w:space="0" w:color="auto"/>
        <w:bottom w:val="none" w:sz="0" w:space="0" w:color="auto"/>
        <w:right w:val="none" w:sz="0" w:space="0" w:color="auto"/>
      </w:divBdr>
      <w:divsChild>
        <w:div w:id="1529829856">
          <w:marLeft w:val="547"/>
          <w:marRight w:val="0"/>
          <w:marTop w:val="115"/>
          <w:marBottom w:val="0"/>
          <w:divBdr>
            <w:top w:val="none" w:sz="0" w:space="0" w:color="auto"/>
            <w:left w:val="none" w:sz="0" w:space="0" w:color="auto"/>
            <w:bottom w:val="none" w:sz="0" w:space="0" w:color="auto"/>
            <w:right w:val="none" w:sz="0" w:space="0" w:color="auto"/>
          </w:divBdr>
        </w:div>
      </w:divsChild>
    </w:div>
    <w:div w:id="415636977">
      <w:bodyDiv w:val="1"/>
      <w:marLeft w:val="0"/>
      <w:marRight w:val="0"/>
      <w:marTop w:val="0"/>
      <w:marBottom w:val="0"/>
      <w:divBdr>
        <w:top w:val="none" w:sz="0" w:space="0" w:color="auto"/>
        <w:left w:val="none" w:sz="0" w:space="0" w:color="auto"/>
        <w:bottom w:val="none" w:sz="0" w:space="0" w:color="auto"/>
        <w:right w:val="none" w:sz="0" w:space="0" w:color="auto"/>
      </w:divBdr>
      <w:divsChild>
        <w:div w:id="1899436171">
          <w:marLeft w:val="547"/>
          <w:marRight w:val="0"/>
          <w:marTop w:val="0"/>
          <w:marBottom w:val="0"/>
          <w:divBdr>
            <w:top w:val="none" w:sz="0" w:space="0" w:color="auto"/>
            <w:left w:val="none" w:sz="0" w:space="0" w:color="auto"/>
            <w:bottom w:val="none" w:sz="0" w:space="0" w:color="auto"/>
            <w:right w:val="none" w:sz="0" w:space="0" w:color="auto"/>
          </w:divBdr>
        </w:div>
      </w:divsChild>
    </w:div>
    <w:div w:id="437260468">
      <w:bodyDiv w:val="1"/>
      <w:marLeft w:val="0"/>
      <w:marRight w:val="0"/>
      <w:marTop w:val="0"/>
      <w:marBottom w:val="0"/>
      <w:divBdr>
        <w:top w:val="none" w:sz="0" w:space="0" w:color="auto"/>
        <w:left w:val="none" w:sz="0" w:space="0" w:color="auto"/>
        <w:bottom w:val="none" w:sz="0" w:space="0" w:color="auto"/>
        <w:right w:val="none" w:sz="0" w:space="0" w:color="auto"/>
      </w:divBdr>
    </w:div>
    <w:div w:id="629633190">
      <w:bodyDiv w:val="1"/>
      <w:marLeft w:val="0"/>
      <w:marRight w:val="0"/>
      <w:marTop w:val="0"/>
      <w:marBottom w:val="0"/>
      <w:divBdr>
        <w:top w:val="none" w:sz="0" w:space="0" w:color="auto"/>
        <w:left w:val="none" w:sz="0" w:space="0" w:color="auto"/>
        <w:bottom w:val="none" w:sz="0" w:space="0" w:color="auto"/>
        <w:right w:val="none" w:sz="0" w:space="0" w:color="auto"/>
      </w:divBdr>
      <w:divsChild>
        <w:div w:id="510029870">
          <w:marLeft w:val="346"/>
          <w:marRight w:val="0"/>
          <w:marTop w:val="360"/>
          <w:marBottom w:val="0"/>
          <w:divBdr>
            <w:top w:val="none" w:sz="0" w:space="0" w:color="auto"/>
            <w:left w:val="none" w:sz="0" w:space="0" w:color="auto"/>
            <w:bottom w:val="none" w:sz="0" w:space="0" w:color="auto"/>
            <w:right w:val="none" w:sz="0" w:space="0" w:color="auto"/>
          </w:divBdr>
        </w:div>
        <w:div w:id="76099833">
          <w:marLeft w:val="346"/>
          <w:marRight w:val="0"/>
          <w:marTop w:val="360"/>
          <w:marBottom w:val="0"/>
          <w:divBdr>
            <w:top w:val="none" w:sz="0" w:space="0" w:color="auto"/>
            <w:left w:val="none" w:sz="0" w:space="0" w:color="auto"/>
            <w:bottom w:val="none" w:sz="0" w:space="0" w:color="auto"/>
            <w:right w:val="none" w:sz="0" w:space="0" w:color="auto"/>
          </w:divBdr>
        </w:div>
        <w:div w:id="2039895030">
          <w:marLeft w:val="346"/>
          <w:marRight w:val="0"/>
          <w:marTop w:val="360"/>
          <w:marBottom w:val="0"/>
          <w:divBdr>
            <w:top w:val="none" w:sz="0" w:space="0" w:color="auto"/>
            <w:left w:val="none" w:sz="0" w:space="0" w:color="auto"/>
            <w:bottom w:val="none" w:sz="0" w:space="0" w:color="auto"/>
            <w:right w:val="none" w:sz="0" w:space="0" w:color="auto"/>
          </w:divBdr>
        </w:div>
        <w:div w:id="720514783">
          <w:marLeft w:val="346"/>
          <w:marRight w:val="0"/>
          <w:marTop w:val="360"/>
          <w:marBottom w:val="0"/>
          <w:divBdr>
            <w:top w:val="none" w:sz="0" w:space="0" w:color="auto"/>
            <w:left w:val="none" w:sz="0" w:space="0" w:color="auto"/>
            <w:bottom w:val="none" w:sz="0" w:space="0" w:color="auto"/>
            <w:right w:val="none" w:sz="0" w:space="0" w:color="auto"/>
          </w:divBdr>
        </w:div>
      </w:divsChild>
    </w:div>
    <w:div w:id="782193925">
      <w:bodyDiv w:val="1"/>
      <w:marLeft w:val="0"/>
      <w:marRight w:val="0"/>
      <w:marTop w:val="0"/>
      <w:marBottom w:val="0"/>
      <w:divBdr>
        <w:top w:val="none" w:sz="0" w:space="0" w:color="auto"/>
        <w:left w:val="none" w:sz="0" w:space="0" w:color="auto"/>
        <w:bottom w:val="none" w:sz="0" w:space="0" w:color="auto"/>
        <w:right w:val="none" w:sz="0" w:space="0" w:color="auto"/>
      </w:divBdr>
    </w:div>
    <w:div w:id="799081006">
      <w:bodyDiv w:val="1"/>
      <w:marLeft w:val="0"/>
      <w:marRight w:val="0"/>
      <w:marTop w:val="0"/>
      <w:marBottom w:val="0"/>
      <w:divBdr>
        <w:top w:val="none" w:sz="0" w:space="0" w:color="auto"/>
        <w:left w:val="none" w:sz="0" w:space="0" w:color="auto"/>
        <w:bottom w:val="none" w:sz="0" w:space="0" w:color="auto"/>
        <w:right w:val="none" w:sz="0" w:space="0" w:color="auto"/>
      </w:divBdr>
      <w:divsChild>
        <w:div w:id="1386489203">
          <w:marLeft w:val="346"/>
          <w:marRight w:val="0"/>
          <w:marTop w:val="360"/>
          <w:marBottom w:val="0"/>
          <w:divBdr>
            <w:top w:val="none" w:sz="0" w:space="0" w:color="auto"/>
            <w:left w:val="none" w:sz="0" w:space="0" w:color="auto"/>
            <w:bottom w:val="none" w:sz="0" w:space="0" w:color="auto"/>
            <w:right w:val="none" w:sz="0" w:space="0" w:color="auto"/>
          </w:divBdr>
        </w:div>
      </w:divsChild>
    </w:div>
    <w:div w:id="882521888">
      <w:bodyDiv w:val="1"/>
      <w:marLeft w:val="0"/>
      <w:marRight w:val="0"/>
      <w:marTop w:val="0"/>
      <w:marBottom w:val="0"/>
      <w:divBdr>
        <w:top w:val="none" w:sz="0" w:space="0" w:color="auto"/>
        <w:left w:val="none" w:sz="0" w:space="0" w:color="auto"/>
        <w:bottom w:val="none" w:sz="0" w:space="0" w:color="auto"/>
        <w:right w:val="none" w:sz="0" w:space="0" w:color="auto"/>
      </w:divBdr>
      <w:divsChild>
        <w:div w:id="674916320">
          <w:marLeft w:val="979"/>
          <w:marRight w:val="0"/>
          <w:marTop w:val="65"/>
          <w:marBottom w:val="0"/>
          <w:divBdr>
            <w:top w:val="none" w:sz="0" w:space="0" w:color="auto"/>
            <w:left w:val="none" w:sz="0" w:space="0" w:color="auto"/>
            <w:bottom w:val="none" w:sz="0" w:space="0" w:color="auto"/>
            <w:right w:val="none" w:sz="0" w:space="0" w:color="auto"/>
          </w:divBdr>
        </w:div>
      </w:divsChild>
    </w:div>
    <w:div w:id="908687852">
      <w:bodyDiv w:val="1"/>
      <w:marLeft w:val="0"/>
      <w:marRight w:val="0"/>
      <w:marTop w:val="0"/>
      <w:marBottom w:val="0"/>
      <w:divBdr>
        <w:top w:val="none" w:sz="0" w:space="0" w:color="auto"/>
        <w:left w:val="none" w:sz="0" w:space="0" w:color="auto"/>
        <w:bottom w:val="none" w:sz="0" w:space="0" w:color="auto"/>
        <w:right w:val="none" w:sz="0" w:space="0" w:color="auto"/>
      </w:divBdr>
    </w:div>
    <w:div w:id="983780028">
      <w:bodyDiv w:val="1"/>
      <w:marLeft w:val="0"/>
      <w:marRight w:val="0"/>
      <w:marTop w:val="0"/>
      <w:marBottom w:val="0"/>
      <w:divBdr>
        <w:top w:val="none" w:sz="0" w:space="0" w:color="auto"/>
        <w:left w:val="none" w:sz="0" w:space="0" w:color="auto"/>
        <w:bottom w:val="none" w:sz="0" w:space="0" w:color="auto"/>
        <w:right w:val="none" w:sz="0" w:space="0" w:color="auto"/>
      </w:divBdr>
      <w:divsChild>
        <w:div w:id="483737202">
          <w:marLeft w:val="720"/>
          <w:marRight w:val="0"/>
          <w:marTop w:val="125"/>
          <w:marBottom w:val="0"/>
          <w:divBdr>
            <w:top w:val="none" w:sz="0" w:space="0" w:color="auto"/>
            <w:left w:val="none" w:sz="0" w:space="0" w:color="auto"/>
            <w:bottom w:val="none" w:sz="0" w:space="0" w:color="auto"/>
            <w:right w:val="none" w:sz="0" w:space="0" w:color="auto"/>
          </w:divBdr>
        </w:div>
        <w:div w:id="1252662146">
          <w:marLeft w:val="720"/>
          <w:marRight w:val="0"/>
          <w:marTop w:val="125"/>
          <w:marBottom w:val="0"/>
          <w:divBdr>
            <w:top w:val="none" w:sz="0" w:space="0" w:color="auto"/>
            <w:left w:val="none" w:sz="0" w:space="0" w:color="auto"/>
            <w:bottom w:val="none" w:sz="0" w:space="0" w:color="auto"/>
            <w:right w:val="none" w:sz="0" w:space="0" w:color="auto"/>
          </w:divBdr>
        </w:div>
        <w:div w:id="1630167687">
          <w:marLeft w:val="720"/>
          <w:marRight w:val="0"/>
          <w:marTop w:val="134"/>
          <w:marBottom w:val="0"/>
          <w:divBdr>
            <w:top w:val="none" w:sz="0" w:space="0" w:color="auto"/>
            <w:left w:val="none" w:sz="0" w:space="0" w:color="auto"/>
            <w:bottom w:val="none" w:sz="0" w:space="0" w:color="auto"/>
            <w:right w:val="none" w:sz="0" w:space="0" w:color="auto"/>
          </w:divBdr>
        </w:div>
        <w:div w:id="2050689770">
          <w:marLeft w:val="720"/>
          <w:marRight w:val="0"/>
          <w:marTop w:val="134"/>
          <w:marBottom w:val="0"/>
          <w:divBdr>
            <w:top w:val="none" w:sz="0" w:space="0" w:color="auto"/>
            <w:left w:val="none" w:sz="0" w:space="0" w:color="auto"/>
            <w:bottom w:val="none" w:sz="0" w:space="0" w:color="auto"/>
            <w:right w:val="none" w:sz="0" w:space="0" w:color="auto"/>
          </w:divBdr>
        </w:div>
      </w:divsChild>
    </w:div>
    <w:div w:id="1070150635">
      <w:bodyDiv w:val="1"/>
      <w:marLeft w:val="0"/>
      <w:marRight w:val="0"/>
      <w:marTop w:val="0"/>
      <w:marBottom w:val="0"/>
      <w:divBdr>
        <w:top w:val="none" w:sz="0" w:space="0" w:color="auto"/>
        <w:left w:val="none" w:sz="0" w:space="0" w:color="auto"/>
        <w:bottom w:val="none" w:sz="0" w:space="0" w:color="auto"/>
        <w:right w:val="none" w:sz="0" w:space="0" w:color="auto"/>
      </w:divBdr>
    </w:div>
    <w:div w:id="1651249453">
      <w:bodyDiv w:val="1"/>
      <w:marLeft w:val="0"/>
      <w:marRight w:val="0"/>
      <w:marTop w:val="0"/>
      <w:marBottom w:val="0"/>
      <w:divBdr>
        <w:top w:val="none" w:sz="0" w:space="0" w:color="auto"/>
        <w:left w:val="none" w:sz="0" w:space="0" w:color="auto"/>
        <w:bottom w:val="none" w:sz="0" w:space="0" w:color="auto"/>
        <w:right w:val="none" w:sz="0" w:space="0" w:color="auto"/>
      </w:divBdr>
    </w:div>
    <w:div w:id="1720586748">
      <w:bodyDiv w:val="1"/>
      <w:marLeft w:val="0"/>
      <w:marRight w:val="0"/>
      <w:marTop w:val="0"/>
      <w:marBottom w:val="0"/>
      <w:divBdr>
        <w:top w:val="none" w:sz="0" w:space="0" w:color="auto"/>
        <w:left w:val="none" w:sz="0" w:space="0" w:color="auto"/>
        <w:bottom w:val="none" w:sz="0" w:space="0" w:color="auto"/>
        <w:right w:val="none" w:sz="0" w:space="0" w:color="auto"/>
      </w:divBdr>
    </w:div>
    <w:div w:id="18576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elp.smartsparrow.com/v/open/jmhcghtf" TargetMode="External"/><Relationship Id="rId4" Type="http://schemas.openxmlformats.org/officeDocument/2006/relationships/settings" Target="settings.xml"/><Relationship Id="rId9" Type="http://schemas.openxmlformats.org/officeDocument/2006/relationships/hyperlink" Target="http://capacityaustrali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Suyasa%20M%5BAuthor%5D&amp;cauthor=true&amp;cauthor_uid=21395938" TargetMode="External"/><Relationship Id="rId13" Type="http://schemas.openxmlformats.org/officeDocument/2006/relationships/hyperlink" Target="http://www.ncbi.nlm.nih.gov/pubmed/?term=Suyasa%20M%5BAuthor%5D&amp;cauthor=true&amp;cauthor_uid=21395938" TargetMode="External"/><Relationship Id="rId18" Type="http://schemas.openxmlformats.org/officeDocument/2006/relationships/hyperlink" Target="http://www.ncbi.nlm.nih.gov/pubmed/23759885" TargetMode="External"/><Relationship Id="rId3" Type="http://schemas.openxmlformats.org/officeDocument/2006/relationships/hyperlink" Target="http://www.eapu.com.au/uploads/research_resources/VIC-For_Love_or_Money_JUN_2011-Monash.pdf" TargetMode="External"/><Relationship Id="rId7" Type="http://schemas.openxmlformats.org/officeDocument/2006/relationships/hyperlink" Target="http://www.ncbi.nlm.nih.gov/pubmed/?term=Daniel%20F%5BAuthor%5D&amp;cauthor=true&amp;cauthor_uid=21395938" TargetMode="External"/><Relationship Id="rId12" Type="http://schemas.openxmlformats.org/officeDocument/2006/relationships/hyperlink" Target="http://www.ncbi.nlm.nih.gov/pubmed/?term=Daniel%20F%5BAuthor%5D&amp;cauthor=true&amp;cauthor_uid=21395938" TargetMode="External"/><Relationship Id="rId17" Type="http://schemas.openxmlformats.org/officeDocument/2006/relationships/hyperlink" Target="http://www.ncbi.nlm.nih.gov/pubmed/21360591" TargetMode="External"/><Relationship Id="rId2" Type="http://schemas.openxmlformats.org/officeDocument/2006/relationships/hyperlink" Target="http://www.eapu.com.au/uploads/research_resources/VIC-For_Love_or_Money_JUN_2011-Monash.pdf" TargetMode="External"/><Relationship Id="rId16" Type="http://schemas.openxmlformats.org/officeDocument/2006/relationships/hyperlink" Target="http://www.ncbi.nlm.nih.gov/pubmed/20716393" TargetMode="External"/><Relationship Id="rId1" Type="http://schemas.openxmlformats.org/officeDocument/2006/relationships/hyperlink" Target="http://www.austlii.edu.au/au/journals/SydUPLawBk/2011/1.html" TargetMode="External"/><Relationship Id="rId6" Type="http://schemas.openxmlformats.org/officeDocument/2006/relationships/hyperlink" Target="http://www.ncbi.nlm.nih.gov/pubmed/?term=Rosengren%20D%5BAuthor%5D&amp;cauthor=true&amp;cauthor_uid=21395938" TargetMode="External"/><Relationship Id="rId11" Type="http://schemas.openxmlformats.org/officeDocument/2006/relationships/hyperlink" Target="http://www.ncbi.nlm.nih.gov/pubmed/?term=Rosengren%20D%5BAuthor%5D&amp;cauthor=true&amp;cauthor_uid=21395938" TargetMode="External"/><Relationship Id="rId5" Type="http://schemas.openxmlformats.org/officeDocument/2006/relationships/hyperlink" Target="http://www.ncbi.nlm.nih.gov/pubmed/?term=Snowdon%20J%5BAuthor%5D&amp;cauthor=true&amp;cauthor_uid=21395938" TargetMode="External"/><Relationship Id="rId15" Type="http://schemas.openxmlformats.org/officeDocument/2006/relationships/hyperlink" Target="http://dementiaresearch.com.au/images/dcrc/output-files/328-2012_dbmas_bpsd_guidelines_guide.pdf" TargetMode="External"/><Relationship Id="rId10" Type="http://schemas.openxmlformats.org/officeDocument/2006/relationships/hyperlink" Target="http://www.ncbi.nlm.nih.gov/pubmed/?term=Snowdon%20J%5BAuthor%5D&amp;cauthor=true&amp;cauthor_uid=21395938" TargetMode="External"/><Relationship Id="rId4" Type="http://schemas.openxmlformats.org/officeDocument/2006/relationships/hyperlink" Target="http://www.eapu.com.au/uploads/research_resources/VIC-For_Love_or_Money_JUN_2011-Monash.pdf" TargetMode="External"/><Relationship Id="rId9" Type="http://schemas.openxmlformats.org/officeDocument/2006/relationships/hyperlink" Target="http://www.ncbi.nlm.nih.gov/pubmed/21395938" TargetMode="External"/><Relationship Id="rId14" Type="http://schemas.openxmlformats.org/officeDocument/2006/relationships/hyperlink" Target="http://www.ncbi.nlm.nih.gov/pubmed/21395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F6EB-6912-48FC-A02D-9C18EED1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marie-claire.muir</cp:lastModifiedBy>
  <cp:revision>2</cp:revision>
  <cp:lastPrinted>2016-08-22T23:33:00Z</cp:lastPrinted>
  <dcterms:created xsi:type="dcterms:W3CDTF">2016-08-29T02:57:00Z</dcterms:created>
  <dcterms:modified xsi:type="dcterms:W3CDTF">2016-08-29T02:57:00Z</dcterms:modified>
</cp:coreProperties>
</file>