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595" w:rsidRPr="006631A9" w:rsidRDefault="006631A9" w:rsidP="00872B28">
      <w:pPr>
        <w:spacing w:line="360" w:lineRule="auto"/>
        <w:jc w:val="center"/>
        <w:rPr>
          <w:rFonts w:ascii="Times New Roman" w:hAnsi="Times New Roman" w:cs="Times New Roman"/>
          <w:b/>
        </w:rPr>
      </w:pPr>
      <w:r w:rsidRPr="006631A9">
        <w:rPr>
          <w:rFonts w:ascii="Times New Roman" w:hAnsi="Times New Roman" w:cs="Times New Roman"/>
          <w:b/>
        </w:rPr>
        <w:t>AUSTRALIAN LAW REFORM COMMISSION SUBMISSION</w:t>
      </w:r>
    </w:p>
    <w:p w:rsidR="006631A9" w:rsidRDefault="006631A9" w:rsidP="00872B28">
      <w:pPr>
        <w:spacing w:line="360" w:lineRule="auto"/>
        <w:jc w:val="center"/>
        <w:rPr>
          <w:rFonts w:ascii="Times New Roman" w:hAnsi="Times New Roman" w:cs="Times New Roman"/>
          <w:b/>
        </w:rPr>
      </w:pPr>
      <w:r w:rsidRPr="006631A9">
        <w:rPr>
          <w:rFonts w:ascii="Times New Roman" w:hAnsi="Times New Roman" w:cs="Times New Roman"/>
          <w:b/>
        </w:rPr>
        <w:t>FAIR TRIAL: APPEAL FROM ACQUITAL</w:t>
      </w:r>
    </w:p>
    <w:p w:rsidR="00BB634C" w:rsidRDefault="00BB634C" w:rsidP="00872B28">
      <w:pPr>
        <w:spacing w:line="360" w:lineRule="auto"/>
        <w:jc w:val="center"/>
        <w:rPr>
          <w:rFonts w:ascii="Times New Roman" w:hAnsi="Times New Roman" w:cs="Times New Roman"/>
          <w:b/>
        </w:rPr>
      </w:pPr>
    </w:p>
    <w:p w:rsidR="00BB634C" w:rsidRDefault="00BB634C" w:rsidP="00E95395">
      <w:pPr>
        <w:spacing w:line="360" w:lineRule="auto"/>
        <w:jc w:val="center"/>
        <w:rPr>
          <w:rFonts w:ascii="Times New Roman" w:hAnsi="Times New Roman" w:cs="Times New Roman"/>
          <w:b/>
        </w:rPr>
      </w:pPr>
      <w:r>
        <w:rPr>
          <w:rFonts w:ascii="Times New Roman" w:hAnsi="Times New Roman" w:cs="Times New Roman"/>
          <w:b/>
        </w:rPr>
        <w:t>Authors:  Associate Professor Kelley Burton, Nickolis Black, Kayla Bucknall,</w:t>
      </w:r>
    </w:p>
    <w:p w:rsidR="006631A9" w:rsidRDefault="00BB634C" w:rsidP="00E95395">
      <w:pPr>
        <w:spacing w:line="360" w:lineRule="auto"/>
        <w:jc w:val="center"/>
        <w:rPr>
          <w:rFonts w:ascii="Times New Roman" w:hAnsi="Times New Roman" w:cs="Times New Roman"/>
        </w:rPr>
      </w:pPr>
      <w:r>
        <w:rPr>
          <w:rFonts w:ascii="Times New Roman" w:hAnsi="Times New Roman" w:cs="Times New Roman"/>
          <w:b/>
        </w:rPr>
        <w:t>Simone Henriksen, Teddy Henriksen, Neesha Maidwell, Karran Moseley and Seona Todd</w:t>
      </w:r>
    </w:p>
    <w:p w:rsidR="00E95395" w:rsidRDefault="00E95395" w:rsidP="00E95395">
      <w:pPr>
        <w:spacing w:line="360" w:lineRule="auto"/>
        <w:jc w:val="center"/>
        <w:rPr>
          <w:rFonts w:ascii="Times New Roman" w:hAnsi="Times New Roman" w:cs="Times New Roman"/>
          <w:sz w:val="28"/>
          <w:szCs w:val="28"/>
        </w:rPr>
      </w:pPr>
    </w:p>
    <w:p w:rsidR="00DE6BAE" w:rsidRPr="00722E65" w:rsidRDefault="001B1BF2" w:rsidP="00E95395">
      <w:pPr>
        <w:spacing w:line="360" w:lineRule="auto"/>
        <w:jc w:val="center"/>
        <w:rPr>
          <w:rFonts w:ascii="Times New Roman" w:hAnsi="Times New Roman" w:cs="Times New Roman"/>
        </w:rPr>
      </w:pPr>
      <w:r w:rsidRPr="00E95395">
        <w:rPr>
          <w:rFonts w:ascii="Times New Roman" w:hAnsi="Times New Roman" w:cs="Times New Roman"/>
          <w:sz w:val="28"/>
          <w:szCs w:val="28"/>
        </w:rPr>
        <w:t>I</w:t>
      </w:r>
      <w:r w:rsidRPr="00E95395">
        <w:rPr>
          <w:rFonts w:ascii="Times New Roman" w:hAnsi="Times New Roman" w:cs="Times New Roman"/>
        </w:rPr>
        <w:t xml:space="preserve">  </w:t>
      </w:r>
      <w:r w:rsidR="00DE6BAE" w:rsidRPr="00E95395">
        <w:rPr>
          <w:rFonts w:ascii="Times New Roman" w:hAnsi="Times New Roman" w:cs="Times New Roman"/>
          <w:sz w:val="28"/>
          <w:szCs w:val="28"/>
        </w:rPr>
        <w:t>D</w:t>
      </w:r>
      <w:r w:rsidRPr="00E95395">
        <w:rPr>
          <w:rFonts w:ascii="Times New Roman" w:hAnsi="Times New Roman" w:cs="Times New Roman"/>
        </w:rPr>
        <w:t xml:space="preserve">OUBLE </w:t>
      </w:r>
      <w:r w:rsidRPr="00E95395">
        <w:rPr>
          <w:rFonts w:ascii="Times New Roman" w:hAnsi="Times New Roman" w:cs="Times New Roman"/>
          <w:sz w:val="28"/>
          <w:szCs w:val="28"/>
        </w:rPr>
        <w:t>J</w:t>
      </w:r>
      <w:r w:rsidRPr="00E95395">
        <w:rPr>
          <w:rFonts w:ascii="Times New Roman" w:hAnsi="Times New Roman" w:cs="Times New Roman"/>
        </w:rPr>
        <w:t>EOPARDY</w:t>
      </w:r>
    </w:p>
    <w:p w:rsidR="00E95395" w:rsidRDefault="00E95395" w:rsidP="00872B28">
      <w:pPr>
        <w:spacing w:line="360" w:lineRule="auto"/>
        <w:jc w:val="both"/>
        <w:rPr>
          <w:rFonts w:ascii="Times New Roman" w:hAnsi="Times New Roman" w:cs="Times New Roman"/>
        </w:rPr>
      </w:pPr>
    </w:p>
    <w:p w:rsidR="00872B28" w:rsidRDefault="00003E99" w:rsidP="00872B28">
      <w:pPr>
        <w:spacing w:line="360" w:lineRule="auto"/>
        <w:jc w:val="both"/>
        <w:rPr>
          <w:rFonts w:ascii="Times New Roman" w:hAnsi="Times New Roman" w:cs="Times New Roman"/>
        </w:rPr>
      </w:pPr>
      <w:r>
        <w:rPr>
          <w:rFonts w:ascii="Times New Roman" w:hAnsi="Times New Roman" w:cs="Times New Roman"/>
        </w:rPr>
        <w:t>Long before the conception of double jeopardy, a</w:t>
      </w:r>
      <w:r w:rsidR="00872B28">
        <w:rPr>
          <w:rFonts w:ascii="Times New Roman" w:hAnsi="Times New Roman" w:cs="Times New Roman"/>
        </w:rPr>
        <w:t xml:space="preserve">ncient civilizations </w:t>
      </w:r>
      <w:r w:rsidR="00D00CE9">
        <w:rPr>
          <w:rFonts w:ascii="Times New Roman" w:hAnsi="Times New Roman" w:cs="Times New Roman"/>
        </w:rPr>
        <w:t>addressed the dilemma of serious crime in the community by enacting “blood feuds” to avenge the death of their loved one. Part of the reason f</w:t>
      </w:r>
      <w:r w:rsidR="00872B28">
        <w:rPr>
          <w:rFonts w:ascii="Times New Roman" w:hAnsi="Times New Roman" w:cs="Times New Roman"/>
        </w:rPr>
        <w:t>or the demise of</w:t>
      </w:r>
      <w:r w:rsidR="00D00CE9">
        <w:rPr>
          <w:rFonts w:ascii="Times New Roman" w:hAnsi="Times New Roman" w:cs="Times New Roman"/>
        </w:rPr>
        <w:t xml:space="preserve"> this practice was the fact that these feuds had the potential to go o</w:t>
      </w:r>
      <w:r w:rsidR="00872B28">
        <w:rPr>
          <w:rFonts w:ascii="Times New Roman" w:hAnsi="Times New Roman" w:cs="Times New Roman"/>
        </w:rPr>
        <w:t>n</w:t>
      </w:r>
      <w:r w:rsidR="00D00CE9">
        <w:rPr>
          <w:rFonts w:ascii="Times New Roman" w:hAnsi="Times New Roman" w:cs="Times New Roman"/>
        </w:rPr>
        <w:t xml:space="preserve"> and on without enabling closure for victims</w:t>
      </w:r>
      <w:r w:rsidR="003A3AA2">
        <w:rPr>
          <w:rFonts w:ascii="Times New Roman" w:hAnsi="Times New Roman" w:cs="Times New Roman"/>
        </w:rPr>
        <w:t>’</w:t>
      </w:r>
      <w:r w:rsidR="00D00CE9">
        <w:rPr>
          <w:rFonts w:ascii="Times New Roman" w:hAnsi="Times New Roman" w:cs="Times New Roman"/>
        </w:rPr>
        <w:t xml:space="preserve"> families, thus denying </w:t>
      </w:r>
      <w:r w:rsidR="00D00CE9" w:rsidRPr="00E95395">
        <w:rPr>
          <w:rFonts w:ascii="Times New Roman" w:hAnsi="Times New Roman" w:cs="Times New Roman"/>
        </w:rPr>
        <w:t>finality</w:t>
      </w:r>
      <w:r w:rsidR="00D00CE9">
        <w:rPr>
          <w:rFonts w:ascii="Times New Roman" w:hAnsi="Times New Roman" w:cs="Times New Roman"/>
        </w:rPr>
        <w:t xml:space="preserve"> of events for everyone concerned.</w:t>
      </w:r>
      <w:r w:rsidR="00E37FEE">
        <w:rPr>
          <w:rFonts w:ascii="Times New Roman" w:hAnsi="Times New Roman" w:cs="Times New Roman"/>
        </w:rPr>
        <w:t xml:space="preserve">  </w:t>
      </w:r>
      <w:r w:rsidR="00FB6319">
        <w:rPr>
          <w:rFonts w:ascii="Times New Roman" w:hAnsi="Times New Roman" w:cs="Times New Roman"/>
        </w:rPr>
        <w:t xml:space="preserve">  </w:t>
      </w:r>
      <w:r w:rsidR="00D00CE9">
        <w:rPr>
          <w:rFonts w:ascii="Times New Roman" w:hAnsi="Times New Roman" w:cs="Times New Roman"/>
        </w:rPr>
        <w:t xml:space="preserve">The equivalent manifestation of </w:t>
      </w:r>
      <w:r w:rsidR="00872B28">
        <w:rPr>
          <w:rFonts w:ascii="Times New Roman" w:hAnsi="Times New Roman" w:cs="Times New Roman"/>
        </w:rPr>
        <w:t xml:space="preserve">these </w:t>
      </w:r>
      <w:r w:rsidR="00D00CE9">
        <w:rPr>
          <w:rFonts w:ascii="Times New Roman" w:hAnsi="Times New Roman" w:cs="Times New Roman"/>
        </w:rPr>
        <w:t>events today i</w:t>
      </w:r>
      <w:r w:rsidR="00872B28">
        <w:rPr>
          <w:rFonts w:ascii="Times New Roman" w:hAnsi="Times New Roman" w:cs="Times New Roman"/>
        </w:rPr>
        <w:t>s a trial a</w:t>
      </w:r>
      <w:r w:rsidR="003A3AA2">
        <w:rPr>
          <w:rFonts w:ascii="Times New Roman" w:hAnsi="Times New Roman" w:cs="Times New Roman"/>
        </w:rPr>
        <w:t>t</w:t>
      </w:r>
      <w:r w:rsidR="00D00CE9">
        <w:rPr>
          <w:rFonts w:ascii="Times New Roman" w:hAnsi="Times New Roman" w:cs="Times New Roman"/>
        </w:rPr>
        <w:t xml:space="preserve"> court of </w:t>
      </w:r>
      <w:r w:rsidR="00872B28">
        <w:rPr>
          <w:rFonts w:ascii="Times New Roman" w:hAnsi="Times New Roman" w:cs="Times New Roman"/>
        </w:rPr>
        <w:t xml:space="preserve">law of </w:t>
      </w:r>
      <w:r w:rsidR="00D00CE9">
        <w:rPr>
          <w:rFonts w:ascii="Times New Roman" w:hAnsi="Times New Roman" w:cs="Times New Roman"/>
        </w:rPr>
        <w:t xml:space="preserve">the party convicted of the offence, followed by a </w:t>
      </w:r>
      <w:r w:rsidR="00872B28">
        <w:rPr>
          <w:rFonts w:ascii="Times New Roman" w:hAnsi="Times New Roman" w:cs="Times New Roman"/>
        </w:rPr>
        <w:t xml:space="preserve">decision by the tribunal of fact (the jury) based on the evidence available and guidance in matters of law, the latter being provided by the judge. </w:t>
      </w:r>
      <w:r w:rsidR="00D00CE9">
        <w:rPr>
          <w:rFonts w:ascii="Times New Roman" w:hAnsi="Times New Roman" w:cs="Times New Roman"/>
        </w:rPr>
        <w:t xml:space="preserve"> </w:t>
      </w:r>
    </w:p>
    <w:p w:rsidR="00E95395" w:rsidRDefault="00E95395" w:rsidP="00872B28">
      <w:pPr>
        <w:spacing w:line="360" w:lineRule="auto"/>
        <w:jc w:val="both"/>
        <w:rPr>
          <w:rFonts w:ascii="Times New Roman" w:hAnsi="Times New Roman" w:cs="Times New Roman"/>
        </w:rPr>
      </w:pPr>
    </w:p>
    <w:p w:rsidR="0094652A" w:rsidRPr="003A4510" w:rsidRDefault="00003E99" w:rsidP="00872B28">
      <w:pPr>
        <w:spacing w:line="360" w:lineRule="auto"/>
        <w:jc w:val="both"/>
        <w:rPr>
          <w:rFonts w:ascii="Times New Roman" w:hAnsi="Times New Roman" w:cs="Times New Roman"/>
        </w:rPr>
      </w:pPr>
      <w:r>
        <w:rPr>
          <w:rFonts w:ascii="Times New Roman" w:hAnsi="Times New Roman" w:cs="Times New Roman"/>
        </w:rPr>
        <w:t>In essence, d</w:t>
      </w:r>
      <w:r w:rsidR="0094652A">
        <w:rPr>
          <w:rFonts w:ascii="Times New Roman" w:hAnsi="Times New Roman" w:cs="Times New Roman"/>
        </w:rPr>
        <w:t>ouble jeopardy prohibits an acquitted person from being retried for the same or similar offence arising out of the same factual scenario.  It has been a cornerstone of the English common law since the 12</w:t>
      </w:r>
      <w:r w:rsidR="0094652A" w:rsidRPr="00E95395">
        <w:rPr>
          <w:rFonts w:ascii="Times New Roman" w:hAnsi="Times New Roman" w:cs="Times New Roman"/>
          <w:vertAlign w:val="superscript"/>
        </w:rPr>
        <w:t>th</w:t>
      </w:r>
      <w:r w:rsidR="0094652A">
        <w:rPr>
          <w:rFonts w:ascii="Times New Roman" w:hAnsi="Times New Roman" w:cs="Times New Roman"/>
        </w:rPr>
        <w:t xml:space="preserve"> century and continues to thrive today in Australian </w:t>
      </w:r>
      <w:r>
        <w:rPr>
          <w:rFonts w:ascii="Times New Roman" w:hAnsi="Times New Roman" w:cs="Times New Roman"/>
        </w:rPr>
        <w:t>S</w:t>
      </w:r>
      <w:r w:rsidR="0094652A">
        <w:rPr>
          <w:rFonts w:ascii="Times New Roman" w:hAnsi="Times New Roman" w:cs="Times New Roman"/>
        </w:rPr>
        <w:t xml:space="preserve">tates and </w:t>
      </w:r>
      <w:r>
        <w:rPr>
          <w:rFonts w:ascii="Times New Roman" w:hAnsi="Times New Roman" w:cs="Times New Roman"/>
        </w:rPr>
        <w:t>T</w:t>
      </w:r>
      <w:r w:rsidR="0094652A">
        <w:rPr>
          <w:rFonts w:ascii="Times New Roman" w:hAnsi="Times New Roman" w:cs="Times New Roman"/>
        </w:rPr>
        <w:t>erritories.</w:t>
      </w:r>
      <w:r w:rsidR="0094652A">
        <w:rPr>
          <w:rStyle w:val="FootnoteReference"/>
          <w:rFonts w:ascii="Times New Roman" w:hAnsi="Times New Roman" w:cs="Times New Roman"/>
        </w:rPr>
        <w:footnoteReference w:id="1"/>
      </w:r>
      <w:r w:rsidR="0094652A">
        <w:rPr>
          <w:rFonts w:ascii="Times New Roman" w:hAnsi="Times New Roman" w:cs="Times New Roman"/>
        </w:rPr>
        <w:t xml:space="preserve">   Remarkably, </w:t>
      </w:r>
      <w:r w:rsidR="003A4510">
        <w:rPr>
          <w:rFonts w:ascii="Times New Roman" w:hAnsi="Times New Roman" w:cs="Times New Roman"/>
        </w:rPr>
        <w:t xml:space="preserve">approximately 800 years later, </w:t>
      </w:r>
      <w:r w:rsidR="0094652A">
        <w:rPr>
          <w:rFonts w:ascii="Times New Roman" w:hAnsi="Times New Roman" w:cs="Times New Roman"/>
        </w:rPr>
        <w:t>during the 21</w:t>
      </w:r>
      <w:r w:rsidR="0094652A" w:rsidRPr="00E95395">
        <w:rPr>
          <w:rFonts w:ascii="Times New Roman" w:hAnsi="Times New Roman" w:cs="Times New Roman"/>
          <w:vertAlign w:val="superscript"/>
        </w:rPr>
        <w:t>st</w:t>
      </w:r>
      <w:r w:rsidR="003A4510">
        <w:rPr>
          <w:rFonts w:ascii="Times New Roman" w:hAnsi="Times New Roman" w:cs="Times New Roman"/>
        </w:rPr>
        <w:t xml:space="preserve"> century, double jeopardy was modified in </w:t>
      </w:r>
      <w:r>
        <w:rPr>
          <w:rFonts w:ascii="Times New Roman" w:hAnsi="Times New Roman" w:cs="Times New Roman"/>
        </w:rPr>
        <w:t>S</w:t>
      </w:r>
      <w:r w:rsidR="003A4510">
        <w:rPr>
          <w:rFonts w:ascii="Times New Roman" w:hAnsi="Times New Roman" w:cs="Times New Roman"/>
        </w:rPr>
        <w:t xml:space="preserve">tate and </w:t>
      </w:r>
      <w:r>
        <w:rPr>
          <w:rFonts w:ascii="Times New Roman" w:hAnsi="Times New Roman" w:cs="Times New Roman"/>
        </w:rPr>
        <w:t>T</w:t>
      </w:r>
      <w:r w:rsidR="003A4510">
        <w:rPr>
          <w:rFonts w:ascii="Times New Roman" w:hAnsi="Times New Roman" w:cs="Times New Roman"/>
        </w:rPr>
        <w:t>erritory legislative provisions.</w:t>
      </w:r>
      <w:r w:rsidR="003A4510">
        <w:rPr>
          <w:rStyle w:val="FootnoteReference"/>
          <w:rFonts w:ascii="Times New Roman" w:hAnsi="Times New Roman" w:cs="Times New Roman"/>
        </w:rPr>
        <w:footnoteReference w:id="2"/>
      </w:r>
      <w:r>
        <w:rPr>
          <w:rFonts w:ascii="Times New Roman" w:hAnsi="Times New Roman" w:cs="Times New Roman"/>
        </w:rPr>
        <w:t xml:space="preserve">  </w:t>
      </w:r>
      <w:r w:rsidR="004A66C4">
        <w:rPr>
          <w:rFonts w:ascii="Times New Roman" w:hAnsi="Times New Roman" w:cs="Times New Roman"/>
        </w:rPr>
        <w:t>Arguably, the impetus for</w:t>
      </w:r>
      <w:r w:rsidR="003A4510">
        <w:rPr>
          <w:rFonts w:ascii="Times New Roman" w:hAnsi="Times New Roman" w:cs="Times New Roman"/>
        </w:rPr>
        <w:t xml:space="preserve"> these reforms was the </w:t>
      </w:r>
      <w:r w:rsidR="004A66C4">
        <w:rPr>
          <w:rFonts w:ascii="Times New Roman" w:hAnsi="Times New Roman" w:cs="Times New Roman"/>
        </w:rPr>
        <w:t xml:space="preserve">public outrage at the </w:t>
      </w:r>
      <w:r w:rsidR="00425E4A">
        <w:rPr>
          <w:rFonts w:ascii="Times New Roman" w:hAnsi="Times New Roman" w:cs="Times New Roman"/>
        </w:rPr>
        <w:t xml:space="preserve">unjust </w:t>
      </w:r>
      <w:r w:rsidR="003A4510">
        <w:rPr>
          <w:rFonts w:ascii="Times New Roman" w:hAnsi="Times New Roman" w:cs="Times New Roman"/>
        </w:rPr>
        <w:t xml:space="preserve">outcome of the High Court </w:t>
      </w:r>
      <w:r w:rsidR="003A4510" w:rsidRPr="003A4510">
        <w:rPr>
          <w:rFonts w:ascii="Times New Roman" w:hAnsi="Times New Roman" w:cs="Times New Roman"/>
        </w:rPr>
        <w:t xml:space="preserve">decision in </w:t>
      </w:r>
      <w:r w:rsidR="003A4510" w:rsidRPr="00E95395">
        <w:rPr>
          <w:rFonts w:ascii="Times New Roman" w:hAnsi="Times New Roman" w:cs="Times New Roman"/>
          <w:i/>
          <w:lang w:val="en-US"/>
        </w:rPr>
        <w:t>R v Carroll</w:t>
      </w:r>
      <w:r w:rsidR="003A4510">
        <w:rPr>
          <w:rFonts w:ascii="Times New Roman" w:hAnsi="Times New Roman" w:cs="Times New Roman"/>
          <w:i/>
          <w:lang w:val="en-US"/>
        </w:rPr>
        <w:t>.</w:t>
      </w:r>
      <w:r w:rsidR="003A4510">
        <w:rPr>
          <w:rStyle w:val="FootnoteReference"/>
          <w:rFonts w:ascii="Times New Roman" w:hAnsi="Times New Roman" w:cs="Times New Roman"/>
          <w:i/>
          <w:lang w:val="en-US"/>
        </w:rPr>
        <w:footnoteReference w:id="3"/>
      </w:r>
    </w:p>
    <w:p w:rsidR="00E95395" w:rsidRDefault="00E95395" w:rsidP="00DD4277">
      <w:pPr>
        <w:spacing w:line="360" w:lineRule="auto"/>
        <w:jc w:val="both"/>
        <w:rPr>
          <w:rFonts w:ascii="Times New Roman" w:hAnsi="Times New Roman" w:cs="Times New Roman"/>
        </w:rPr>
      </w:pPr>
    </w:p>
    <w:p w:rsidR="00DD4277" w:rsidRPr="006631A9" w:rsidRDefault="004A66C4" w:rsidP="00DD4277">
      <w:pPr>
        <w:spacing w:line="360" w:lineRule="auto"/>
        <w:jc w:val="both"/>
        <w:rPr>
          <w:rFonts w:ascii="Times New Roman" w:hAnsi="Times New Roman" w:cs="Times New Roman"/>
        </w:rPr>
      </w:pPr>
      <w:r>
        <w:rPr>
          <w:rFonts w:ascii="Times New Roman" w:hAnsi="Times New Roman" w:cs="Times New Roman"/>
        </w:rPr>
        <w:t xml:space="preserve">In that </w:t>
      </w:r>
      <w:r w:rsidR="0082227A">
        <w:rPr>
          <w:rFonts w:ascii="Times New Roman" w:hAnsi="Times New Roman" w:cs="Times New Roman"/>
        </w:rPr>
        <w:t xml:space="preserve">notorious </w:t>
      </w:r>
      <w:r>
        <w:rPr>
          <w:rFonts w:ascii="Times New Roman" w:hAnsi="Times New Roman" w:cs="Times New Roman"/>
        </w:rPr>
        <w:t xml:space="preserve">High Court case, </w:t>
      </w:r>
      <w:r w:rsidR="00DD4277">
        <w:rPr>
          <w:rFonts w:ascii="Times New Roman" w:hAnsi="Times New Roman" w:cs="Times New Roman"/>
        </w:rPr>
        <w:t>Mr Carroll’s appeal was upheld resulting in his remaining free despite being found guilty of the murder o</w:t>
      </w:r>
      <w:r w:rsidR="003A3AA2">
        <w:rPr>
          <w:rFonts w:ascii="Times New Roman" w:hAnsi="Times New Roman" w:cs="Times New Roman"/>
        </w:rPr>
        <w:t>f</w:t>
      </w:r>
      <w:r w:rsidR="00DD4277">
        <w:rPr>
          <w:rFonts w:ascii="Times New Roman" w:hAnsi="Times New Roman" w:cs="Times New Roman"/>
        </w:rPr>
        <w:t xml:space="preserve"> a toddler in his original trial. </w:t>
      </w:r>
      <w:r w:rsidR="00DD4277">
        <w:rPr>
          <w:rFonts w:ascii="Times New Roman" w:hAnsi="Times New Roman" w:cs="Times New Roman"/>
        </w:rPr>
        <w:lastRenderedPageBreak/>
        <w:t>In light of this and other similar results at appeal we submit the following discussion.</w:t>
      </w:r>
      <w:r w:rsidR="00C82086">
        <w:rPr>
          <w:rFonts w:ascii="Times New Roman" w:hAnsi="Times New Roman" w:cs="Times New Roman"/>
        </w:rPr>
        <w:t xml:space="preserve"> Justices Gleeson and Hayne wrote of the potential imbalance of power between the prosecution and the accused, noting that the former had much greater power and resources than any individual in the accusatory process.</w:t>
      </w:r>
      <w:r w:rsidR="00C82086">
        <w:rPr>
          <w:rStyle w:val="FootnoteReference"/>
          <w:rFonts w:ascii="Times New Roman" w:hAnsi="Times New Roman" w:cs="Times New Roman"/>
        </w:rPr>
        <w:footnoteReference w:id="4"/>
      </w:r>
      <w:r w:rsidR="00C82086">
        <w:rPr>
          <w:rFonts w:ascii="Times New Roman" w:hAnsi="Times New Roman" w:cs="Times New Roman"/>
        </w:rPr>
        <w:t xml:space="preserve"> There is some recognition by society that balance needs to be struck between acquitting the innocent and in the process freeing a person who is actually guilty.</w:t>
      </w:r>
      <w:r w:rsidR="00C82086">
        <w:rPr>
          <w:rStyle w:val="FootnoteReference"/>
          <w:rFonts w:ascii="Times New Roman" w:hAnsi="Times New Roman" w:cs="Times New Roman"/>
        </w:rPr>
        <w:footnoteReference w:id="5"/>
      </w:r>
    </w:p>
    <w:p w:rsidR="00E95395" w:rsidRDefault="00E95395" w:rsidP="00872B28">
      <w:pPr>
        <w:spacing w:line="360" w:lineRule="auto"/>
        <w:jc w:val="both"/>
        <w:rPr>
          <w:rFonts w:ascii="Times New Roman" w:hAnsi="Times New Roman" w:cs="Times New Roman"/>
        </w:rPr>
      </w:pPr>
    </w:p>
    <w:p w:rsidR="0094652A" w:rsidRDefault="00B41A5A" w:rsidP="00872B28">
      <w:pPr>
        <w:spacing w:line="360" w:lineRule="auto"/>
        <w:jc w:val="both"/>
        <w:rPr>
          <w:rFonts w:ascii="Times New Roman" w:hAnsi="Times New Roman" w:cs="Times New Roman"/>
        </w:rPr>
      </w:pPr>
      <w:r>
        <w:rPr>
          <w:rFonts w:ascii="Times New Roman" w:hAnsi="Times New Roman" w:cs="Times New Roman"/>
        </w:rPr>
        <w:t>Peter Dutton MP and Deirdre Kennedy’s Mother Faye continue to fight for reform of the rule against double jeopardy.</w:t>
      </w:r>
      <w:r>
        <w:rPr>
          <w:rStyle w:val="FootnoteReference"/>
          <w:rFonts w:ascii="Times New Roman" w:hAnsi="Times New Roman" w:cs="Times New Roman"/>
        </w:rPr>
        <w:footnoteReference w:id="6"/>
      </w:r>
    </w:p>
    <w:p w:rsidR="006631A9" w:rsidRDefault="006631A9" w:rsidP="00872B28">
      <w:pPr>
        <w:spacing w:line="360" w:lineRule="auto"/>
        <w:jc w:val="both"/>
        <w:rPr>
          <w:rFonts w:ascii="Times New Roman" w:hAnsi="Times New Roman" w:cs="Times New Roman"/>
        </w:rPr>
      </w:pPr>
    </w:p>
    <w:p w:rsidR="006631A9" w:rsidRPr="006631A9" w:rsidRDefault="006631A9" w:rsidP="00872B28">
      <w:pPr>
        <w:spacing w:line="360" w:lineRule="auto"/>
        <w:jc w:val="both"/>
        <w:rPr>
          <w:rFonts w:ascii="Times New Roman" w:hAnsi="Times New Roman" w:cs="Times New Roman"/>
        </w:rPr>
      </w:pPr>
    </w:p>
    <w:p w:rsidR="006631A9" w:rsidRPr="00E95395" w:rsidRDefault="00215761" w:rsidP="00E95395">
      <w:pPr>
        <w:spacing w:line="360" w:lineRule="auto"/>
        <w:jc w:val="center"/>
        <w:rPr>
          <w:rFonts w:ascii="Times New Roman" w:hAnsi="Times New Roman" w:cs="Times New Roman"/>
          <w:b/>
        </w:rPr>
      </w:pPr>
      <w:r w:rsidRPr="00E95395">
        <w:rPr>
          <w:rFonts w:ascii="Times New Roman" w:hAnsi="Times New Roman" w:cs="Times New Roman"/>
          <w:sz w:val="28"/>
          <w:szCs w:val="28"/>
        </w:rPr>
        <w:t xml:space="preserve">II  </w:t>
      </w:r>
      <w:r w:rsidR="006631A9" w:rsidRPr="00E95395">
        <w:rPr>
          <w:rFonts w:ascii="Times New Roman" w:hAnsi="Times New Roman" w:cs="Times New Roman"/>
          <w:sz w:val="28"/>
          <w:szCs w:val="28"/>
        </w:rPr>
        <w:t>W</w:t>
      </w:r>
      <w:r w:rsidR="001B1BF2" w:rsidRPr="00E95395">
        <w:rPr>
          <w:rFonts w:ascii="Times New Roman" w:hAnsi="Times New Roman" w:cs="Times New Roman"/>
        </w:rPr>
        <w:t xml:space="preserve">HAT </w:t>
      </w:r>
      <w:r w:rsidR="001B1BF2" w:rsidRPr="00E95395">
        <w:rPr>
          <w:rFonts w:ascii="Times New Roman" w:hAnsi="Times New Roman" w:cs="Times New Roman"/>
          <w:sz w:val="28"/>
          <w:szCs w:val="28"/>
        </w:rPr>
        <w:t>C</w:t>
      </w:r>
      <w:r w:rsidR="001B1BF2" w:rsidRPr="00E95395">
        <w:rPr>
          <w:rFonts w:ascii="Times New Roman" w:hAnsi="Times New Roman" w:cs="Times New Roman"/>
        </w:rPr>
        <w:t xml:space="preserve">RITERIA </w:t>
      </w:r>
      <w:r w:rsidR="001B1BF2" w:rsidRPr="00E95395">
        <w:rPr>
          <w:rFonts w:ascii="Times New Roman" w:hAnsi="Times New Roman" w:cs="Times New Roman"/>
          <w:sz w:val="28"/>
          <w:szCs w:val="28"/>
        </w:rPr>
        <w:t>I</w:t>
      </w:r>
      <w:r w:rsidR="001B1BF2" w:rsidRPr="00E95395">
        <w:rPr>
          <w:rFonts w:ascii="Times New Roman" w:hAnsi="Times New Roman" w:cs="Times New Roman"/>
        </w:rPr>
        <w:t xml:space="preserve">S </w:t>
      </w:r>
      <w:r w:rsidR="001B1BF2" w:rsidRPr="00E95395">
        <w:rPr>
          <w:rFonts w:ascii="Times New Roman" w:hAnsi="Times New Roman" w:cs="Times New Roman"/>
          <w:sz w:val="28"/>
          <w:szCs w:val="28"/>
        </w:rPr>
        <w:t>U</w:t>
      </w:r>
      <w:r w:rsidR="001B1BF2" w:rsidRPr="00E95395">
        <w:rPr>
          <w:rFonts w:ascii="Times New Roman" w:hAnsi="Times New Roman" w:cs="Times New Roman"/>
        </w:rPr>
        <w:t xml:space="preserve">SED </w:t>
      </w:r>
      <w:r w:rsidR="001B1BF2" w:rsidRPr="00E95395">
        <w:rPr>
          <w:rFonts w:ascii="Times New Roman" w:hAnsi="Times New Roman" w:cs="Times New Roman"/>
          <w:sz w:val="28"/>
          <w:szCs w:val="28"/>
        </w:rPr>
        <w:t>T</w:t>
      </w:r>
      <w:r w:rsidR="001B1BF2" w:rsidRPr="00E95395">
        <w:rPr>
          <w:rFonts w:ascii="Times New Roman" w:hAnsi="Times New Roman" w:cs="Times New Roman"/>
        </w:rPr>
        <w:t xml:space="preserve">O </w:t>
      </w:r>
      <w:r w:rsidR="001B1BF2" w:rsidRPr="00E95395">
        <w:rPr>
          <w:rFonts w:ascii="Times New Roman" w:hAnsi="Times New Roman" w:cs="Times New Roman"/>
          <w:sz w:val="28"/>
          <w:szCs w:val="28"/>
        </w:rPr>
        <w:t>B</w:t>
      </w:r>
      <w:r w:rsidR="001B1BF2" w:rsidRPr="00E95395">
        <w:rPr>
          <w:rFonts w:ascii="Times New Roman" w:hAnsi="Times New Roman" w:cs="Times New Roman"/>
        </w:rPr>
        <w:t xml:space="preserve">ALANCE </w:t>
      </w:r>
      <w:r w:rsidR="001B1BF2" w:rsidRPr="00E95395">
        <w:rPr>
          <w:rFonts w:ascii="Times New Roman" w:hAnsi="Times New Roman" w:cs="Times New Roman"/>
          <w:sz w:val="28"/>
          <w:szCs w:val="28"/>
        </w:rPr>
        <w:t>I</w:t>
      </w:r>
      <w:r w:rsidR="001B1BF2" w:rsidRPr="00E95395">
        <w:rPr>
          <w:rFonts w:ascii="Times New Roman" w:hAnsi="Times New Roman" w:cs="Times New Roman"/>
        </w:rPr>
        <w:t xml:space="preserve">NDIVIDUAL </w:t>
      </w:r>
      <w:r w:rsidR="001B1BF2" w:rsidRPr="00E95395">
        <w:rPr>
          <w:rFonts w:ascii="Times New Roman" w:hAnsi="Times New Roman" w:cs="Times New Roman"/>
          <w:sz w:val="28"/>
          <w:szCs w:val="28"/>
        </w:rPr>
        <w:t>A</w:t>
      </w:r>
      <w:r w:rsidR="001B1BF2" w:rsidRPr="00E95395">
        <w:rPr>
          <w:rFonts w:ascii="Times New Roman" w:hAnsi="Times New Roman" w:cs="Times New Roman"/>
        </w:rPr>
        <w:t xml:space="preserve">UTONOMY AND </w:t>
      </w:r>
      <w:r w:rsidR="001B1BF2" w:rsidRPr="00E95395">
        <w:rPr>
          <w:rFonts w:ascii="Times New Roman" w:hAnsi="Times New Roman" w:cs="Times New Roman"/>
          <w:sz w:val="28"/>
          <w:szCs w:val="28"/>
        </w:rPr>
        <w:t>S</w:t>
      </w:r>
      <w:r w:rsidR="001B1BF2" w:rsidRPr="00E95395">
        <w:rPr>
          <w:rFonts w:ascii="Times New Roman" w:hAnsi="Times New Roman" w:cs="Times New Roman"/>
        </w:rPr>
        <w:t xml:space="preserve">OCIAL </w:t>
      </w:r>
      <w:r w:rsidR="001B1BF2" w:rsidRPr="00E95395">
        <w:rPr>
          <w:rFonts w:ascii="Times New Roman" w:hAnsi="Times New Roman" w:cs="Times New Roman"/>
          <w:sz w:val="28"/>
          <w:szCs w:val="28"/>
        </w:rPr>
        <w:t>W</w:t>
      </w:r>
      <w:r w:rsidR="001B1BF2" w:rsidRPr="00E95395">
        <w:rPr>
          <w:rFonts w:ascii="Times New Roman" w:hAnsi="Times New Roman" w:cs="Times New Roman"/>
        </w:rPr>
        <w:t xml:space="preserve">ELFARE </w:t>
      </w:r>
      <w:r w:rsidR="001B1BF2" w:rsidRPr="00E95395">
        <w:rPr>
          <w:rFonts w:ascii="Times New Roman" w:hAnsi="Times New Roman" w:cs="Times New Roman"/>
          <w:sz w:val="28"/>
          <w:szCs w:val="28"/>
        </w:rPr>
        <w:t>I</w:t>
      </w:r>
      <w:r w:rsidR="001B1BF2" w:rsidRPr="00E95395">
        <w:rPr>
          <w:rFonts w:ascii="Times New Roman" w:hAnsi="Times New Roman" w:cs="Times New Roman"/>
        </w:rPr>
        <w:t xml:space="preserve">N </w:t>
      </w:r>
      <w:r w:rsidR="001B1BF2" w:rsidRPr="00E95395">
        <w:rPr>
          <w:rFonts w:ascii="Times New Roman" w:hAnsi="Times New Roman" w:cs="Times New Roman"/>
          <w:sz w:val="28"/>
          <w:szCs w:val="28"/>
        </w:rPr>
        <w:t>T</w:t>
      </w:r>
      <w:r w:rsidR="001B1BF2" w:rsidRPr="00E95395">
        <w:rPr>
          <w:rFonts w:ascii="Times New Roman" w:hAnsi="Times New Roman" w:cs="Times New Roman"/>
        </w:rPr>
        <w:t xml:space="preserve">HE </w:t>
      </w:r>
      <w:r w:rsidR="001B1BF2" w:rsidRPr="00E95395">
        <w:rPr>
          <w:rFonts w:ascii="Times New Roman" w:hAnsi="Times New Roman" w:cs="Times New Roman"/>
          <w:sz w:val="28"/>
          <w:szCs w:val="28"/>
        </w:rPr>
        <w:t>C</w:t>
      </w:r>
      <w:r w:rsidR="001B1BF2" w:rsidRPr="00E95395">
        <w:rPr>
          <w:rFonts w:ascii="Times New Roman" w:hAnsi="Times New Roman" w:cs="Times New Roman"/>
        </w:rPr>
        <w:t xml:space="preserve">ONTEXT </w:t>
      </w:r>
      <w:r w:rsidR="001B1BF2" w:rsidRPr="00E95395">
        <w:rPr>
          <w:rFonts w:ascii="Times New Roman" w:hAnsi="Times New Roman" w:cs="Times New Roman"/>
          <w:sz w:val="28"/>
          <w:szCs w:val="28"/>
        </w:rPr>
        <w:t>O</w:t>
      </w:r>
      <w:r w:rsidR="001B1BF2" w:rsidRPr="00E95395">
        <w:rPr>
          <w:rFonts w:ascii="Times New Roman" w:hAnsi="Times New Roman" w:cs="Times New Roman"/>
        </w:rPr>
        <w:t xml:space="preserve">F </w:t>
      </w:r>
      <w:r w:rsidR="001B1BF2" w:rsidRPr="00E95395">
        <w:rPr>
          <w:rFonts w:ascii="Times New Roman" w:hAnsi="Times New Roman" w:cs="Times New Roman"/>
          <w:sz w:val="28"/>
          <w:szCs w:val="28"/>
        </w:rPr>
        <w:t>D</w:t>
      </w:r>
      <w:r w:rsidR="001B1BF2" w:rsidRPr="00E95395">
        <w:rPr>
          <w:rFonts w:ascii="Times New Roman" w:hAnsi="Times New Roman" w:cs="Times New Roman"/>
        </w:rPr>
        <w:t xml:space="preserve">OUBLE </w:t>
      </w:r>
      <w:r w:rsidR="001B1BF2" w:rsidRPr="00E95395">
        <w:rPr>
          <w:rFonts w:ascii="Times New Roman" w:hAnsi="Times New Roman" w:cs="Times New Roman"/>
          <w:sz w:val="28"/>
          <w:szCs w:val="28"/>
        </w:rPr>
        <w:t>J</w:t>
      </w:r>
      <w:r w:rsidR="001B1BF2" w:rsidRPr="00E95395">
        <w:rPr>
          <w:rFonts w:ascii="Times New Roman" w:hAnsi="Times New Roman" w:cs="Times New Roman"/>
        </w:rPr>
        <w:t>EOPARDY?</w:t>
      </w:r>
    </w:p>
    <w:p w:rsidR="000E3B9B" w:rsidRDefault="000E3B9B" w:rsidP="00872B28">
      <w:pPr>
        <w:spacing w:line="360" w:lineRule="auto"/>
        <w:jc w:val="both"/>
        <w:rPr>
          <w:rFonts w:ascii="Times New Roman" w:hAnsi="Times New Roman" w:cs="Times New Roman"/>
        </w:rPr>
      </w:pPr>
    </w:p>
    <w:p w:rsidR="00D94763" w:rsidRDefault="00DE6BAE" w:rsidP="00872B28">
      <w:pPr>
        <w:spacing w:line="360" w:lineRule="auto"/>
        <w:jc w:val="both"/>
        <w:rPr>
          <w:rFonts w:ascii="Times New Roman" w:hAnsi="Times New Roman" w:cs="Times New Roman"/>
        </w:rPr>
      </w:pPr>
      <w:r>
        <w:rPr>
          <w:rFonts w:ascii="Times New Roman" w:hAnsi="Times New Roman" w:cs="Times New Roman"/>
        </w:rPr>
        <w:t xml:space="preserve">The Australian Law Reform Commission’s Interim Report entitled, </w:t>
      </w:r>
      <w:r>
        <w:rPr>
          <w:rFonts w:ascii="Times New Roman" w:hAnsi="Times New Roman" w:cs="Times New Roman"/>
          <w:i/>
        </w:rPr>
        <w:t xml:space="preserve">Traditional Rights and Freedoms – Encroachments by Commonwealth Laws </w:t>
      </w:r>
      <w:r>
        <w:rPr>
          <w:rFonts w:ascii="Times New Roman" w:hAnsi="Times New Roman" w:cs="Times New Roman"/>
        </w:rPr>
        <w:t>suggests that a balance must be struck between individual rights of an accused person who has been acquitted and the social interest that accused persons are convicted and sentenced appropriately.</w:t>
      </w:r>
      <w:r>
        <w:rPr>
          <w:rStyle w:val="FootnoteReference"/>
          <w:rFonts w:ascii="Times New Roman" w:hAnsi="Times New Roman" w:cs="Times New Roman"/>
        </w:rPr>
        <w:footnoteReference w:id="7"/>
      </w:r>
      <w:r w:rsidR="000E3B9B">
        <w:rPr>
          <w:rFonts w:ascii="Times New Roman" w:hAnsi="Times New Roman" w:cs="Times New Roman"/>
        </w:rPr>
        <w:t xml:space="preserve"> </w:t>
      </w:r>
    </w:p>
    <w:p w:rsidR="00D94763" w:rsidRDefault="00D94763" w:rsidP="00D94763">
      <w:pPr>
        <w:spacing w:line="360" w:lineRule="auto"/>
        <w:jc w:val="both"/>
        <w:rPr>
          <w:rFonts w:ascii="Times New Roman" w:hAnsi="Times New Roman" w:cs="Times New Roman"/>
        </w:rPr>
      </w:pPr>
    </w:p>
    <w:p w:rsidR="00D94763" w:rsidRDefault="00D94763" w:rsidP="00D94763">
      <w:pPr>
        <w:spacing w:line="360" w:lineRule="auto"/>
        <w:jc w:val="both"/>
        <w:rPr>
          <w:rFonts w:ascii="Times New Roman" w:hAnsi="Times New Roman" w:cs="Times New Roman"/>
        </w:rPr>
      </w:pPr>
      <w:r>
        <w:rPr>
          <w:rFonts w:ascii="Times New Roman" w:hAnsi="Times New Roman" w:cs="Times New Roman"/>
        </w:rPr>
        <w:t xml:space="preserve">Paragraph [10.135] of the Australian Law Reform Commission’s Interim Report entitled, </w:t>
      </w:r>
      <w:r>
        <w:rPr>
          <w:rFonts w:ascii="Times New Roman" w:hAnsi="Times New Roman" w:cs="Times New Roman"/>
          <w:i/>
        </w:rPr>
        <w:t xml:space="preserve">Traditional Rights and Freedoms – Encroachments by Commonwealth Laws </w:t>
      </w:r>
      <w:r>
        <w:rPr>
          <w:rFonts w:ascii="Times New Roman" w:hAnsi="Times New Roman" w:cs="Times New Roman"/>
        </w:rPr>
        <w:t>states:</w:t>
      </w:r>
    </w:p>
    <w:p w:rsidR="00D94763" w:rsidRDefault="00D94763" w:rsidP="00D94763">
      <w:pPr>
        <w:spacing w:line="360" w:lineRule="auto"/>
        <w:jc w:val="both"/>
        <w:rPr>
          <w:rFonts w:ascii="Times New Roman" w:hAnsi="Times New Roman" w:cs="Times New Roman"/>
        </w:rPr>
      </w:pPr>
    </w:p>
    <w:p w:rsidR="00D94763" w:rsidRPr="000E3B9B" w:rsidRDefault="00D94763" w:rsidP="00D94763">
      <w:pPr>
        <w:spacing w:line="360" w:lineRule="auto"/>
        <w:ind w:left="720"/>
        <w:jc w:val="both"/>
        <w:rPr>
          <w:rFonts w:ascii="Times New Roman" w:hAnsi="Times New Roman" w:cs="Times New Roman"/>
        </w:rPr>
      </w:pPr>
      <w:r>
        <w:rPr>
          <w:rFonts w:ascii="Times New Roman" w:hAnsi="Times New Roman" w:cs="Times New Roman"/>
        </w:rPr>
        <w:t xml:space="preserve">‘Professor Gans suggested two general criteria that might be used to assess the question of justification [for limiting double jeopardy]. These are, first, ‘does the law contain appropriate constraints to ensure that the prosecutor cannot take </w:t>
      </w:r>
      <w:r>
        <w:rPr>
          <w:rFonts w:ascii="Times New Roman" w:hAnsi="Times New Roman" w:cs="Times New Roman"/>
        </w:rPr>
        <w:lastRenderedPageBreak/>
        <w:t>advantage of the process to simply make repeated attempts to try a defendant until he or she is fortuitously convicted?’, and second, ‘do defendants have at least the same ability to appeal against a final conviction?’.</w:t>
      </w:r>
    </w:p>
    <w:p w:rsidR="00D94763" w:rsidRDefault="00D94763" w:rsidP="00D94763">
      <w:pPr>
        <w:spacing w:line="360" w:lineRule="auto"/>
        <w:jc w:val="both"/>
        <w:rPr>
          <w:rFonts w:ascii="Times New Roman" w:hAnsi="Times New Roman" w:cs="Times New Roman"/>
        </w:rPr>
      </w:pPr>
    </w:p>
    <w:p w:rsidR="00D94763" w:rsidRDefault="00D94763" w:rsidP="00D94763">
      <w:pPr>
        <w:spacing w:line="360" w:lineRule="auto"/>
        <w:jc w:val="both"/>
        <w:rPr>
          <w:rFonts w:ascii="Times New Roman" w:hAnsi="Times New Roman" w:cs="Times New Roman"/>
        </w:rPr>
      </w:pPr>
      <w:r>
        <w:rPr>
          <w:rFonts w:ascii="Times New Roman" w:hAnsi="Times New Roman" w:cs="Times New Roman"/>
        </w:rPr>
        <w:t xml:space="preserve">The first question underscores the importance of the finality principle, which </w:t>
      </w:r>
      <w:r w:rsidR="00CE55F7">
        <w:rPr>
          <w:rFonts w:ascii="Times New Roman" w:hAnsi="Times New Roman" w:cs="Times New Roman"/>
        </w:rPr>
        <w:t xml:space="preserve">will be </w:t>
      </w:r>
      <w:r>
        <w:rPr>
          <w:rFonts w:ascii="Times New Roman" w:hAnsi="Times New Roman" w:cs="Times New Roman"/>
        </w:rPr>
        <w:t xml:space="preserve">briefly </w:t>
      </w:r>
      <w:r w:rsidR="00CE55F7">
        <w:rPr>
          <w:rFonts w:ascii="Times New Roman" w:hAnsi="Times New Roman" w:cs="Times New Roman"/>
        </w:rPr>
        <w:t>outlined below</w:t>
      </w:r>
      <w:r>
        <w:rPr>
          <w:rFonts w:ascii="Times New Roman" w:hAnsi="Times New Roman" w:cs="Times New Roman"/>
        </w:rPr>
        <w:t>.  The legislative exceptions to double jeopardy, for example, in Queensland,</w:t>
      </w:r>
      <w:r>
        <w:rPr>
          <w:rStyle w:val="FootnoteReference"/>
          <w:rFonts w:ascii="Times New Roman" w:hAnsi="Times New Roman" w:cs="Times New Roman"/>
        </w:rPr>
        <w:footnoteReference w:id="8"/>
      </w:r>
      <w:r>
        <w:rPr>
          <w:rFonts w:ascii="Times New Roman" w:hAnsi="Times New Roman" w:cs="Times New Roman"/>
        </w:rPr>
        <w:t xml:space="preserve"> value finality by only permitting one retrial.  The finality principle is certainly a worthwhile criterion in balancing individual autonomy and social welfare in the context of double jeopardy.  </w:t>
      </w:r>
    </w:p>
    <w:p w:rsidR="00D94763" w:rsidRDefault="00D94763" w:rsidP="00D94763">
      <w:pPr>
        <w:spacing w:line="360" w:lineRule="auto"/>
        <w:jc w:val="both"/>
        <w:rPr>
          <w:rFonts w:ascii="Times New Roman" w:hAnsi="Times New Roman" w:cs="Times New Roman"/>
        </w:rPr>
      </w:pPr>
    </w:p>
    <w:p w:rsidR="00D94763" w:rsidRDefault="00D94763" w:rsidP="00D94763">
      <w:pPr>
        <w:spacing w:line="360" w:lineRule="auto"/>
        <w:jc w:val="both"/>
        <w:rPr>
          <w:rFonts w:ascii="Times New Roman" w:hAnsi="Times New Roman" w:cs="Times New Roman"/>
        </w:rPr>
      </w:pPr>
      <w:r>
        <w:rPr>
          <w:rFonts w:ascii="Times New Roman" w:hAnsi="Times New Roman" w:cs="Times New Roman"/>
        </w:rPr>
        <w:t>The second question focusses on an appeal from a conviction, rather than an appeal from an acquittal.  This submission</w:t>
      </w:r>
      <w:r w:rsidR="00CE55F7">
        <w:rPr>
          <w:rFonts w:ascii="Times New Roman" w:hAnsi="Times New Roman" w:cs="Times New Roman"/>
        </w:rPr>
        <w:t>, and indeed the Australian Law Reform Commission’s Report,</w:t>
      </w:r>
      <w:r>
        <w:rPr>
          <w:rFonts w:ascii="Times New Roman" w:hAnsi="Times New Roman" w:cs="Times New Roman"/>
        </w:rPr>
        <w:t xml:space="preserve"> is concerned with an appeal from an acquittal.  </w:t>
      </w:r>
    </w:p>
    <w:p w:rsidR="00734798" w:rsidRDefault="00734798" w:rsidP="00734798">
      <w:pPr>
        <w:spacing w:line="360" w:lineRule="auto"/>
        <w:jc w:val="both"/>
        <w:rPr>
          <w:rFonts w:ascii="Times New Roman" w:hAnsi="Times New Roman" w:cs="Times New Roman"/>
        </w:rPr>
      </w:pPr>
    </w:p>
    <w:p w:rsidR="00734798" w:rsidRDefault="00734798" w:rsidP="00734798">
      <w:pPr>
        <w:spacing w:line="360" w:lineRule="auto"/>
        <w:jc w:val="both"/>
        <w:rPr>
          <w:rFonts w:ascii="Times New Roman" w:hAnsi="Times New Roman" w:cs="Times New Roman"/>
        </w:rPr>
      </w:pPr>
      <w:r>
        <w:rPr>
          <w:rFonts w:ascii="Times New Roman" w:hAnsi="Times New Roman" w:cs="Times New Roman"/>
        </w:rPr>
        <w:t>Associate Professor Marilyn McMahon</w:t>
      </w:r>
      <w:r>
        <w:rPr>
          <w:rStyle w:val="FootnoteReference"/>
          <w:rFonts w:ascii="Times New Roman" w:hAnsi="Times New Roman" w:cs="Times New Roman"/>
        </w:rPr>
        <w:footnoteReference w:id="9"/>
      </w:r>
      <w:r>
        <w:rPr>
          <w:rFonts w:ascii="Times New Roman" w:hAnsi="Times New Roman" w:cs="Times New Roman"/>
        </w:rPr>
        <w:t xml:space="preserve"> asserts that prosecution appeals should be instituted only in exceptional circumstances</w:t>
      </w:r>
      <w:r>
        <w:rPr>
          <w:rStyle w:val="FootnoteReference"/>
          <w:rFonts w:ascii="Times New Roman" w:hAnsi="Times New Roman" w:cs="Times New Roman"/>
        </w:rPr>
        <w:footnoteReference w:id="10"/>
      </w:r>
      <w:r>
        <w:rPr>
          <w:rFonts w:ascii="Times New Roman" w:hAnsi="Times New Roman" w:cs="Times New Roman"/>
        </w:rPr>
        <w:t xml:space="preserve"> and that statutory provisions conferring such rights will be strictly construed.</w:t>
      </w:r>
      <w:r>
        <w:rPr>
          <w:rStyle w:val="FootnoteReference"/>
          <w:rFonts w:ascii="Times New Roman" w:hAnsi="Times New Roman" w:cs="Times New Roman"/>
        </w:rPr>
        <w:footnoteReference w:id="11"/>
      </w:r>
      <w:r>
        <w:rPr>
          <w:rFonts w:ascii="Times New Roman" w:hAnsi="Times New Roman" w:cs="Times New Roman"/>
        </w:rPr>
        <w:t xml:space="preserve"> Regardless, recent reforms pertaining to double jeopardy have led to the revision of this principle.</w:t>
      </w:r>
      <w:r>
        <w:rPr>
          <w:rStyle w:val="FootnoteReference"/>
          <w:rFonts w:ascii="Times New Roman" w:hAnsi="Times New Roman" w:cs="Times New Roman"/>
        </w:rPr>
        <w:footnoteReference w:id="12"/>
      </w:r>
      <w:r>
        <w:rPr>
          <w:rFonts w:ascii="Times New Roman" w:hAnsi="Times New Roman" w:cs="Times New Roman"/>
        </w:rPr>
        <w:t xml:space="preserve"> The recognition that there is a significant difference between setting aside a conviction and setting aside an acquittal was reflected in </w:t>
      </w:r>
      <w:r w:rsidRPr="00BA776C">
        <w:rPr>
          <w:rFonts w:ascii="Times New Roman" w:hAnsi="Times New Roman" w:cs="Times New Roman"/>
          <w:i/>
        </w:rPr>
        <w:t>R v Jessop</w:t>
      </w:r>
      <w:r>
        <w:rPr>
          <w:rFonts w:ascii="Times New Roman" w:hAnsi="Times New Roman" w:cs="Times New Roman"/>
          <w:i/>
        </w:rPr>
        <w:t>.</w:t>
      </w:r>
      <w:r>
        <w:rPr>
          <w:rStyle w:val="FootnoteReference"/>
          <w:rFonts w:ascii="Times New Roman" w:hAnsi="Times New Roman" w:cs="Times New Roman"/>
        </w:rPr>
        <w:footnoteReference w:id="13"/>
      </w:r>
      <w:r>
        <w:rPr>
          <w:rFonts w:ascii="Times New Roman" w:hAnsi="Times New Roman" w:cs="Times New Roman"/>
        </w:rPr>
        <w:t xml:space="preserve">  The distinction reflects Blackstone’s classic maxim, ‘it is better that ten guilty persons escape than one innocent person suffer’.</w:t>
      </w:r>
      <w:r>
        <w:rPr>
          <w:rStyle w:val="FootnoteReference"/>
          <w:rFonts w:ascii="Times New Roman" w:hAnsi="Times New Roman" w:cs="Times New Roman"/>
        </w:rPr>
        <w:footnoteReference w:id="14"/>
      </w:r>
      <w:r>
        <w:rPr>
          <w:rFonts w:ascii="Times New Roman" w:hAnsi="Times New Roman" w:cs="Times New Roman"/>
          <w:i/>
        </w:rPr>
        <w:t xml:space="preserve"> </w:t>
      </w:r>
    </w:p>
    <w:p w:rsidR="00D94763" w:rsidRDefault="00D94763" w:rsidP="00872B28">
      <w:pPr>
        <w:spacing w:line="360" w:lineRule="auto"/>
        <w:jc w:val="both"/>
        <w:rPr>
          <w:rFonts w:ascii="Times New Roman" w:hAnsi="Times New Roman" w:cs="Times New Roman"/>
        </w:rPr>
      </w:pPr>
    </w:p>
    <w:p w:rsidR="000E3B9B" w:rsidRDefault="000E3B9B" w:rsidP="00872B28">
      <w:pPr>
        <w:spacing w:line="360" w:lineRule="auto"/>
        <w:jc w:val="both"/>
        <w:rPr>
          <w:rFonts w:ascii="Times New Roman" w:hAnsi="Times New Roman" w:cs="Times New Roman"/>
        </w:rPr>
      </w:pPr>
      <w:r>
        <w:rPr>
          <w:rFonts w:ascii="Times New Roman" w:hAnsi="Times New Roman" w:cs="Times New Roman"/>
        </w:rPr>
        <w:t>Individual autonomy and social welfare are two competing interests, and balancing them is challenging</w:t>
      </w:r>
      <w:r w:rsidR="00CE55F7">
        <w:rPr>
          <w:rFonts w:ascii="Times New Roman" w:hAnsi="Times New Roman" w:cs="Times New Roman"/>
        </w:rPr>
        <w:t xml:space="preserve"> and depends on the context</w:t>
      </w:r>
      <w:r>
        <w:rPr>
          <w:rFonts w:ascii="Times New Roman" w:hAnsi="Times New Roman" w:cs="Times New Roman"/>
        </w:rPr>
        <w:t>.</w:t>
      </w:r>
      <w:r w:rsidR="00AF7967">
        <w:rPr>
          <w:rFonts w:ascii="Times New Roman" w:hAnsi="Times New Roman" w:cs="Times New Roman"/>
        </w:rPr>
        <w:t xml:space="preserve">  Arguably, the arguments for and against double jeopardy, which are </w:t>
      </w:r>
      <w:r w:rsidR="00211A5C">
        <w:rPr>
          <w:rFonts w:ascii="Times New Roman" w:hAnsi="Times New Roman" w:cs="Times New Roman"/>
        </w:rPr>
        <w:t>briefly outlined above</w:t>
      </w:r>
      <w:r w:rsidR="00AF7967">
        <w:rPr>
          <w:rFonts w:ascii="Times New Roman" w:hAnsi="Times New Roman" w:cs="Times New Roman"/>
        </w:rPr>
        <w:t xml:space="preserve">, provide a useful starting point in </w:t>
      </w:r>
      <w:r w:rsidR="00211A5C">
        <w:rPr>
          <w:rFonts w:ascii="Times New Roman" w:hAnsi="Times New Roman" w:cs="Times New Roman"/>
        </w:rPr>
        <w:t xml:space="preserve">determining how to </w:t>
      </w:r>
      <w:r w:rsidR="00AF7967">
        <w:rPr>
          <w:rFonts w:ascii="Times New Roman" w:hAnsi="Times New Roman" w:cs="Times New Roman"/>
        </w:rPr>
        <w:t>balanc</w:t>
      </w:r>
      <w:r w:rsidR="00211A5C">
        <w:rPr>
          <w:rFonts w:ascii="Times New Roman" w:hAnsi="Times New Roman" w:cs="Times New Roman"/>
        </w:rPr>
        <w:t xml:space="preserve">e </w:t>
      </w:r>
      <w:r w:rsidR="00AF7967">
        <w:rPr>
          <w:rFonts w:ascii="Times New Roman" w:hAnsi="Times New Roman" w:cs="Times New Roman"/>
        </w:rPr>
        <w:t xml:space="preserve">these two competing interests.  </w:t>
      </w:r>
      <w:r w:rsidR="00211A5C">
        <w:rPr>
          <w:rFonts w:ascii="Times New Roman" w:hAnsi="Times New Roman" w:cs="Times New Roman"/>
        </w:rPr>
        <w:t>Further</w:t>
      </w:r>
      <w:r w:rsidR="00AF7967">
        <w:rPr>
          <w:rFonts w:ascii="Times New Roman" w:hAnsi="Times New Roman" w:cs="Times New Roman"/>
        </w:rPr>
        <w:t xml:space="preserve">, </w:t>
      </w:r>
      <w:r w:rsidR="00211A5C">
        <w:rPr>
          <w:rFonts w:ascii="Times New Roman" w:hAnsi="Times New Roman" w:cs="Times New Roman"/>
        </w:rPr>
        <w:t xml:space="preserve">identifying the salient features of the State and Territory statutory exceptions to double jeopardy, </w:t>
      </w:r>
      <w:r w:rsidR="00211A5C">
        <w:rPr>
          <w:rFonts w:ascii="Times New Roman" w:hAnsi="Times New Roman" w:cs="Times New Roman"/>
        </w:rPr>
        <w:lastRenderedPageBreak/>
        <w:t>including the procedural safeguards</w:t>
      </w:r>
      <w:r w:rsidR="00E15ECD">
        <w:rPr>
          <w:rFonts w:ascii="Times New Roman" w:hAnsi="Times New Roman" w:cs="Times New Roman"/>
        </w:rPr>
        <w:t xml:space="preserve">, </w:t>
      </w:r>
      <w:r w:rsidR="00D94763">
        <w:rPr>
          <w:rFonts w:ascii="Times New Roman" w:hAnsi="Times New Roman" w:cs="Times New Roman"/>
        </w:rPr>
        <w:t xml:space="preserve">provides a framework for justifying how to limit double jeopardy, which in turns informs how </w:t>
      </w:r>
      <w:r w:rsidR="00E15ECD">
        <w:rPr>
          <w:rFonts w:ascii="Times New Roman" w:hAnsi="Times New Roman" w:cs="Times New Roman"/>
        </w:rPr>
        <w:t xml:space="preserve">individual autonomy has been balanced against social welfare in practice.  </w:t>
      </w:r>
    </w:p>
    <w:p w:rsidR="00CE55F7" w:rsidRDefault="00CE55F7" w:rsidP="00872B28">
      <w:pPr>
        <w:spacing w:line="360" w:lineRule="auto"/>
        <w:jc w:val="both"/>
        <w:rPr>
          <w:rFonts w:ascii="Times New Roman" w:hAnsi="Times New Roman" w:cs="Times New Roman"/>
        </w:rPr>
      </w:pPr>
    </w:p>
    <w:p w:rsidR="00CE55F7" w:rsidRPr="00DC1C6A" w:rsidRDefault="00CE55F7" w:rsidP="00CE55F7">
      <w:pPr>
        <w:spacing w:line="360" w:lineRule="auto"/>
        <w:jc w:val="center"/>
        <w:rPr>
          <w:rFonts w:ascii="Times New Roman" w:hAnsi="Times New Roman" w:cs="Times New Roman"/>
          <w:b/>
          <w:i/>
        </w:rPr>
      </w:pPr>
      <w:r w:rsidRPr="00215761">
        <w:rPr>
          <w:rFonts w:ascii="Times New Roman" w:hAnsi="Times New Roman" w:cs="Times New Roman"/>
          <w:sz w:val="28"/>
          <w:szCs w:val="28"/>
        </w:rPr>
        <w:t>A</w:t>
      </w:r>
      <w:r w:rsidRPr="00DC1C6A">
        <w:rPr>
          <w:rFonts w:ascii="Times New Roman" w:hAnsi="Times New Roman" w:cs="Times New Roman"/>
          <w:sz w:val="28"/>
          <w:szCs w:val="28"/>
        </w:rPr>
        <w:t xml:space="preserve"> </w:t>
      </w:r>
      <w:r w:rsidRPr="00DC1C6A">
        <w:rPr>
          <w:rFonts w:ascii="Times New Roman" w:hAnsi="Times New Roman" w:cs="Times New Roman"/>
          <w:i/>
          <w:sz w:val="28"/>
          <w:szCs w:val="28"/>
        </w:rPr>
        <w:t xml:space="preserve"> </w:t>
      </w:r>
      <w:r w:rsidRPr="00215761">
        <w:rPr>
          <w:rFonts w:ascii="Times New Roman" w:hAnsi="Times New Roman" w:cs="Times New Roman"/>
          <w:i/>
        </w:rPr>
        <w:t xml:space="preserve">What are the </w:t>
      </w:r>
      <w:r>
        <w:rPr>
          <w:rFonts w:ascii="Times New Roman" w:hAnsi="Times New Roman" w:cs="Times New Roman"/>
          <w:i/>
        </w:rPr>
        <w:t>A</w:t>
      </w:r>
      <w:r w:rsidRPr="00215761">
        <w:rPr>
          <w:rFonts w:ascii="Times New Roman" w:hAnsi="Times New Roman" w:cs="Times New Roman"/>
          <w:i/>
        </w:rPr>
        <w:t xml:space="preserve">rguments for </w:t>
      </w:r>
      <w:r>
        <w:rPr>
          <w:rFonts w:ascii="Times New Roman" w:hAnsi="Times New Roman" w:cs="Times New Roman"/>
          <w:i/>
        </w:rPr>
        <w:t>D</w:t>
      </w:r>
      <w:r w:rsidRPr="00215761">
        <w:rPr>
          <w:rFonts w:ascii="Times New Roman" w:hAnsi="Times New Roman" w:cs="Times New Roman"/>
          <w:i/>
        </w:rPr>
        <w:t xml:space="preserve">ouble </w:t>
      </w:r>
      <w:r>
        <w:rPr>
          <w:rFonts w:ascii="Times New Roman" w:hAnsi="Times New Roman" w:cs="Times New Roman"/>
          <w:i/>
        </w:rPr>
        <w:t>J</w:t>
      </w:r>
      <w:r w:rsidRPr="00215761">
        <w:rPr>
          <w:rFonts w:ascii="Times New Roman" w:hAnsi="Times New Roman" w:cs="Times New Roman"/>
          <w:i/>
        </w:rPr>
        <w:t>eopardy?</w:t>
      </w:r>
    </w:p>
    <w:p w:rsidR="00E95395" w:rsidRDefault="00E95395" w:rsidP="00CE55F7">
      <w:pPr>
        <w:spacing w:line="360" w:lineRule="auto"/>
        <w:jc w:val="both"/>
        <w:rPr>
          <w:rFonts w:ascii="Times New Roman" w:hAnsi="Times New Roman" w:cs="Times New Roman"/>
        </w:rPr>
      </w:pPr>
    </w:p>
    <w:p w:rsidR="00CE55F7" w:rsidRDefault="00CE55F7" w:rsidP="00CE55F7">
      <w:pPr>
        <w:spacing w:line="360" w:lineRule="auto"/>
        <w:jc w:val="both"/>
        <w:rPr>
          <w:rFonts w:ascii="Times New Roman" w:hAnsi="Times New Roman" w:cs="Times New Roman"/>
        </w:rPr>
      </w:pPr>
      <w:r>
        <w:rPr>
          <w:rFonts w:ascii="Times New Roman" w:hAnsi="Times New Roman" w:cs="Times New Roman"/>
        </w:rPr>
        <w:t xml:space="preserve">The </w:t>
      </w:r>
      <w:r w:rsidRPr="00E95395">
        <w:rPr>
          <w:rFonts w:ascii="Times New Roman" w:hAnsi="Times New Roman" w:cs="Times New Roman"/>
        </w:rPr>
        <w:t>finality principle</w:t>
      </w:r>
      <w:r>
        <w:rPr>
          <w:rFonts w:ascii="Times New Roman" w:hAnsi="Times New Roman" w:cs="Times New Roman"/>
        </w:rPr>
        <w:t xml:space="preserve"> is the fundamental principle supporting double jeopardy.  The finality principle prevents a retrial of an acquitted person.  The policy underpinning the finality principle is that State and Federal agencies should not be allowed to continually harass an accused person in an effort to obtain a conviction.</w:t>
      </w:r>
      <w:r>
        <w:rPr>
          <w:rStyle w:val="FootnoteReference"/>
          <w:rFonts w:ascii="Times New Roman" w:hAnsi="Times New Roman" w:cs="Times New Roman"/>
        </w:rPr>
        <w:footnoteReference w:id="15"/>
      </w:r>
      <w:r>
        <w:rPr>
          <w:rFonts w:ascii="Times New Roman" w:hAnsi="Times New Roman" w:cs="Times New Roman"/>
        </w:rPr>
        <w:t xml:space="preserve"> Finality promotes closure, confidence in judicial outcomes, underpins the sanctity of the jury verdict,</w:t>
      </w:r>
      <w:r>
        <w:rPr>
          <w:rStyle w:val="FootnoteReference"/>
          <w:rFonts w:ascii="Times New Roman" w:hAnsi="Times New Roman" w:cs="Times New Roman"/>
        </w:rPr>
        <w:footnoteReference w:id="16"/>
      </w:r>
      <w:r>
        <w:rPr>
          <w:rFonts w:ascii="Times New Roman" w:hAnsi="Times New Roman" w:cs="Times New Roman"/>
        </w:rPr>
        <w:t xml:space="preserve"> efficiently uses community resources and curbs the unfettered power of the State. Ultimately, the finality principle resonates with an efficient criminal justice system.</w:t>
      </w:r>
      <w:r>
        <w:rPr>
          <w:rStyle w:val="FootnoteReference"/>
          <w:rFonts w:ascii="Times New Roman" w:hAnsi="Times New Roman" w:cs="Times New Roman"/>
        </w:rPr>
        <w:footnoteReference w:id="17"/>
      </w:r>
      <w:r>
        <w:rPr>
          <w:rFonts w:ascii="Times New Roman" w:hAnsi="Times New Roman" w:cs="Times New Roman"/>
        </w:rPr>
        <w:t xml:space="preserve"> </w:t>
      </w:r>
    </w:p>
    <w:p w:rsidR="00CE55F7" w:rsidRDefault="00CE55F7" w:rsidP="00CE55F7">
      <w:pPr>
        <w:spacing w:line="360" w:lineRule="auto"/>
        <w:jc w:val="both"/>
        <w:rPr>
          <w:rFonts w:ascii="Times New Roman" w:hAnsi="Times New Roman" w:cs="Times New Roman"/>
        </w:rPr>
      </w:pPr>
    </w:p>
    <w:p w:rsidR="00CE55F7" w:rsidRDefault="00CE55F7" w:rsidP="00CE55F7">
      <w:pPr>
        <w:spacing w:line="360" w:lineRule="auto"/>
        <w:jc w:val="both"/>
        <w:rPr>
          <w:rFonts w:ascii="Times New Roman" w:hAnsi="Times New Roman" w:cs="Times New Roman"/>
        </w:rPr>
      </w:pPr>
      <w:r>
        <w:rPr>
          <w:rFonts w:ascii="Times New Roman" w:hAnsi="Times New Roman" w:cs="Times New Roman"/>
        </w:rPr>
        <w:t>Further, the finality principle reinforces the importance of police officers conducting diligent investigations in preparation for the first trial of an accused person, promotes prosecutorial diligence and reduces the risk of a wrongful conviction.</w:t>
      </w:r>
      <w:r>
        <w:rPr>
          <w:rStyle w:val="FootnoteReference"/>
          <w:rFonts w:ascii="Times New Roman" w:hAnsi="Times New Roman" w:cs="Times New Roman"/>
        </w:rPr>
        <w:footnoteReference w:id="18"/>
      </w:r>
      <w:r>
        <w:rPr>
          <w:rFonts w:ascii="Times New Roman" w:hAnsi="Times New Roman" w:cs="Times New Roman"/>
        </w:rPr>
        <w:t xml:space="preserve"> It has been suggested that abolishing double jeopardy, and thus, the principle of finality, could lead to increased police corruption</w:t>
      </w:r>
      <w:r>
        <w:rPr>
          <w:rStyle w:val="FootnoteReference"/>
          <w:rFonts w:ascii="Times New Roman" w:hAnsi="Times New Roman" w:cs="Times New Roman"/>
        </w:rPr>
        <w:footnoteReference w:id="19"/>
      </w:r>
      <w:r>
        <w:rPr>
          <w:rFonts w:ascii="Times New Roman" w:hAnsi="Times New Roman" w:cs="Times New Roman"/>
        </w:rPr>
        <w:t xml:space="preserve"> with officers undertaking less thorough investigative efforts as a result of having more than one opportunity to try an accused person.  </w:t>
      </w:r>
    </w:p>
    <w:p w:rsidR="00CE55F7" w:rsidRDefault="00CE55F7" w:rsidP="00CE55F7">
      <w:pPr>
        <w:spacing w:line="360" w:lineRule="auto"/>
        <w:jc w:val="both"/>
        <w:rPr>
          <w:rFonts w:ascii="Times New Roman" w:hAnsi="Times New Roman" w:cs="Times New Roman"/>
        </w:rPr>
      </w:pPr>
    </w:p>
    <w:p w:rsidR="00CE55F7" w:rsidRDefault="00CE55F7" w:rsidP="00CE55F7">
      <w:pPr>
        <w:spacing w:line="360" w:lineRule="auto"/>
        <w:jc w:val="both"/>
        <w:rPr>
          <w:rFonts w:ascii="Times New Roman" w:hAnsi="Times New Roman" w:cs="Times New Roman"/>
        </w:rPr>
      </w:pPr>
      <w:r>
        <w:rPr>
          <w:rFonts w:ascii="Times New Roman" w:hAnsi="Times New Roman" w:cs="Times New Roman"/>
        </w:rPr>
        <w:t>Arguably, abolishing double jeopardy and thus the finality principle may be unfair</w:t>
      </w:r>
      <w:r>
        <w:rPr>
          <w:rStyle w:val="FootnoteReference"/>
          <w:rFonts w:ascii="Times New Roman" w:hAnsi="Times New Roman" w:cs="Times New Roman"/>
        </w:rPr>
        <w:footnoteReference w:id="20"/>
      </w:r>
      <w:r>
        <w:rPr>
          <w:rFonts w:ascii="Times New Roman" w:hAnsi="Times New Roman" w:cs="Times New Roman"/>
        </w:rPr>
        <w:t xml:space="preserve">  to an accused person, particularly if a retrial has attracted a heightened awareness by the media and public, challenging the impartiality of jurors. </w:t>
      </w:r>
    </w:p>
    <w:p w:rsidR="00CE55F7" w:rsidRDefault="00CE55F7" w:rsidP="00CE55F7">
      <w:pPr>
        <w:spacing w:line="360" w:lineRule="auto"/>
        <w:jc w:val="both"/>
        <w:rPr>
          <w:rFonts w:ascii="Times New Roman" w:hAnsi="Times New Roman" w:cs="Times New Roman"/>
        </w:rPr>
      </w:pPr>
    </w:p>
    <w:p w:rsidR="00CE55F7" w:rsidRPr="00215761" w:rsidRDefault="00CE55F7" w:rsidP="00CE55F7">
      <w:pPr>
        <w:spacing w:line="360" w:lineRule="auto"/>
        <w:jc w:val="center"/>
        <w:rPr>
          <w:rFonts w:ascii="Times New Roman" w:hAnsi="Times New Roman" w:cs="Times New Roman"/>
          <w:i/>
        </w:rPr>
      </w:pPr>
      <w:r>
        <w:rPr>
          <w:rFonts w:ascii="Times New Roman" w:hAnsi="Times New Roman" w:cs="Times New Roman"/>
          <w:sz w:val="28"/>
          <w:szCs w:val="28"/>
        </w:rPr>
        <w:lastRenderedPageBreak/>
        <w:t>B</w:t>
      </w:r>
      <w:r>
        <w:rPr>
          <w:rFonts w:ascii="Times New Roman" w:hAnsi="Times New Roman" w:cs="Times New Roman"/>
          <w:b/>
          <w:sz w:val="28"/>
          <w:szCs w:val="28"/>
        </w:rPr>
        <w:t xml:space="preserve">  </w:t>
      </w:r>
      <w:r w:rsidRPr="00215761">
        <w:rPr>
          <w:rFonts w:ascii="Times New Roman" w:hAnsi="Times New Roman" w:cs="Times New Roman"/>
          <w:i/>
        </w:rPr>
        <w:t xml:space="preserve">What are the </w:t>
      </w:r>
      <w:r>
        <w:rPr>
          <w:rFonts w:ascii="Times New Roman" w:hAnsi="Times New Roman" w:cs="Times New Roman"/>
          <w:i/>
        </w:rPr>
        <w:t>A</w:t>
      </w:r>
      <w:r w:rsidRPr="00215761">
        <w:rPr>
          <w:rFonts w:ascii="Times New Roman" w:hAnsi="Times New Roman" w:cs="Times New Roman"/>
          <w:i/>
        </w:rPr>
        <w:t xml:space="preserve">rguments </w:t>
      </w:r>
      <w:r>
        <w:rPr>
          <w:rFonts w:ascii="Times New Roman" w:hAnsi="Times New Roman" w:cs="Times New Roman"/>
          <w:i/>
        </w:rPr>
        <w:t>a</w:t>
      </w:r>
      <w:r w:rsidRPr="00215761">
        <w:rPr>
          <w:rFonts w:ascii="Times New Roman" w:hAnsi="Times New Roman" w:cs="Times New Roman"/>
          <w:i/>
        </w:rPr>
        <w:t xml:space="preserve">gainst </w:t>
      </w:r>
      <w:r>
        <w:rPr>
          <w:rFonts w:ascii="Times New Roman" w:hAnsi="Times New Roman" w:cs="Times New Roman"/>
          <w:i/>
        </w:rPr>
        <w:t>D</w:t>
      </w:r>
      <w:r w:rsidRPr="00215761">
        <w:rPr>
          <w:rFonts w:ascii="Times New Roman" w:hAnsi="Times New Roman" w:cs="Times New Roman"/>
          <w:i/>
        </w:rPr>
        <w:t xml:space="preserve">ouble </w:t>
      </w:r>
      <w:r>
        <w:rPr>
          <w:rFonts w:ascii="Times New Roman" w:hAnsi="Times New Roman" w:cs="Times New Roman"/>
          <w:i/>
        </w:rPr>
        <w:t>J</w:t>
      </w:r>
      <w:r w:rsidRPr="00215761">
        <w:rPr>
          <w:rFonts w:ascii="Times New Roman" w:hAnsi="Times New Roman" w:cs="Times New Roman"/>
          <w:i/>
        </w:rPr>
        <w:t>eopardy?</w:t>
      </w:r>
    </w:p>
    <w:p w:rsidR="00E95395" w:rsidRDefault="00E95395" w:rsidP="00CE55F7">
      <w:pPr>
        <w:spacing w:line="360" w:lineRule="auto"/>
        <w:jc w:val="both"/>
        <w:rPr>
          <w:rFonts w:ascii="Times New Roman" w:hAnsi="Times New Roman" w:cs="Times New Roman"/>
        </w:rPr>
      </w:pPr>
    </w:p>
    <w:p w:rsidR="00CE55F7" w:rsidRDefault="00CE55F7" w:rsidP="00CE55F7">
      <w:pPr>
        <w:spacing w:line="360" w:lineRule="auto"/>
        <w:jc w:val="both"/>
        <w:rPr>
          <w:rFonts w:ascii="Times New Roman" w:hAnsi="Times New Roman" w:cs="Times New Roman"/>
        </w:rPr>
      </w:pPr>
      <w:r>
        <w:rPr>
          <w:rFonts w:ascii="Times New Roman" w:hAnsi="Times New Roman" w:cs="Times New Roman"/>
        </w:rPr>
        <w:t>A key argument against double jeopardy is the need to capitalise on advances in forensic science, which provide fresh and compelling evidence after an accused person has been acquitted.</w:t>
      </w:r>
      <w:r>
        <w:rPr>
          <w:rStyle w:val="FootnoteReference"/>
          <w:rFonts w:ascii="Times New Roman" w:hAnsi="Times New Roman" w:cs="Times New Roman"/>
        </w:rPr>
        <w:footnoteReference w:id="21"/>
      </w:r>
      <w:r>
        <w:rPr>
          <w:rFonts w:ascii="Times New Roman" w:hAnsi="Times New Roman" w:cs="Times New Roman"/>
        </w:rPr>
        <w:t xml:space="preserve">  Lincoln and Bennetts</w:t>
      </w:r>
      <w:r>
        <w:rPr>
          <w:rStyle w:val="FootnoteReference"/>
          <w:rFonts w:ascii="Times New Roman" w:hAnsi="Times New Roman" w:cs="Times New Roman"/>
        </w:rPr>
        <w:footnoteReference w:id="22"/>
      </w:r>
      <w:r>
        <w:rPr>
          <w:rFonts w:ascii="Times New Roman" w:hAnsi="Times New Roman" w:cs="Times New Roman"/>
        </w:rPr>
        <w:t xml:space="preserve"> argue that contemporary DNA testing has advanced to the extent that even very degraded samples can be accurately identified. The technology has become more cost effective with time. Later testing of original samples, for example in the case of </w:t>
      </w:r>
      <w:r w:rsidRPr="00DC1C6A">
        <w:rPr>
          <w:rFonts w:ascii="Times New Roman" w:hAnsi="Times New Roman" w:cs="Times New Roman"/>
          <w:i/>
        </w:rPr>
        <w:t>Carroll</w:t>
      </w:r>
      <w:r>
        <w:rPr>
          <w:rStyle w:val="FootnoteReference"/>
          <w:rFonts w:ascii="Times New Roman" w:hAnsi="Times New Roman" w:cs="Times New Roman"/>
        </w:rPr>
        <w:footnoteReference w:id="23"/>
      </w:r>
      <w:r>
        <w:rPr>
          <w:rFonts w:ascii="Times New Roman" w:hAnsi="Times New Roman" w:cs="Times New Roman"/>
        </w:rPr>
        <w:t xml:space="preserve"> </w:t>
      </w:r>
      <w:r w:rsidR="000B0084">
        <w:rPr>
          <w:rFonts w:ascii="Times New Roman" w:hAnsi="Times New Roman" w:cs="Times New Roman"/>
        </w:rPr>
        <w:t>‘</w:t>
      </w:r>
      <w:r>
        <w:rPr>
          <w:rFonts w:ascii="Times New Roman" w:hAnsi="Times New Roman" w:cs="Times New Roman"/>
        </w:rPr>
        <w:t>may offer evidence that would not have been</w:t>
      </w:r>
      <w:r w:rsidR="000B0084">
        <w:rPr>
          <w:rFonts w:ascii="Times New Roman" w:hAnsi="Times New Roman" w:cs="Times New Roman"/>
        </w:rPr>
        <w:t xml:space="preserve"> available at an original trial’</w:t>
      </w:r>
      <w:r>
        <w:rPr>
          <w:rFonts w:ascii="Times New Roman" w:hAnsi="Times New Roman" w:cs="Times New Roman"/>
        </w:rPr>
        <w:t>. Similarly, police investigative and criminal profiling techniques are continually improving.  The criminal law needs to keep abreast of developments in science and technology.</w:t>
      </w:r>
      <w:r>
        <w:rPr>
          <w:rStyle w:val="FootnoteReference"/>
          <w:rFonts w:ascii="Times New Roman" w:hAnsi="Times New Roman" w:cs="Times New Roman"/>
        </w:rPr>
        <w:footnoteReference w:id="24"/>
      </w:r>
      <w:r>
        <w:rPr>
          <w:rFonts w:ascii="Times New Roman" w:hAnsi="Times New Roman" w:cs="Times New Roman"/>
        </w:rPr>
        <w:t xml:space="preserve"> </w:t>
      </w:r>
    </w:p>
    <w:p w:rsidR="00CE55F7" w:rsidRDefault="00CE55F7" w:rsidP="00CE55F7">
      <w:pPr>
        <w:spacing w:line="360" w:lineRule="auto"/>
        <w:jc w:val="both"/>
        <w:rPr>
          <w:rFonts w:ascii="Times New Roman" w:hAnsi="Times New Roman" w:cs="Times New Roman"/>
        </w:rPr>
      </w:pPr>
    </w:p>
    <w:p w:rsidR="00CE55F7" w:rsidRPr="001D3C55" w:rsidRDefault="00CE55F7" w:rsidP="00CE55F7">
      <w:pPr>
        <w:spacing w:line="360" w:lineRule="auto"/>
        <w:jc w:val="both"/>
        <w:rPr>
          <w:rFonts w:ascii="Times New Roman" w:hAnsi="Times New Roman" w:cs="Times New Roman"/>
        </w:rPr>
      </w:pPr>
      <w:r>
        <w:rPr>
          <w:rFonts w:ascii="Times New Roman" w:hAnsi="Times New Roman" w:cs="Times New Roman"/>
        </w:rPr>
        <w:t>Further, there is an emerging emphasis on the needs of the victims of crime as being central to the process of justice,</w:t>
      </w:r>
      <w:r>
        <w:rPr>
          <w:rStyle w:val="FootnoteReference"/>
          <w:rFonts w:ascii="Times New Roman" w:hAnsi="Times New Roman" w:cs="Times New Roman"/>
        </w:rPr>
        <w:footnoteReference w:id="25"/>
      </w:r>
      <w:r>
        <w:rPr>
          <w:rFonts w:ascii="Times New Roman" w:hAnsi="Times New Roman" w:cs="Times New Roman"/>
        </w:rPr>
        <w:t xml:space="preserve"> with the potential for acquitted accused persons harassing previous or new victims being raised as a matter of concern.  Such conduct is psychologically distressing for victims, and a retrial of an accused person, particularly in these circumstances</w:t>
      </w:r>
      <w:r w:rsidR="00E95395">
        <w:rPr>
          <w:rFonts w:ascii="Times New Roman" w:hAnsi="Times New Roman" w:cs="Times New Roman"/>
        </w:rPr>
        <w:t xml:space="preserve"> </w:t>
      </w:r>
      <w:r>
        <w:rPr>
          <w:rFonts w:ascii="Times New Roman" w:hAnsi="Times New Roman" w:cs="Times New Roman"/>
        </w:rPr>
        <w:t>may better achieve a practical balance between truth and justice.</w:t>
      </w:r>
      <w:r>
        <w:rPr>
          <w:rStyle w:val="FootnoteReference"/>
          <w:rFonts w:ascii="Times New Roman" w:hAnsi="Times New Roman" w:cs="Times New Roman"/>
        </w:rPr>
        <w:footnoteReference w:id="26"/>
      </w:r>
      <w:r>
        <w:rPr>
          <w:rFonts w:ascii="Times New Roman" w:hAnsi="Times New Roman" w:cs="Times New Roman"/>
        </w:rPr>
        <w:t xml:space="preserve">  </w:t>
      </w:r>
    </w:p>
    <w:p w:rsidR="00CE55F7" w:rsidRDefault="00CE55F7" w:rsidP="00872B28">
      <w:pPr>
        <w:spacing w:line="360" w:lineRule="auto"/>
        <w:jc w:val="both"/>
        <w:rPr>
          <w:rFonts w:ascii="Times New Roman" w:hAnsi="Times New Roman" w:cs="Times New Roman"/>
        </w:rPr>
      </w:pPr>
    </w:p>
    <w:p w:rsidR="00CE55F7" w:rsidRPr="00E95395" w:rsidRDefault="00F655F4" w:rsidP="00E95395">
      <w:pPr>
        <w:spacing w:line="360" w:lineRule="auto"/>
        <w:jc w:val="center"/>
        <w:rPr>
          <w:rFonts w:ascii="Times New Roman" w:hAnsi="Times New Roman" w:cs="Times New Roman"/>
          <w:i/>
        </w:rPr>
      </w:pPr>
      <w:r w:rsidRPr="00E95395">
        <w:rPr>
          <w:rFonts w:ascii="Times New Roman" w:hAnsi="Times New Roman" w:cs="Times New Roman"/>
          <w:sz w:val="28"/>
          <w:szCs w:val="28"/>
        </w:rPr>
        <w:t>C</w:t>
      </w:r>
      <w:r>
        <w:rPr>
          <w:rFonts w:ascii="Times New Roman" w:hAnsi="Times New Roman" w:cs="Times New Roman"/>
        </w:rPr>
        <w:t xml:space="preserve">  </w:t>
      </w:r>
      <w:r w:rsidR="00CE55F7" w:rsidRPr="00E95395">
        <w:rPr>
          <w:rFonts w:ascii="Times New Roman" w:hAnsi="Times New Roman" w:cs="Times New Roman"/>
          <w:i/>
          <w:sz w:val="28"/>
          <w:szCs w:val="28"/>
        </w:rPr>
        <w:t>W</w:t>
      </w:r>
      <w:r w:rsidR="00CE55F7" w:rsidRPr="00E95395">
        <w:rPr>
          <w:rFonts w:ascii="Times New Roman" w:hAnsi="Times New Roman" w:cs="Times New Roman"/>
          <w:i/>
        </w:rPr>
        <w:t xml:space="preserve">hat </w:t>
      </w:r>
      <w:r w:rsidR="00CE55F7" w:rsidRPr="00E95395">
        <w:rPr>
          <w:rFonts w:ascii="Times New Roman" w:hAnsi="Times New Roman" w:cs="Times New Roman"/>
          <w:i/>
          <w:sz w:val="28"/>
          <w:szCs w:val="28"/>
        </w:rPr>
        <w:t>P</w:t>
      </w:r>
      <w:r w:rsidR="00CE55F7" w:rsidRPr="00E95395">
        <w:rPr>
          <w:rFonts w:ascii="Times New Roman" w:hAnsi="Times New Roman" w:cs="Times New Roman"/>
          <w:i/>
        </w:rPr>
        <w:t xml:space="preserve">rocedural </w:t>
      </w:r>
      <w:r w:rsidR="00CE55F7" w:rsidRPr="00E95395">
        <w:rPr>
          <w:rFonts w:ascii="Times New Roman" w:hAnsi="Times New Roman" w:cs="Times New Roman"/>
          <w:i/>
          <w:sz w:val="28"/>
          <w:szCs w:val="28"/>
        </w:rPr>
        <w:t>S</w:t>
      </w:r>
      <w:r w:rsidRPr="00E95395">
        <w:rPr>
          <w:rFonts w:ascii="Times New Roman" w:hAnsi="Times New Roman" w:cs="Times New Roman"/>
          <w:i/>
        </w:rPr>
        <w:t xml:space="preserve">afeguards exist under </w:t>
      </w:r>
      <w:r w:rsidRPr="00E95395">
        <w:rPr>
          <w:rFonts w:ascii="Times New Roman" w:hAnsi="Times New Roman" w:cs="Times New Roman"/>
          <w:i/>
          <w:sz w:val="28"/>
          <w:szCs w:val="28"/>
        </w:rPr>
        <w:t>c</w:t>
      </w:r>
      <w:r w:rsidRPr="00E95395">
        <w:rPr>
          <w:rFonts w:ascii="Times New Roman" w:hAnsi="Times New Roman" w:cs="Times New Roman"/>
          <w:i/>
        </w:rPr>
        <w:t xml:space="preserve">urrent </w:t>
      </w:r>
      <w:r w:rsidRPr="00E95395">
        <w:rPr>
          <w:rFonts w:ascii="Times New Roman" w:hAnsi="Times New Roman" w:cs="Times New Roman"/>
          <w:i/>
          <w:sz w:val="28"/>
          <w:szCs w:val="28"/>
        </w:rPr>
        <w:t>S</w:t>
      </w:r>
      <w:r w:rsidRPr="00E95395">
        <w:rPr>
          <w:rFonts w:ascii="Times New Roman" w:hAnsi="Times New Roman" w:cs="Times New Roman"/>
          <w:i/>
        </w:rPr>
        <w:t xml:space="preserve">tate and </w:t>
      </w:r>
      <w:r w:rsidRPr="00E95395">
        <w:rPr>
          <w:rFonts w:ascii="Times New Roman" w:hAnsi="Times New Roman" w:cs="Times New Roman"/>
          <w:i/>
          <w:sz w:val="28"/>
          <w:szCs w:val="28"/>
        </w:rPr>
        <w:t>T</w:t>
      </w:r>
      <w:r w:rsidRPr="00E95395">
        <w:rPr>
          <w:rFonts w:ascii="Times New Roman" w:hAnsi="Times New Roman" w:cs="Times New Roman"/>
          <w:i/>
        </w:rPr>
        <w:t xml:space="preserve">erritory </w:t>
      </w:r>
      <w:r w:rsidRPr="00E95395">
        <w:rPr>
          <w:rFonts w:ascii="Times New Roman" w:hAnsi="Times New Roman" w:cs="Times New Roman"/>
          <w:i/>
          <w:sz w:val="28"/>
          <w:szCs w:val="28"/>
        </w:rPr>
        <w:t>E</w:t>
      </w:r>
      <w:r w:rsidRPr="00E95395">
        <w:rPr>
          <w:rFonts w:ascii="Times New Roman" w:hAnsi="Times New Roman" w:cs="Times New Roman"/>
          <w:i/>
        </w:rPr>
        <w:t xml:space="preserve">xceptions to </w:t>
      </w:r>
      <w:r w:rsidRPr="00E95395">
        <w:rPr>
          <w:rFonts w:ascii="Times New Roman" w:hAnsi="Times New Roman" w:cs="Times New Roman"/>
          <w:i/>
          <w:sz w:val="28"/>
          <w:szCs w:val="28"/>
        </w:rPr>
        <w:t>D</w:t>
      </w:r>
      <w:r w:rsidRPr="00E95395">
        <w:rPr>
          <w:rFonts w:ascii="Times New Roman" w:hAnsi="Times New Roman" w:cs="Times New Roman"/>
          <w:i/>
        </w:rPr>
        <w:t xml:space="preserve">ouble </w:t>
      </w:r>
      <w:r w:rsidRPr="00E95395">
        <w:rPr>
          <w:rFonts w:ascii="Times New Roman" w:hAnsi="Times New Roman" w:cs="Times New Roman"/>
          <w:i/>
          <w:sz w:val="28"/>
          <w:szCs w:val="28"/>
        </w:rPr>
        <w:t>J</w:t>
      </w:r>
      <w:r w:rsidR="00CE55F7" w:rsidRPr="00E95395">
        <w:rPr>
          <w:rFonts w:ascii="Times New Roman" w:hAnsi="Times New Roman" w:cs="Times New Roman"/>
          <w:i/>
        </w:rPr>
        <w:t>eopardy?</w:t>
      </w:r>
    </w:p>
    <w:p w:rsidR="00E95395" w:rsidRDefault="00E95395" w:rsidP="00D94763">
      <w:pPr>
        <w:spacing w:line="360" w:lineRule="auto"/>
        <w:jc w:val="both"/>
        <w:rPr>
          <w:rFonts w:ascii="Times New Roman" w:hAnsi="Times New Roman" w:cs="Times New Roman"/>
        </w:rPr>
      </w:pPr>
    </w:p>
    <w:p w:rsidR="00D94763" w:rsidRDefault="00D94763" w:rsidP="00D94763">
      <w:pPr>
        <w:spacing w:line="360" w:lineRule="auto"/>
        <w:jc w:val="both"/>
        <w:rPr>
          <w:rFonts w:ascii="Times New Roman" w:hAnsi="Times New Roman" w:cs="Times New Roman"/>
        </w:rPr>
      </w:pPr>
      <w:r>
        <w:rPr>
          <w:rFonts w:ascii="Times New Roman" w:hAnsi="Times New Roman" w:cs="Times New Roman"/>
        </w:rPr>
        <w:t xml:space="preserve">In the context of setting aside an acquittal and permitting a retrial of an accused person, the State and Territory exceptions to double jeopardy provide some procedural </w:t>
      </w:r>
      <w:r>
        <w:rPr>
          <w:rFonts w:ascii="Times New Roman" w:hAnsi="Times New Roman" w:cs="Times New Roman"/>
        </w:rPr>
        <w:lastRenderedPageBreak/>
        <w:t>safeguards.  These include one retrial is allowed; offence must be a very serious offence (generally resulting in a serious level of harm or punishable by a high maximum penalty); the department of public prosecutions (DPP) must consent to re-investigations; the DPP must apply to the Court of Criminal Appeal for a retrial; the evidence must be fresh and compelling and not just new or there must be a tainted acquittal; the retrial must be in the interests of justice.</w:t>
      </w:r>
      <w:r>
        <w:rPr>
          <w:rStyle w:val="FootnoteReference"/>
          <w:rFonts w:ascii="Times New Roman" w:hAnsi="Times New Roman" w:cs="Times New Roman"/>
        </w:rPr>
        <w:footnoteReference w:id="27"/>
      </w:r>
    </w:p>
    <w:p w:rsidR="000E3B9B" w:rsidRDefault="000E3B9B" w:rsidP="00872B28">
      <w:pPr>
        <w:spacing w:line="360" w:lineRule="auto"/>
        <w:jc w:val="both"/>
        <w:rPr>
          <w:rFonts w:ascii="Times New Roman" w:hAnsi="Times New Roman" w:cs="Times New Roman"/>
        </w:rPr>
      </w:pPr>
    </w:p>
    <w:p w:rsidR="00443A61" w:rsidRDefault="00443A61" w:rsidP="00443A61">
      <w:pPr>
        <w:spacing w:line="360" w:lineRule="auto"/>
        <w:jc w:val="center"/>
        <w:rPr>
          <w:rFonts w:ascii="Times New Roman" w:hAnsi="Times New Roman" w:cs="Times New Roman"/>
        </w:rPr>
      </w:pPr>
      <w:r>
        <w:rPr>
          <w:rFonts w:ascii="Times New Roman" w:hAnsi="Times New Roman" w:cs="Times New Roman"/>
          <w:sz w:val="28"/>
          <w:szCs w:val="28"/>
        </w:rPr>
        <w:t>III</w:t>
      </w:r>
      <w:r w:rsidRPr="00E95395">
        <w:rPr>
          <w:rFonts w:ascii="Times New Roman" w:hAnsi="Times New Roman" w:cs="Times New Roman"/>
        </w:rPr>
        <w:t xml:space="preserve">  </w:t>
      </w:r>
      <w:r>
        <w:rPr>
          <w:rFonts w:ascii="Times New Roman" w:hAnsi="Times New Roman" w:cs="Times New Roman"/>
        </w:rPr>
        <w:t>RECOMMENDATION</w:t>
      </w:r>
    </w:p>
    <w:p w:rsidR="00734798" w:rsidRDefault="00734798" w:rsidP="00443A61">
      <w:pPr>
        <w:spacing w:line="360" w:lineRule="auto"/>
        <w:jc w:val="both"/>
        <w:rPr>
          <w:rFonts w:ascii="Times New Roman" w:hAnsi="Times New Roman" w:cs="Times New Roman"/>
        </w:rPr>
      </w:pPr>
    </w:p>
    <w:p w:rsidR="00443A61" w:rsidRPr="00722E65" w:rsidRDefault="00734798" w:rsidP="00443A61">
      <w:pPr>
        <w:spacing w:line="360" w:lineRule="auto"/>
        <w:jc w:val="both"/>
        <w:rPr>
          <w:rFonts w:ascii="Times New Roman" w:hAnsi="Times New Roman" w:cs="Times New Roman"/>
        </w:rPr>
      </w:pPr>
      <w:r>
        <w:rPr>
          <w:rFonts w:ascii="Times New Roman" w:hAnsi="Times New Roman" w:cs="Times New Roman"/>
        </w:rPr>
        <w:t>It is submitted that the arguments for and against double jeopardy, and procedural safeguards under current State and Territory Excepti</w:t>
      </w:r>
      <w:bookmarkStart w:id="0" w:name="_GoBack"/>
      <w:bookmarkEnd w:id="0"/>
      <w:r>
        <w:rPr>
          <w:rFonts w:ascii="Times New Roman" w:hAnsi="Times New Roman" w:cs="Times New Roman"/>
        </w:rPr>
        <w:t>ons can inform how to balance individual autonomy and social welfare, and thus justify how to limit double jeopardy.</w:t>
      </w:r>
    </w:p>
    <w:p w:rsidR="007E1146" w:rsidRDefault="007E1146" w:rsidP="00321868">
      <w:pPr>
        <w:spacing w:line="360" w:lineRule="auto"/>
        <w:rPr>
          <w:rFonts w:ascii="Times New Roman" w:hAnsi="Times New Roman" w:cs="Times New Roman"/>
        </w:rPr>
      </w:pPr>
    </w:p>
    <w:p w:rsidR="00321868" w:rsidRDefault="007E1146" w:rsidP="00321868">
      <w:pPr>
        <w:spacing w:line="360" w:lineRule="auto"/>
        <w:rPr>
          <w:rFonts w:ascii="Times New Roman" w:hAnsi="Times New Roman" w:cs="Times New Roman"/>
        </w:rPr>
      </w:pPr>
      <w:r>
        <w:rPr>
          <w:rFonts w:ascii="Times New Roman" w:hAnsi="Times New Roman" w:cs="Times New Roman"/>
        </w:rPr>
        <w:t>If you have any questions or concerns, please e</w:t>
      </w:r>
      <w:r w:rsidR="00321868" w:rsidRPr="00B000CE">
        <w:rPr>
          <w:rFonts w:ascii="Times New Roman" w:hAnsi="Times New Roman" w:cs="Times New Roman"/>
        </w:rPr>
        <w:t xml:space="preserve">mail:  </w:t>
      </w:r>
      <w:hyperlink r:id="rId7" w:history="1">
        <w:r w:rsidR="00321868" w:rsidRPr="009E1064">
          <w:rPr>
            <w:rStyle w:val="Hyperlink"/>
            <w:rFonts w:ascii="Times New Roman" w:hAnsi="Times New Roman" w:cs="Times New Roman"/>
          </w:rPr>
          <w:t>kburton3@usc.edu.au</w:t>
        </w:r>
      </w:hyperlink>
    </w:p>
    <w:p w:rsidR="00321868" w:rsidRDefault="00321868" w:rsidP="00321868">
      <w:pPr>
        <w:spacing w:line="360" w:lineRule="auto"/>
        <w:rPr>
          <w:rFonts w:ascii="Times New Roman" w:hAnsi="Times New Roman" w:cs="Times New Roman"/>
        </w:rPr>
      </w:pPr>
    </w:p>
    <w:p w:rsidR="00321868" w:rsidRDefault="00321868" w:rsidP="00321868">
      <w:pPr>
        <w:spacing w:line="360" w:lineRule="auto"/>
        <w:rPr>
          <w:rFonts w:ascii="Times New Roman" w:hAnsi="Times New Roman" w:cs="Times New Roman"/>
        </w:rPr>
      </w:pPr>
      <w:r>
        <w:rPr>
          <w:rFonts w:ascii="Times New Roman" w:hAnsi="Times New Roman" w:cs="Times New Roman"/>
        </w:rPr>
        <w:t>Submitted:  21 September 2015</w:t>
      </w:r>
    </w:p>
    <w:p w:rsidR="000B0084" w:rsidRDefault="000B0084" w:rsidP="00872B28">
      <w:pPr>
        <w:spacing w:line="360" w:lineRule="auto"/>
        <w:jc w:val="both"/>
        <w:rPr>
          <w:rFonts w:ascii="Times New Roman" w:hAnsi="Times New Roman" w:cs="Times New Roman"/>
        </w:rPr>
      </w:pPr>
    </w:p>
    <w:p w:rsidR="00E25658" w:rsidRDefault="00E25658" w:rsidP="00872B28">
      <w:pPr>
        <w:spacing w:line="360" w:lineRule="auto"/>
        <w:jc w:val="both"/>
        <w:rPr>
          <w:rFonts w:ascii="Times New Roman" w:hAnsi="Times New Roman" w:cs="Times New Roman"/>
        </w:rPr>
      </w:pPr>
    </w:p>
    <w:p w:rsidR="006631A9" w:rsidRDefault="006631A9" w:rsidP="00872B28">
      <w:pPr>
        <w:spacing w:line="360" w:lineRule="auto"/>
        <w:jc w:val="both"/>
        <w:rPr>
          <w:rFonts w:ascii="Times New Roman" w:hAnsi="Times New Roman" w:cs="Times New Roman"/>
          <w:i/>
        </w:rPr>
      </w:pPr>
    </w:p>
    <w:p w:rsidR="006631A9" w:rsidRDefault="006631A9" w:rsidP="00872B28">
      <w:pPr>
        <w:spacing w:line="360" w:lineRule="auto"/>
        <w:jc w:val="both"/>
        <w:rPr>
          <w:rFonts w:ascii="Times New Roman" w:hAnsi="Times New Roman" w:cs="Times New Roman"/>
          <w:i/>
        </w:rPr>
      </w:pPr>
    </w:p>
    <w:p w:rsidR="006631A9" w:rsidRDefault="006631A9" w:rsidP="00E95395">
      <w:pPr>
        <w:spacing w:line="360" w:lineRule="auto"/>
        <w:jc w:val="center"/>
        <w:rPr>
          <w:rFonts w:ascii="Times New Roman" w:hAnsi="Times New Roman" w:cs="Times New Roman"/>
          <w:i/>
        </w:rPr>
      </w:pPr>
    </w:p>
    <w:p w:rsidR="0058339B" w:rsidRDefault="0058339B" w:rsidP="00872B28">
      <w:pPr>
        <w:spacing w:line="360" w:lineRule="auto"/>
        <w:jc w:val="both"/>
        <w:rPr>
          <w:rFonts w:ascii="Times New Roman" w:hAnsi="Times New Roman" w:cs="Times New Roman"/>
        </w:rPr>
      </w:pPr>
    </w:p>
    <w:p w:rsidR="0058339B" w:rsidRDefault="0058339B" w:rsidP="00872B28">
      <w:pPr>
        <w:spacing w:line="360" w:lineRule="auto"/>
        <w:jc w:val="both"/>
        <w:rPr>
          <w:rFonts w:ascii="Times New Roman" w:hAnsi="Times New Roman" w:cs="Times New Roman"/>
        </w:rPr>
      </w:pPr>
    </w:p>
    <w:p w:rsidR="00A47112" w:rsidRDefault="00A47112" w:rsidP="00872B28">
      <w:pPr>
        <w:spacing w:line="360" w:lineRule="auto"/>
        <w:jc w:val="both"/>
        <w:rPr>
          <w:rFonts w:ascii="Times New Roman" w:hAnsi="Times New Roman" w:cs="Times New Roman"/>
        </w:rPr>
      </w:pPr>
    </w:p>
    <w:p w:rsidR="00232450" w:rsidRDefault="00232450" w:rsidP="00872B28">
      <w:pPr>
        <w:spacing w:line="360" w:lineRule="auto"/>
        <w:jc w:val="both"/>
        <w:rPr>
          <w:rFonts w:ascii="Times New Roman" w:hAnsi="Times New Roman" w:cs="Times New Roman"/>
        </w:rPr>
      </w:pPr>
    </w:p>
    <w:p w:rsidR="00232450" w:rsidRDefault="00232450" w:rsidP="00872B28">
      <w:pPr>
        <w:spacing w:line="360" w:lineRule="auto"/>
        <w:jc w:val="both"/>
        <w:rPr>
          <w:rFonts w:ascii="Times New Roman" w:hAnsi="Times New Roman" w:cs="Times New Roman"/>
        </w:rPr>
      </w:pPr>
    </w:p>
    <w:sectPr w:rsidR="00232450" w:rsidSect="006631A9">
      <w:headerReference w:type="even" r:id="rId8"/>
      <w:headerReference w:type="default" r:id="rId9"/>
      <w:footerReference w:type="even" r:id="rId10"/>
      <w:footerReference w:type="default" r:id="rId11"/>
      <w:headerReference w:type="first" r:id="rId12"/>
      <w:footerReference w:type="first" r:id="rId13"/>
      <w:pgSz w:w="11900" w:h="16840"/>
      <w:pgMar w:top="1418" w:right="1701"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A7F" w:rsidRDefault="00E36A7F" w:rsidP="006631A9">
      <w:r>
        <w:separator/>
      </w:r>
    </w:p>
  </w:endnote>
  <w:endnote w:type="continuationSeparator" w:id="0">
    <w:p w:rsidR="00E36A7F" w:rsidRDefault="00E36A7F" w:rsidP="006631A9">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277" w:rsidRDefault="007D22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277" w:rsidRDefault="007D227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277" w:rsidRDefault="007D22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A7F" w:rsidRDefault="00E36A7F" w:rsidP="006631A9">
      <w:r>
        <w:separator/>
      </w:r>
    </w:p>
  </w:footnote>
  <w:footnote w:type="continuationSeparator" w:id="0">
    <w:p w:rsidR="00E36A7F" w:rsidRDefault="00E36A7F" w:rsidP="006631A9">
      <w:r>
        <w:continuationSeparator/>
      </w:r>
    </w:p>
  </w:footnote>
  <w:footnote w:id="1">
    <w:p w:rsidR="0094652A" w:rsidRPr="00E95395" w:rsidRDefault="0094652A">
      <w:pPr>
        <w:pStyle w:val="FootnoteText"/>
        <w:rPr>
          <w:rFonts w:ascii="Times New Roman" w:hAnsi="Times New Roman" w:cs="Times New Roman"/>
          <w:sz w:val="20"/>
          <w:szCs w:val="20"/>
          <w:lang w:val="en-US"/>
        </w:rPr>
      </w:pPr>
      <w:r>
        <w:rPr>
          <w:rStyle w:val="FootnoteReference"/>
        </w:rPr>
        <w:footnoteRef/>
      </w:r>
      <w:r>
        <w:t xml:space="preserve"> </w:t>
      </w:r>
      <w:r w:rsidRPr="00E95395">
        <w:rPr>
          <w:rFonts w:ascii="Times New Roman" w:hAnsi="Times New Roman" w:cs="Times New Roman"/>
          <w:sz w:val="20"/>
          <w:szCs w:val="20"/>
          <w:lang w:val="en-US"/>
        </w:rPr>
        <w:t xml:space="preserve">Chris </w:t>
      </w:r>
      <w:r>
        <w:rPr>
          <w:rFonts w:ascii="Times New Roman" w:hAnsi="Times New Roman" w:cs="Times New Roman"/>
          <w:sz w:val="20"/>
          <w:szCs w:val="20"/>
          <w:lang w:val="en-US"/>
        </w:rPr>
        <w:t xml:space="preserve">Corns, ‘Retrial of Acquitted Persons: Time for Reform of the Double Jeopardy Rule?’ (2003) 27 </w:t>
      </w:r>
      <w:r>
        <w:rPr>
          <w:rFonts w:ascii="Times New Roman" w:hAnsi="Times New Roman" w:cs="Times New Roman"/>
          <w:i/>
          <w:sz w:val="20"/>
          <w:szCs w:val="20"/>
          <w:lang w:val="en-US"/>
        </w:rPr>
        <w:t xml:space="preserve">Crim LJ </w:t>
      </w:r>
      <w:r>
        <w:rPr>
          <w:rFonts w:ascii="Times New Roman" w:hAnsi="Times New Roman" w:cs="Times New Roman"/>
          <w:sz w:val="20"/>
          <w:szCs w:val="20"/>
          <w:lang w:val="en-US"/>
        </w:rPr>
        <w:t xml:space="preserve">80, 86.  Regarding Queensland, refer to </w:t>
      </w:r>
      <w:r>
        <w:rPr>
          <w:rFonts w:ascii="Times New Roman" w:hAnsi="Times New Roman" w:cs="Times New Roman"/>
          <w:i/>
          <w:sz w:val="20"/>
          <w:szCs w:val="20"/>
          <w:lang w:val="en-US"/>
        </w:rPr>
        <w:t xml:space="preserve">Criminal Code </w:t>
      </w:r>
      <w:r>
        <w:rPr>
          <w:rFonts w:ascii="Times New Roman" w:hAnsi="Times New Roman" w:cs="Times New Roman"/>
          <w:sz w:val="20"/>
          <w:szCs w:val="20"/>
          <w:lang w:val="en-US"/>
        </w:rPr>
        <w:t>(Qld) s 17.</w:t>
      </w:r>
    </w:p>
  </w:footnote>
  <w:footnote w:id="2">
    <w:p w:rsidR="003A4510" w:rsidRPr="00E95395" w:rsidRDefault="003A4510">
      <w:pPr>
        <w:pStyle w:val="FootnoteText"/>
        <w:rPr>
          <w:rFonts w:ascii="Times New Roman" w:hAnsi="Times New Roman" w:cs="Times New Roman"/>
          <w:sz w:val="20"/>
          <w:szCs w:val="20"/>
          <w:lang w:val="en-US"/>
        </w:rPr>
      </w:pPr>
      <w:r w:rsidRPr="00E95395">
        <w:rPr>
          <w:rStyle w:val="FootnoteReference"/>
          <w:rFonts w:ascii="Times New Roman" w:hAnsi="Times New Roman" w:cs="Times New Roman"/>
          <w:sz w:val="20"/>
          <w:szCs w:val="20"/>
        </w:rPr>
        <w:footnoteRef/>
      </w:r>
      <w:r w:rsidRPr="00E95395">
        <w:rPr>
          <w:rFonts w:ascii="Times New Roman" w:hAnsi="Times New Roman" w:cs="Times New Roman"/>
          <w:sz w:val="20"/>
          <w:szCs w:val="20"/>
        </w:rPr>
        <w:t xml:space="preserve"> </w:t>
      </w:r>
      <w:r>
        <w:rPr>
          <w:rFonts w:ascii="Times New Roman" w:hAnsi="Times New Roman" w:cs="Times New Roman"/>
          <w:sz w:val="20"/>
          <w:szCs w:val="20"/>
        </w:rPr>
        <w:t xml:space="preserve">For example, </w:t>
      </w:r>
      <w:r w:rsidRPr="00E95395">
        <w:rPr>
          <w:rFonts w:ascii="Times New Roman" w:hAnsi="Times New Roman" w:cs="Times New Roman"/>
          <w:i/>
          <w:sz w:val="20"/>
          <w:szCs w:val="20"/>
        </w:rPr>
        <w:t>C</w:t>
      </w:r>
      <w:r w:rsidRPr="00E95395">
        <w:rPr>
          <w:rFonts w:ascii="Times New Roman" w:hAnsi="Times New Roman" w:cs="Times New Roman"/>
          <w:i/>
          <w:sz w:val="20"/>
          <w:szCs w:val="20"/>
          <w:lang w:val="en-US"/>
        </w:rPr>
        <w:t xml:space="preserve">riminal Code </w:t>
      </w:r>
      <w:r w:rsidRPr="003A4510">
        <w:rPr>
          <w:rFonts w:ascii="Times New Roman" w:hAnsi="Times New Roman" w:cs="Times New Roman"/>
          <w:sz w:val="20"/>
          <w:szCs w:val="20"/>
          <w:lang w:val="en-US"/>
        </w:rPr>
        <w:t>(Qld) Ch 68.</w:t>
      </w:r>
    </w:p>
  </w:footnote>
  <w:footnote w:id="3">
    <w:p w:rsidR="003A4510" w:rsidRPr="00E95395" w:rsidRDefault="003A4510">
      <w:pPr>
        <w:pStyle w:val="FootnoteText"/>
        <w:rPr>
          <w:rFonts w:ascii="Times New Roman" w:hAnsi="Times New Roman" w:cs="Times New Roman"/>
          <w:sz w:val="20"/>
          <w:szCs w:val="20"/>
          <w:lang w:val="en-US"/>
        </w:rPr>
      </w:pPr>
      <w:r w:rsidRPr="00E95395">
        <w:rPr>
          <w:rStyle w:val="FootnoteReference"/>
          <w:rFonts w:ascii="Times New Roman" w:hAnsi="Times New Roman" w:cs="Times New Roman"/>
          <w:sz w:val="20"/>
          <w:szCs w:val="20"/>
        </w:rPr>
        <w:footnoteRef/>
      </w:r>
      <w:r w:rsidRPr="00E95395">
        <w:rPr>
          <w:rFonts w:ascii="Times New Roman" w:hAnsi="Times New Roman" w:cs="Times New Roman"/>
          <w:sz w:val="20"/>
          <w:szCs w:val="20"/>
        </w:rPr>
        <w:t xml:space="preserve"> </w:t>
      </w:r>
      <w:r w:rsidRPr="00E95395">
        <w:rPr>
          <w:rFonts w:ascii="Times New Roman" w:hAnsi="Times New Roman" w:cs="Times New Roman"/>
          <w:sz w:val="20"/>
          <w:szCs w:val="20"/>
          <w:lang w:val="en-US"/>
        </w:rPr>
        <w:t>[2002] HCA 55.</w:t>
      </w:r>
    </w:p>
  </w:footnote>
  <w:footnote w:id="4">
    <w:p w:rsidR="00B41A5A" w:rsidRPr="004D5DAF" w:rsidRDefault="00B41A5A">
      <w:pPr>
        <w:pStyle w:val="FootnoteText"/>
        <w:rPr>
          <w:rFonts w:ascii="Times New Roman" w:hAnsi="Times New Roman" w:cs="Times New Roman"/>
          <w:sz w:val="20"/>
          <w:szCs w:val="20"/>
          <w:lang w:val="en-US"/>
        </w:rPr>
      </w:pPr>
      <w:r w:rsidRPr="004D5DAF">
        <w:rPr>
          <w:rStyle w:val="FootnoteReference"/>
          <w:rFonts w:ascii="Times New Roman" w:hAnsi="Times New Roman" w:cs="Times New Roman"/>
          <w:sz w:val="20"/>
          <w:szCs w:val="20"/>
        </w:rPr>
        <w:footnoteRef/>
      </w:r>
      <w:r w:rsidRPr="004D5DAF">
        <w:rPr>
          <w:rFonts w:ascii="Times New Roman" w:hAnsi="Times New Roman" w:cs="Times New Roman"/>
          <w:sz w:val="20"/>
          <w:szCs w:val="20"/>
        </w:rPr>
        <w:t xml:space="preserve"> </w:t>
      </w:r>
      <w:r w:rsidR="00441099">
        <w:rPr>
          <w:rFonts w:ascii="Times New Roman" w:hAnsi="Times New Roman" w:cs="Times New Roman"/>
          <w:sz w:val="20"/>
          <w:szCs w:val="20"/>
          <w:lang w:val="en-US"/>
        </w:rPr>
        <w:t>Ibid</w:t>
      </w:r>
      <w:r w:rsidRPr="004D5DAF">
        <w:rPr>
          <w:rFonts w:ascii="Times New Roman" w:hAnsi="Times New Roman" w:cs="Times New Roman"/>
          <w:sz w:val="20"/>
          <w:szCs w:val="20"/>
          <w:lang w:val="en-US"/>
        </w:rPr>
        <w:t xml:space="preserve"> [21]</w:t>
      </w:r>
      <w:r w:rsidR="001843E8" w:rsidRPr="004D5DAF">
        <w:rPr>
          <w:rFonts w:ascii="Times New Roman" w:hAnsi="Times New Roman" w:cs="Times New Roman"/>
          <w:sz w:val="20"/>
          <w:szCs w:val="20"/>
          <w:lang w:val="en-US"/>
        </w:rPr>
        <w:t>.</w:t>
      </w:r>
    </w:p>
  </w:footnote>
  <w:footnote w:id="5">
    <w:p w:rsidR="00B41A5A" w:rsidRPr="004D5DAF" w:rsidRDefault="00B41A5A">
      <w:pPr>
        <w:pStyle w:val="FootnoteText"/>
        <w:rPr>
          <w:rFonts w:ascii="Times New Roman" w:hAnsi="Times New Roman" w:cs="Times New Roman"/>
          <w:sz w:val="20"/>
          <w:szCs w:val="20"/>
          <w:lang w:val="en-US"/>
        </w:rPr>
      </w:pPr>
      <w:r w:rsidRPr="004D5DAF">
        <w:rPr>
          <w:rStyle w:val="FootnoteReference"/>
          <w:rFonts w:ascii="Times New Roman" w:hAnsi="Times New Roman" w:cs="Times New Roman"/>
          <w:sz w:val="20"/>
          <w:szCs w:val="20"/>
        </w:rPr>
        <w:footnoteRef/>
      </w:r>
      <w:r w:rsidR="001843E8" w:rsidRPr="004D5DAF">
        <w:rPr>
          <w:rFonts w:ascii="Times New Roman" w:hAnsi="Times New Roman" w:cs="Times New Roman"/>
          <w:sz w:val="20"/>
          <w:szCs w:val="20"/>
        </w:rPr>
        <w:t xml:space="preserve"> </w:t>
      </w:r>
      <w:r w:rsidR="001843E8" w:rsidRPr="004D5DAF">
        <w:rPr>
          <w:rFonts w:ascii="Times New Roman" w:hAnsi="Times New Roman" w:cs="Times New Roman"/>
          <w:sz w:val="20"/>
          <w:szCs w:val="20"/>
          <w:lang w:val="en-US"/>
        </w:rPr>
        <w:t xml:space="preserve">Ibid </w:t>
      </w:r>
      <w:r w:rsidRPr="004D5DAF">
        <w:rPr>
          <w:rFonts w:ascii="Times New Roman" w:hAnsi="Times New Roman" w:cs="Times New Roman"/>
          <w:sz w:val="20"/>
          <w:szCs w:val="20"/>
          <w:lang w:val="en-US"/>
        </w:rPr>
        <w:t>[24]</w:t>
      </w:r>
      <w:r w:rsidR="001843E8" w:rsidRPr="004D5DAF">
        <w:rPr>
          <w:rFonts w:ascii="Times New Roman" w:hAnsi="Times New Roman" w:cs="Times New Roman"/>
          <w:sz w:val="20"/>
          <w:szCs w:val="20"/>
          <w:lang w:val="en-US"/>
        </w:rPr>
        <w:t>.</w:t>
      </w:r>
    </w:p>
  </w:footnote>
  <w:footnote w:id="6">
    <w:p w:rsidR="00B41A5A" w:rsidRPr="004D5DAF" w:rsidRDefault="00B41A5A">
      <w:pPr>
        <w:pStyle w:val="FootnoteText"/>
        <w:rPr>
          <w:rFonts w:ascii="Times New Roman" w:hAnsi="Times New Roman" w:cs="Times New Roman"/>
          <w:sz w:val="20"/>
          <w:szCs w:val="20"/>
          <w:lang w:val="en-US"/>
        </w:rPr>
      </w:pPr>
      <w:r w:rsidRPr="004D5DAF">
        <w:rPr>
          <w:rStyle w:val="FootnoteReference"/>
          <w:rFonts w:ascii="Times New Roman" w:hAnsi="Times New Roman" w:cs="Times New Roman"/>
          <w:sz w:val="20"/>
          <w:szCs w:val="20"/>
        </w:rPr>
        <w:footnoteRef/>
      </w:r>
      <w:r w:rsidRPr="004D5DAF">
        <w:rPr>
          <w:rFonts w:ascii="Times New Roman" w:hAnsi="Times New Roman" w:cs="Times New Roman"/>
          <w:sz w:val="20"/>
          <w:szCs w:val="20"/>
        </w:rPr>
        <w:t xml:space="preserve"> </w:t>
      </w:r>
      <w:r w:rsidR="006B6F10" w:rsidRPr="004D5DAF">
        <w:rPr>
          <w:rFonts w:ascii="Times New Roman" w:hAnsi="Times New Roman" w:cs="Times New Roman"/>
          <w:sz w:val="20"/>
          <w:szCs w:val="20"/>
        </w:rPr>
        <w:t>Niti Prakash, ‘</w:t>
      </w:r>
      <w:r w:rsidR="006B6F10" w:rsidRPr="004D5DAF">
        <w:rPr>
          <w:rFonts w:ascii="Times New Roman" w:hAnsi="Times New Roman" w:cs="Times New Roman"/>
          <w:sz w:val="20"/>
          <w:szCs w:val="20"/>
          <w:lang w:val="en-US"/>
        </w:rPr>
        <w:t xml:space="preserve">R v Carroll: </w:t>
      </w:r>
      <w:r w:rsidRPr="004D5DAF">
        <w:rPr>
          <w:rFonts w:ascii="Times New Roman" w:hAnsi="Times New Roman" w:cs="Times New Roman"/>
          <w:sz w:val="20"/>
          <w:szCs w:val="20"/>
          <w:lang w:val="en-US"/>
        </w:rPr>
        <w:t>Double Jeopardy Under Fire’</w:t>
      </w:r>
      <w:r w:rsidR="006B6F10" w:rsidRPr="004D5DAF">
        <w:rPr>
          <w:rFonts w:ascii="Times New Roman" w:hAnsi="Times New Roman" w:cs="Times New Roman"/>
          <w:sz w:val="20"/>
          <w:szCs w:val="20"/>
          <w:lang w:val="en-US"/>
        </w:rPr>
        <w:t xml:space="preserve"> [2003] 22 </w:t>
      </w:r>
      <w:r w:rsidR="006B6F10" w:rsidRPr="004D5DAF">
        <w:rPr>
          <w:rFonts w:ascii="Times New Roman" w:hAnsi="Times New Roman" w:cs="Times New Roman"/>
          <w:i/>
          <w:sz w:val="20"/>
          <w:szCs w:val="20"/>
          <w:lang w:val="en-US"/>
        </w:rPr>
        <w:t>University of Queensland Law Journal</w:t>
      </w:r>
      <w:r w:rsidR="006B6F10" w:rsidRPr="004D5DAF">
        <w:rPr>
          <w:rFonts w:ascii="Times New Roman" w:hAnsi="Times New Roman" w:cs="Times New Roman"/>
          <w:sz w:val="20"/>
          <w:szCs w:val="20"/>
          <w:lang w:val="en-US"/>
        </w:rPr>
        <w:t xml:space="preserve"> 267.</w:t>
      </w:r>
    </w:p>
  </w:footnote>
  <w:footnote w:id="7">
    <w:p w:rsidR="00DE6BAE" w:rsidRPr="00E95395" w:rsidRDefault="00DE6BAE">
      <w:pPr>
        <w:pStyle w:val="FootnoteText"/>
        <w:rPr>
          <w:rFonts w:ascii="Times New Roman" w:hAnsi="Times New Roman" w:cs="Times New Roman"/>
          <w:sz w:val="20"/>
          <w:szCs w:val="20"/>
        </w:rPr>
      </w:pPr>
      <w:r w:rsidRPr="00E95395">
        <w:rPr>
          <w:rStyle w:val="FootnoteReference"/>
          <w:rFonts w:ascii="Times New Roman" w:hAnsi="Times New Roman" w:cs="Times New Roman"/>
          <w:sz w:val="20"/>
          <w:szCs w:val="20"/>
        </w:rPr>
        <w:footnoteRef/>
      </w:r>
      <w:r w:rsidRPr="00E95395">
        <w:rPr>
          <w:rFonts w:ascii="Times New Roman" w:hAnsi="Times New Roman" w:cs="Times New Roman"/>
          <w:sz w:val="20"/>
          <w:szCs w:val="20"/>
        </w:rPr>
        <w:t xml:space="preserve"> Australian Law Reform Commission, </w:t>
      </w:r>
      <w:r w:rsidRPr="00E95395">
        <w:rPr>
          <w:rFonts w:ascii="Times New Roman" w:hAnsi="Times New Roman" w:cs="Times New Roman"/>
          <w:i/>
          <w:sz w:val="20"/>
          <w:szCs w:val="20"/>
        </w:rPr>
        <w:t>Traditional Rights and Freedoms –Encroachments by Commonwealth Laws</w:t>
      </w:r>
      <w:r w:rsidR="000E3B9B" w:rsidRPr="00E95395">
        <w:rPr>
          <w:rFonts w:ascii="Times New Roman" w:hAnsi="Times New Roman" w:cs="Times New Roman"/>
          <w:i/>
          <w:sz w:val="20"/>
          <w:szCs w:val="20"/>
        </w:rPr>
        <w:t xml:space="preserve">, </w:t>
      </w:r>
      <w:r w:rsidRPr="00E95395">
        <w:rPr>
          <w:rFonts w:ascii="Times New Roman" w:hAnsi="Times New Roman" w:cs="Times New Roman"/>
          <w:i/>
          <w:sz w:val="20"/>
          <w:szCs w:val="20"/>
        </w:rPr>
        <w:t xml:space="preserve">Interim Report </w:t>
      </w:r>
      <w:r w:rsidR="000E3B9B" w:rsidRPr="00E95395">
        <w:rPr>
          <w:rFonts w:ascii="Times New Roman" w:hAnsi="Times New Roman" w:cs="Times New Roman"/>
          <w:i/>
          <w:sz w:val="20"/>
          <w:szCs w:val="20"/>
        </w:rPr>
        <w:t xml:space="preserve">No 127 (2015) </w:t>
      </w:r>
      <w:r w:rsidR="000E3B9B" w:rsidRPr="00E95395">
        <w:rPr>
          <w:rFonts w:ascii="Times New Roman" w:hAnsi="Times New Roman" w:cs="Times New Roman"/>
          <w:sz w:val="20"/>
          <w:szCs w:val="20"/>
        </w:rPr>
        <w:t>[10.134]; Model Criminal Code Officers Committee of the Standing Committee of Attorneys-General, ‘Issue Estoppel, Double Jeopardy and Prosecution Appeals Against Acquittals, Discussion Paper, Chapter 2’ (2003).</w:t>
      </w:r>
    </w:p>
  </w:footnote>
  <w:footnote w:id="8">
    <w:p w:rsidR="00D94763" w:rsidRPr="00DC1C6A" w:rsidRDefault="00D94763" w:rsidP="00D94763">
      <w:pPr>
        <w:pStyle w:val="FootnoteText"/>
        <w:rPr>
          <w:rFonts w:ascii="Times New Roman" w:hAnsi="Times New Roman" w:cs="Times New Roman"/>
          <w:sz w:val="20"/>
          <w:szCs w:val="20"/>
        </w:rPr>
      </w:pPr>
      <w:r w:rsidRPr="00DC1C6A">
        <w:rPr>
          <w:rStyle w:val="FootnoteReference"/>
          <w:rFonts w:ascii="Times New Roman" w:hAnsi="Times New Roman" w:cs="Times New Roman"/>
          <w:sz w:val="20"/>
          <w:szCs w:val="20"/>
        </w:rPr>
        <w:footnoteRef/>
      </w:r>
      <w:r w:rsidRPr="00DC1C6A">
        <w:rPr>
          <w:rFonts w:ascii="Times New Roman" w:hAnsi="Times New Roman" w:cs="Times New Roman"/>
          <w:sz w:val="20"/>
          <w:szCs w:val="20"/>
        </w:rPr>
        <w:t xml:space="preserve"> For example, in Queensland refer to </w:t>
      </w:r>
      <w:r w:rsidRPr="00DC1C6A">
        <w:rPr>
          <w:rFonts w:ascii="Times New Roman" w:hAnsi="Times New Roman" w:cs="Times New Roman"/>
          <w:i/>
          <w:sz w:val="20"/>
          <w:szCs w:val="20"/>
        </w:rPr>
        <w:t xml:space="preserve">Criminal Code </w:t>
      </w:r>
      <w:r w:rsidRPr="00DC1C6A">
        <w:rPr>
          <w:rFonts w:ascii="Times New Roman" w:hAnsi="Times New Roman" w:cs="Times New Roman"/>
          <w:sz w:val="20"/>
          <w:szCs w:val="20"/>
        </w:rPr>
        <w:t xml:space="preserve">(Qld) s 678G(1). </w:t>
      </w:r>
    </w:p>
  </w:footnote>
  <w:footnote w:id="9">
    <w:p w:rsidR="00734798" w:rsidRPr="004D5DAF" w:rsidRDefault="00734798" w:rsidP="00734798">
      <w:pPr>
        <w:pStyle w:val="FootnoteText"/>
        <w:rPr>
          <w:rFonts w:ascii="Times New Roman" w:hAnsi="Times New Roman" w:cs="Times New Roman"/>
          <w:sz w:val="20"/>
          <w:szCs w:val="20"/>
          <w:lang w:val="en-US"/>
        </w:rPr>
      </w:pPr>
      <w:r w:rsidRPr="004D5DAF">
        <w:rPr>
          <w:rStyle w:val="FootnoteReference"/>
          <w:rFonts w:ascii="Times New Roman" w:hAnsi="Times New Roman" w:cs="Times New Roman"/>
          <w:sz w:val="20"/>
          <w:szCs w:val="20"/>
        </w:rPr>
        <w:footnoteRef/>
      </w:r>
      <w:r w:rsidRPr="004D5DAF">
        <w:rPr>
          <w:rFonts w:ascii="Times New Roman" w:hAnsi="Times New Roman" w:cs="Times New Roman"/>
          <w:sz w:val="20"/>
          <w:szCs w:val="20"/>
        </w:rPr>
        <w:t xml:space="preserve"> </w:t>
      </w:r>
      <w:r>
        <w:rPr>
          <w:rFonts w:ascii="Times New Roman" w:hAnsi="Times New Roman" w:cs="Times New Roman"/>
          <w:sz w:val="20"/>
          <w:szCs w:val="20"/>
          <w:lang w:val="en-US"/>
        </w:rPr>
        <w:t>Marilyn McMahon, ‘</w:t>
      </w:r>
      <w:r w:rsidRPr="004D5DAF">
        <w:rPr>
          <w:rFonts w:ascii="Times New Roman" w:hAnsi="Times New Roman" w:cs="Times New Roman"/>
          <w:sz w:val="20"/>
          <w:szCs w:val="20"/>
          <w:lang w:val="en-US"/>
        </w:rPr>
        <w:t xml:space="preserve">Retrials of persons acquitted of indictable offences in England and Australia: </w:t>
      </w:r>
      <w:r>
        <w:rPr>
          <w:rFonts w:ascii="Times New Roman" w:hAnsi="Times New Roman" w:cs="Times New Roman"/>
          <w:sz w:val="20"/>
          <w:szCs w:val="20"/>
          <w:lang w:val="en-US"/>
        </w:rPr>
        <w:t>E</w:t>
      </w:r>
      <w:r w:rsidRPr="004D5DAF">
        <w:rPr>
          <w:rFonts w:ascii="Times New Roman" w:hAnsi="Times New Roman" w:cs="Times New Roman"/>
          <w:sz w:val="20"/>
          <w:szCs w:val="20"/>
          <w:lang w:val="en-US"/>
        </w:rPr>
        <w:t>xceptions to t</w:t>
      </w:r>
      <w:r>
        <w:rPr>
          <w:rFonts w:ascii="Times New Roman" w:hAnsi="Times New Roman" w:cs="Times New Roman"/>
          <w:sz w:val="20"/>
          <w:szCs w:val="20"/>
          <w:lang w:val="en-US"/>
        </w:rPr>
        <w:t>he rule against double jeopardy’</w:t>
      </w:r>
      <w:r w:rsidRPr="004D5DAF">
        <w:rPr>
          <w:rFonts w:ascii="Times New Roman" w:hAnsi="Times New Roman" w:cs="Times New Roman"/>
          <w:sz w:val="20"/>
          <w:szCs w:val="20"/>
          <w:lang w:val="en-US"/>
        </w:rPr>
        <w:t xml:space="preserve"> (2014) 38(3) </w:t>
      </w:r>
      <w:r w:rsidRPr="004D5DAF">
        <w:rPr>
          <w:rFonts w:ascii="Times New Roman" w:hAnsi="Times New Roman" w:cs="Times New Roman"/>
          <w:i/>
          <w:sz w:val="20"/>
          <w:szCs w:val="20"/>
          <w:lang w:val="en-US"/>
        </w:rPr>
        <w:t>Criminal Law Journal</w:t>
      </w:r>
      <w:r>
        <w:rPr>
          <w:rFonts w:ascii="Times New Roman" w:hAnsi="Times New Roman" w:cs="Times New Roman"/>
          <w:sz w:val="20"/>
          <w:szCs w:val="20"/>
          <w:lang w:val="en-US"/>
        </w:rPr>
        <w:t xml:space="preserve"> 159.</w:t>
      </w:r>
    </w:p>
  </w:footnote>
  <w:footnote w:id="10">
    <w:p w:rsidR="00734798" w:rsidRPr="004D5DAF" w:rsidRDefault="00734798" w:rsidP="00734798">
      <w:pPr>
        <w:pStyle w:val="FootnoteText"/>
        <w:rPr>
          <w:rFonts w:ascii="Times New Roman" w:hAnsi="Times New Roman" w:cs="Times New Roman"/>
          <w:sz w:val="20"/>
          <w:szCs w:val="20"/>
          <w:lang w:val="en-US"/>
        </w:rPr>
      </w:pPr>
      <w:r w:rsidRPr="004D5DAF">
        <w:rPr>
          <w:rStyle w:val="FootnoteReference"/>
          <w:rFonts w:ascii="Times New Roman" w:hAnsi="Times New Roman" w:cs="Times New Roman"/>
          <w:sz w:val="20"/>
          <w:szCs w:val="20"/>
        </w:rPr>
        <w:footnoteRef/>
      </w:r>
      <w:r w:rsidRPr="004D5DAF">
        <w:rPr>
          <w:rFonts w:ascii="Times New Roman" w:hAnsi="Times New Roman" w:cs="Times New Roman"/>
          <w:sz w:val="20"/>
          <w:szCs w:val="20"/>
        </w:rPr>
        <w:t xml:space="preserve"> </w:t>
      </w:r>
      <w:r w:rsidRPr="001707C4">
        <w:rPr>
          <w:rFonts w:ascii="Times New Roman" w:hAnsi="Times New Roman" w:cs="Times New Roman"/>
          <w:i/>
          <w:sz w:val="20"/>
          <w:szCs w:val="20"/>
          <w:lang w:val="en-US"/>
        </w:rPr>
        <w:t>Griffiths v The</w:t>
      </w:r>
      <w:r w:rsidRPr="004D5DAF">
        <w:rPr>
          <w:rFonts w:ascii="Times New Roman" w:hAnsi="Times New Roman" w:cs="Times New Roman"/>
          <w:sz w:val="20"/>
          <w:szCs w:val="20"/>
          <w:lang w:val="en-US"/>
        </w:rPr>
        <w:t xml:space="preserve"> </w:t>
      </w:r>
      <w:r w:rsidRPr="001707C4">
        <w:rPr>
          <w:rFonts w:ascii="Times New Roman" w:hAnsi="Times New Roman" w:cs="Times New Roman"/>
          <w:i/>
          <w:sz w:val="20"/>
          <w:szCs w:val="20"/>
          <w:lang w:val="en-US"/>
        </w:rPr>
        <w:t>Queen</w:t>
      </w:r>
      <w:r w:rsidRPr="004D5DAF">
        <w:rPr>
          <w:rFonts w:ascii="Times New Roman" w:hAnsi="Times New Roman" w:cs="Times New Roman"/>
          <w:sz w:val="20"/>
          <w:szCs w:val="20"/>
          <w:lang w:val="en-US"/>
        </w:rPr>
        <w:t xml:space="preserve"> (1977) 137 CLR 293</w:t>
      </w:r>
      <w:r>
        <w:rPr>
          <w:rFonts w:ascii="Times New Roman" w:hAnsi="Times New Roman" w:cs="Times New Roman"/>
          <w:sz w:val="20"/>
          <w:szCs w:val="20"/>
          <w:lang w:val="en-US"/>
        </w:rPr>
        <w:t>.</w:t>
      </w:r>
    </w:p>
  </w:footnote>
  <w:footnote w:id="11">
    <w:p w:rsidR="00734798" w:rsidRPr="004D5DAF" w:rsidRDefault="00734798" w:rsidP="00734798">
      <w:pPr>
        <w:pStyle w:val="FootnoteText"/>
        <w:rPr>
          <w:rFonts w:ascii="Times New Roman" w:hAnsi="Times New Roman" w:cs="Times New Roman"/>
          <w:sz w:val="20"/>
          <w:szCs w:val="20"/>
          <w:lang w:val="en-US"/>
        </w:rPr>
      </w:pPr>
      <w:r w:rsidRPr="004D5DAF">
        <w:rPr>
          <w:rStyle w:val="FootnoteReference"/>
          <w:rFonts w:ascii="Times New Roman" w:hAnsi="Times New Roman" w:cs="Times New Roman"/>
          <w:sz w:val="20"/>
          <w:szCs w:val="20"/>
        </w:rPr>
        <w:footnoteRef/>
      </w:r>
      <w:r w:rsidRPr="004D5DAF">
        <w:rPr>
          <w:rFonts w:ascii="Times New Roman" w:hAnsi="Times New Roman" w:cs="Times New Roman"/>
          <w:sz w:val="20"/>
          <w:szCs w:val="20"/>
        </w:rPr>
        <w:t xml:space="preserve"> </w:t>
      </w:r>
      <w:r w:rsidRPr="001707C4">
        <w:rPr>
          <w:rFonts w:ascii="Times New Roman" w:hAnsi="Times New Roman" w:cs="Times New Roman"/>
          <w:i/>
          <w:sz w:val="20"/>
          <w:szCs w:val="20"/>
          <w:lang w:val="en-US"/>
        </w:rPr>
        <w:t>R v Margaria</w:t>
      </w:r>
      <w:r>
        <w:rPr>
          <w:rFonts w:ascii="Times New Roman" w:hAnsi="Times New Roman" w:cs="Times New Roman"/>
          <w:sz w:val="20"/>
          <w:szCs w:val="20"/>
          <w:lang w:val="en-US"/>
        </w:rPr>
        <w:t xml:space="preserve"> [2003] WASCA 253 </w:t>
      </w:r>
      <w:r w:rsidRPr="004D5DAF">
        <w:rPr>
          <w:rFonts w:ascii="Times New Roman" w:hAnsi="Times New Roman" w:cs="Times New Roman"/>
          <w:sz w:val="20"/>
          <w:szCs w:val="20"/>
          <w:lang w:val="en-US"/>
        </w:rPr>
        <w:t>[10]</w:t>
      </w:r>
      <w:r>
        <w:rPr>
          <w:rFonts w:ascii="Times New Roman" w:hAnsi="Times New Roman" w:cs="Times New Roman"/>
          <w:sz w:val="20"/>
          <w:szCs w:val="20"/>
          <w:lang w:val="en-US"/>
        </w:rPr>
        <w:t>.</w:t>
      </w:r>
    </w:p>
  </w:footnote>
  <w:footnote w:id="12">
    <w:p w:rsidR="00734798" w:rsidRPr="004D5DAF" w:rsidRDefault="00734798" w:rsidP="00734798">
      <w:pPr>
        <w:pStyle w:val="FootnoteText"/>
        <w:tabs>
          <w:tab w:val="left" w:pos="6757"/>
        </w:tabs>
        <w:rPr>
          <w:rFonts w:ascii="Times New Roman" w:hAnsi="Times New Roman" w:cs="Times New Roman"/>
          <w:sz w:val="20"/>
          <w:szCs w:val="20"/>
          <w:lang w:val="en-US"/>
        </w:rPr>
      </w:pPr>
      <w:r w:rsidRPr="004D5DAF">
        <w:rPr>
          <w:rStyle w:val="FootnoteReference"/>
          <w:rFonts w:ascii="Times New Roman" w:hAnsi="Times New Roman" w:cs="Times New Roman"/>
          <w:sz w:val="20"/>
          <w:szCs w:val="20"/>
        </w:rPr>
        <w:footnoteRef/>
      </w:r>
      <w:r w:rsidRPr="004D5DAF">
        <w:rPr>
          <w:rFonts w:ascii="Times New Roman" w:hAnsi="Times New Roman" w:cs="Times New Roman"/>
          <w:sz w:val="20"/>
          <w:szCs w:val="20"/>
        </w:rPr>
        <w:t xml:space="preserve"> </w:t>
      </w:r>
      <w:r w:rsidRPr="001707C4">
        <w:rPr>
          <w:rFonts w:ascii="Times New Roman" w:hAnsi="Times New Roman" w:cs="Times New Roman"/>
          <w:i/>
          <w:sz w:val="20"/>
          <w:szCs w:val="20"/>
          <w:lang w:val="en-US"/>
        </w:rPr>
        <w:t>DPP v Karazisis</w:t>
      </w:r>
      <w:r>
        <w:rPr>
          <w:rFonts w:ascii="Times New Roman" w:hAnsi="Times New Roman" w:cs="Times New Roman"/>
          <w:sz w:val="20"/>
          <w:szCs w:val="20"/>
          <w:lang w:val="en-US"/>
        </w:rPr>
        <w:t xml:space="preserve"> (2010) 31 VR 634 </w:t>
      </w:r>
      <w:r w:rsidRPr="004D5DAF">
        <w:rPr>
          <w:rFonts w:ascii="Times New Roman" w:hAnsi="Times New Roman" w:cs="Times New Roman"/>
          <w:sz w:val="20"/>
          <w:szCs w:val="20"/>
          <w:lang w:val="en-US"/>
        </w:rPr>
        <w:t>[120]</w:t>
      </w:r>
      <w:r>
        <w:rPr>
          <w:rFonts w:ascii="Times New Roman" w:hAnsi="Times New Roman" w:cs="Times New Roman"/>
          <w:sz w:val="20"/>
          <w:szCs w:val="20"/>
          <w:lang w:val="en-US"/>
        </w:rPr>
        <w:t>.</w:t>
      </w:r>
      <w:r>
        <w:rPr>
          <w:rFonts w:ascii="Times New Roman" w:hAnsi="Times New Roman" w:cs="Times New Roman"/>
          <w:sz w:val="20"/>
          <w:szCs w:val="20"/>
          <w:lang w:val="en-US"/>
        </w:rPr>
        <w:tab/>
      </w:r>
    </w:p>
  </w:footnote>
  <w:footnote w:id="13">
    <w:p w:rsidR="00734798" w:rsidRPr="00DC1C6A" w:rsidRDefault="00734798" w:rsidP="00734798">
      <w:pPr>
        <w:pStyle w:val="FootnoteText"/>
        <w:rPr>
          <w:rFonts w:ascii="Times New Roman" w:hAnsi="Times New Roman" w:cs="Times New Roman"/>
          <w:sz w:val="20"/>
          <w:szCs w:val="20"/>
          <w:lang w:val="de-DE"/>
        </w:rPr>
      </w:pPr>
      <w:r w:rsidRPr="004D5DAF">
        <w:rPr>
          <w:rStyle w:val="FootnoteReference"/>
          <w:rFonts w:ascii="Times New Roman" w:hAnsi="Times New Roman" w:cs="Times New Roman"/>
          <w:sz w:val="20"/>
          <w:szCs w:val="20"/>
        </w:rPr>
        <w:footnoteRef/>
      </w:r>
      <w:r w:rsidRPr="00DC1C6A">
        <w:rPr>
          <w:rFonts w:ascii="Times New Roman" w:hAnsi="Times New Roman" w:cs="Times New Roman"/>
          <w:sz w:val="20"/>
          <w:szCs w:val="20"/>
          <w:lang w:val="de-DE"/>
        </w:rPr>
        <w:t xml:space="preserve"> </w:t>
      </w:r>
      <w:r w:rsidRPr="00DC1C6A">
        <w:rPr>
          <w:rFonts w:ascii="Times New Roman" w:hAnsi="Times New Roman" w:cs="Times New Roman"/>
          <w:i/>
          <w:sz w:val="20"/>
          <w:szCs w:val="20"/>
          <w:lang w:val="de-DE"/>
        </w:rPr>
        <w:t>R v Jessop</w:t>
      </w:r>
      <w:r w:rsidRPr="00DC1C6A">
        <w:rPr>
          <w:rFonts w:ascii="Times New Roman" w:hAnsi="Times New Roman" w:cs="Times New Roman"/>
          <w:sz w:val="20"/>
          <w:szCs w:val="20"/>
          <w:lang w:val="de-DE"/>
        </w:rPr>
        <w:t xml:space="preserve"> [1974] Tas SR 64, 87.</w:t>
      </w:r>
    </w:p>
  </w:footnote>
  <w:footnote w:id="14">
    <w:p w:rsidR="00734798" w:rsidRPr="00DC1C6A" w:rsidRDefault="00734798" w:rsidP="00734798">
      <w:pPr>
        <w:pStyle w:val="FootnoteText"/>
        <w:rPr>
          <w:rFonts w:ascii="Times New Roman" w:hAnsi="Times New Roman" w:cs="Times New Roman"/>
          <w:sz w:val="20"/>
          <w:szCs w:val="20"/>
          <w:lang w:val="en-US"/>
        </w:rPr>
      </w:pPr>
      <w:r w:rsidRPr="00DC1C6A">
        <w:rPr>
          <w:rStyle w:val="FootnoteReference"/>
          <w:rFonts w:ascii="Times New Roman" w:hAnsi="Times New Roman" w:cs="Times New Roman"/>
          <w:sz w:val="20"/>
          <w:szCs w:val="20"/>
        </w:rPr>
        <w:footnoteRef/>
      </w:r>
      <w:r w:rsidRPr="00DC1C6A">
        <w:rPr>
          <w:rFonts w:ascii="Times New Roman" w:hAnsi="Times New Roman" w:cs="Times New Roman"/>
          <w:sz w:val="20"/>
          <w:szCs w:val="20"/>
        </w:rPr>
        <w:t xml:space="preserve"> </w:t>
      </w:r>
      <w:r w:rsidRPr="00DC1C6A">
        <w:rPr>
          <w:rFonts w:ascii="Times New Roman" w:hAnsi="Times New Roman" w:cs="Times New Roman"/>
          <w:sz w:val="20"/>
          <w:szCs w:val="20"/>
          <w:lang w:val="en-US"/>
        </w:rPr>
        <w:t xml:space="preserve">Blackstone, </w:t>
      </w:r>
      <w:r w:rsidRPr="00DC1C6A">
        <w:rPr>
          <w:rFonts w:ascii="Times New Roman" w:hAnsi="Times New Roman" w:cs="Times New Roman"/>
          <w:i/>
          <w:sz w:val="20"/>
          <w:szCs w:val="20"/>
          <w:lang w:val="en-US"/>
        </w:rPr>
        <w:t xml:space="preserve">Commentaries </w:t>
      </w:r>
      <w:r w:rsidRPr="00DC1C6A">
        <w:rPr>
          <w:rFonts w:ascii="Times New Roman" w:hAnsi="Times New Roman" w:cs="Times New Roman"/>
          <w:sz w:val="20"/>
          <w:szCs w:val="20"/>
          <w:lang w:val="en-US"/>
        </w:rPr>
        <w:t>(first published 1769, 1966 ed) 352.</w:t>
      </w:r>
    </w:p>
  </w:footnote>
  <w:footnote w:id="15">
    <w:p w:rsidR="00CE55F7" w:rsidRPr="004D5DAF" w:rsidRDefault="00CE55F7" w:rsidP="00CE55F7">
      <w:pPr>
        <w:pStyle w:val="FootnoteText"/>
        <w:rPr>
          <w:rFonts w:ascii="Times New Roman" w:hAnsi="Times New Roman" w:cs="Times New Roman"/>
          <w:sz w:val="20"/>
          <w:szCs w:val="20"/>
          <w:lang w:val="en-US"/>
        </w:rPr>
      </w:pPr>
      <w:r w:rsidRPr="004D5DAF">
        <w:rPr>
          <w:rStyle w:val="FootnoteReference"/>
          <w:rFonts w:ascii="Times New Roman" w:hAnsi="Times New Roman" w:cs="Times New Roman"/>
          <w:sz w:val="20"/>
          <w:szCs w:val="20"/>
        </w:rPr>
        <w:footnoteRef/>
      </w:r>
      <w:r w:rsidRPr="004D5DAF">
        <w:rPr>
          <w:rFonts w:ascii="Times New Roman" w:hAnsi="Times New Roman" w:cs="Times New Roman"/>
          <w:sz w:val="20"/>
          <w:szCs w:val="20"/>
        </w:rPr>
        <w:t xml:space="preserve"> </w:t>
      </w:r>
      <w:r w:rsidRPr="004D5DAF">
        <w:rPr>
          <w:rFonts w:ascii="Times New Roman" w:hAnsi="Times New Roman" w:cs="Times New Roman"/>
          <w:sz w:val="20"/>
          <w:szCs w:val="20"/>
          <w:lang w:val="en-US"/>
        </w:rPr>
        <w:t>Robyn Lincoln and Steven Benne</w:t>
      </w:r>
      <w:r>
        <w:rPr>
          <w:rFonts w:ascii="Times New Roman" w:hAnsi="Times New Roman" w:cs="Times New Roman"/>
          <w:sz w:val="20"/>
          <w:szCs w:val="20"/>
          <w:lang w:val="en-US"/>
        </w:rPr>
        <w:t>tts</w:t>
      </w:r>
      <w:r w:rsidRPr="004D5DAF">
        <w:rPr>
          <w:rFonts w:ascii="Times New Roman" w:hAnsi="Times New Roman" w:cs="Times New Roman"/>
          <w:sz w:val="20"/>
          <w:szCs w:val="20"/>
          <w:lang w:val="en-US"/>
        </w:rPr>
        <w:t xml:space="preserve">, ‘Should the double jeopardy rule be in jeopardy?’ (2003) 9(2) </w:t>
      </w:r>
      <w:r w:rsidRPr="004D5DAF">
        <w:rPr>
          <w:rFonts w:ascii="Times New Roman" w:hAnsi="Times New Roman" w:cs="Times New Roman"/>
          <w:i/>
          <w:sz w:val="20"/>
          <w:szCs w:val="20"/>
          <w:lang w:val="en-US"/>
        </w:rPr>
        <w:t>The National Legal Eagle</w:t>
      </w:r>
      <w:r w:rsidRPr="004D5DAF">
        <w:rPr>
          <w:rFonts w:ascii="Times New Roman" w:hAnsi="Times New Roman" w:cs="Times New Roman"/>
          <w:sz w:val="20"/>
          <w:szCs w:val="20"/>
          <w:lang w:val="en-US"/>
        </w:rPr>
        <w:t xml:space="preserve"> 11.</w:t>
      </w:r>
    </w:p>
  </w:footnote>
  <w:footnote w:id="16">
    <w:p w:rsidR="00CE55F7" w:rsidRPr="00DC1C6A" w:rsidRDefault="00CE55F7" w:rsidP="00CE55F7">
      <w:pPr>
        <w:pStyle w:val="FootnoteText"/>
        <w:rPr>
          <w:rFonts w:ascii="Times New Roman" w:hAnsi="Times New Roman" w:cs="Times New Roman"/>
          <w:sz w:val="20"/>
          <w:szCs w:val="20"/>
          <w:lang w:val="en-US"/>
        </w:rPr>
      </w:pPr>
      <w:r>
        <w:rPr>
          <w:rStyle w:val="FootnoteReference"/>
        </w:rPr>
        <w:footnoteRef/>
      </w:r>
      <w:r>
        <w:t xml:space="preserve"> </w:t>
      </w:r>
      <w:r w:rsidRPr="001707C4">
        <w:rPr>
          <w:rFonts w:ascii="Times New Roman" w:hAnsi="Times New Roman" w:cs="Times New Roman"/>
          <w:i/>
          <w:sz w:val="20"/>
          <w:szCs w:val="20"/>
          <w:lang w:val="en-US"/>
        </w:rPr>
        <w:t>R v Benz</w:t>
      </w:r>
      <w:r>
        <w:rPr>
          <w:rFonts w:ascii="Times New Roman" w:hAnsi="Times New Roman" w:cs="Times New Roman"/>
          <w:sz w:val="20"/>
          <w:szCs w:val="20"/>
          <w:lang w:val="en-US"/>
        </w:rPr>
        <w:t xml:space="preserve"> (1989) 168 CLR 110, </w:t>
      </w:r>
      <w:r w:rsidRPr="004D5DAF">
        <w:rPr>
          <w:rFonts w:ascii="Times New Roman" w:hAnsi="Times New Roman" w:cs="Times New Roman"/>
          <w:sz w:val="20"/>
          <w:szCs w:val="20"/>
          <w:lang w:val="en-US"/>
        </w:rPr>
        <w:t>112</w:t>
      </w:r>
      <w:r>
        <w:rPr>
          <w:rFonts w:ascii="Times New Roman" w:hAnsi="Times New Roman" w:cs="Times New Roman"/>
          <w:sz w:val="20"/>
          <w:szCs w:val="20"/>
          <w:lang w:val="en-US"/>
        </w:rPr>
        <w:t>.</w:t>
      </w:r>
    </w:p>
  </w:footnote>
  <w:footnote w:id="17">
    <w:p w:rsidR="00CE55F7" w:rsidRPr="00DC1C6A" w:rsidRDefault="00CE55F7" w:rsidP="00CE55F7">
      <w:pPr>
        <w:pStyle w:val="FootnoteText"/>
        <w:rPr>
          <w:rFonts w:ascii="Times New Roman" w:hAnsi="Times New Roman" w:cs="Times New Roman"/>
          <w:sz w:val="20"/>
          <w:szCs w:val="20"/>
          <w:lang w:val="en-US"/>
        </w:rPr>
      </w:pPr>
      <w:r w:rsidRPr="00DC1C6A">
        <w:rPr>
          <w:rStyle w:val="FootnoteReference"/>
          <w:rFonts w:ascii="Times New Roman" w:hAnsi="Times New Roman" w:cs="Times New Roman"/>
          <w:sz w:val="20"/>
          <w:szCs w:val="20"/>
        </w:rPr>
        <w:footnoteRef/>
      </w:r>
      <w:r w:rsidRPr="00DC1C6A">
        <w:rPr>
          <w:rFonts w:ascii="Times New Roman" w:hAnsi="Times New Roman" w:cs="Times New Roman"/>
          <w:sz w:val="20"/>
          <w:szCs w:val="20"/>
        </w:rPr>
        <w:t xml:space="preserve"> </w:t>
      </w:r>
      <w:r w:rsidRPr="00DC1C6A">
        <w:rPr>
          <w:rFonts w:ascii="Times New Roman" w:hAnsi="Times New Roman" w:cs="Times New Roman"/>
          <w:sz w:val="20"/>
          <w:szCs w:val="20"/>
          <w:lang w:val="en-US"/>
        </w:rPr>
        <w:t xml:space="preserve">Kelley Burton, ‘Reform of the Double Jeopardy Rules of the Basis of Fresh and Compelling DNA Evidence in New South Wales and Queensland’ (2004) 11 </w:t>
      </w:r>
      <w:r w:rsidRPr="00DC1C6A">
        <w:rPr>
          <w:rFonts w:ascii="Times New Roman" w:hAnsi="Times New Roman" w:cs="Times New Roman"/>
          <w:i/>
          <w:sz w:val="20"/>
          <w:szCs w:val="20"/>
          <w:lang w:val="en-US"/>
        </w:rPr>
        <w:t xml:space="preserve">James Cook University Law Review </w:t>
      </w:r>
      <w:r w:rsidRPr="00DC1C6A">
        <w:rPr>
          <w:rFonts w:ascii="Times New Roman" w:hAnsi="Times New Roman" w:cs="Times New Roman"/>
          <w:sz w:val="20"/>
          <w:szCs w:val="20"/>
          <w:lang w:val="en-US"/>
        </w:rPr>
        <w:t>84, 89.</w:t>
      </w:r>
    </w:p>
  </w:footnote>
  <w:footnote w:id="18">
    <w:p w:rsidR="00CE55F7" w:rsidRPr="004D5DAF" w:rsidRDefault="00CE55F7" w:rsidP="00CE55F7">
      <w:pPr>
        <w:pStyle w:val="FootnoteText"/>
        <w:rPr>
          <w:rFonts w:ascii="Times New Roman" w:hAnsi="Times New Roman" w:cs="Times New Roman"/>
          <w:sz w:val="20"/>
          <w:szCs w:val="20"/>
          <w:lang w:val="en-US"/>
        </w:rPr>
      </w:pPr>
      <w:r w:rsidRPr="004D5DAF">
        <w:rPr>
          <w:rStyle w:val="FootnoteReference"/>
          <w:rFonts w:ascii="Times New Roman" w:hAnsi="Times New Roman" w:cs="Times New Roman"/>
          <w:sz w:val="20"/>
          <w:szCs w:val="20"/>
        </w:rPr>
        <w:footnoteRef/>
      </w:r>
      <w:r w:rsidRPr="004D5DAF">
        <w:rPr>
          <w:rFonts w:ascii="Times New Roman" w:hAnsi="Times New Roman" w:cs="Times New Roman"/>
          <w:sz w:val="20"/>
          <w:szCs w:val="20"/>
        </w:rPr>
        <w:t xml:space="preserve"> Michelle Edgley, ‘Truth or Justice? Double Jeopardy Reform for Queensland: Rights in Jeopardy’ (2007) 7(1) </w:t>
      </w:r>
      <w:r w:rsidRPr="004D5DAF">
        <w:rPr>
          <w:rFonts w:ascii="Times New Roman" w:hAnsi="Times New Roman" w:cs="Times New Roman"/>
          <w:i/>
          <w:sz w:val="20"/>
          <w:szCs w:val="20"/>
        </w:rPr>
        <w:t>QUT Law &amp; Justice Journal</w:t>
      </w:r>
      <w:r w:rsidRPr="004D5DAF">
        <w:rPr>
          <w:rFonts w:ascii="Times New Roman" w:hAnsi="Times New Roman" w:cs="Times New Roman"/>
          <w:sz w:val="20"/>
          <w:szCs w:val="20"/>
        </w:rPr>
        <w:t xml:space="preserve"> 108.</w:t>
      </w:r>
    </w:p>
  </w:footnote>
  <w:footnote w:id="19">
    <w:p w:rsidR="00CE55F7" w:rsidRPr="004D5DAF" w:rsidRDefault="00CE55F7" w:rsidP="00CE55F7">
      <w:pPr>
        <w:pStyle w:val="FootnoteText"/>
        <w:rPr>
          <w:rFonts w:ascii="Times New Roman" w:hAnsi="Times New Roman" w:cs="Times New Roman"/>
          <w:sz w:val="20"/>
          <w:szCs w:val="20"/>
          <w:lang w:val="en-US"/>
        </w:rPr>
      </w:pPr>
      <w:r w:rsidRPr="004D5DAF">
        <w:rPr>
          <w:rStyle w:val="FootnoteReference"/>
          <w:rFonts w:ascii="Times New Roman" w:hAnsi="Times New Roman" w:cs="Times New Roman"/>
          <w:sz w:val="20"/>
          <w:szCs w:val="20"/>
        </w:rPr>
        <w:footnoteRef/>
      </w:r>
      <w:r w:rsidRPr="004D5DAF">
        <w:rPr>
          <w:rFonts w:ascii="Times New Roman" w:hAnsi="Times New Roman" w:cs="Times New Roman"/>
          <w:sz w:val="20"/>
          <w:szCs w:val="20"/>
        </w:rPr>
        <w:t xml:space="preserve"> </w:t>
      </w:r>
      <w:r w:rsidRPr="004D5DAF">
        <w:rPr>
          <w:rFonts w:ascii="Times New Roman" w:hAnsi="Times New Roman" w:cs="Times New Roman"/>
          <w:sz w:val="20"/>
          <w:szCs w:val="20"/>
          <w:lang w:val="en-US"/>
        </w:rPr>
        <w:t>Robyn Lincoln and Steven Benne</w:t>
      </w:r>
      <w:r>
        <w:rPr>
          <w:rFonts w:ascii="Times New Roman" w:hAnsi="Times New Roman" w:cs="Times New Roman"/>
          <w:sz w:val="20"/>
          <w:szCs w:val="20"/>
          <w:lang w:val="en-US"/>
        </w:rPr>
        <w:t>tts</w:t>
      </w:r>
      <w:r w:rsidRPr="004D5DAF">
        <w:rPr>
          <w:rFonts w:ascii="Times New Roman" w:hAnsi="Times New Roman" w:cs="Times New Roman"/>
          <w:sz w:val="20"/>
          <w:szCs w:val="20"/>
          <w:lang w:val="en-US"/>
        </w:rPr>
        <w:t xml:space="preserve">, ‘Should the double jeopardy rule be in jeopardy?’ (2003) 9(2) </w:t>
      </w:r>
      <w:r w:rsidRPr="004D5DAF">
        <w:rPr>
          <w:rFonts w:ascii="Times New Roman" w:hAnsi="Times New Roman" w:cs="Times New Roman"/>
          <w:i/>
          <w:sz w:val="20"/>
          <w:szCs w:val="20"/>
          <w:lang w:val="en-US"/>
        </w:rPr>
        <w:t>The National Legal Eagle</w:t>
      </w:r>
      <w:r w:rsidRPr="004D5DAF">
        <w:rPr>
          <w:rFonts w:ascii="Times New Roman" w:hAnsi="Times New Roman" w:cs="Times New Roman"/>
          <w:sz w:val="20"/>
          <w:szCs w:val="20"/>
          <w:lang w:val="en-US"/>
        </w:rPr>
        <w:t xml:space="preserve"> 11..</w:t>
      </w:r>
    </w:p>
  </w:footnote>
  <w:footnote w:id="20">
    <w:p w:rsidR="00CE55F7" w:rsidRPr="004D5DAF" w:rsidRDefault="00CE55F7" w:rsidP="00CE55F7">
      <w:pPr>
        <w:pStyle w:val="FootnoteText"/>
        <w:rPr>
          <w:rFonts w:ascii="Times New Roman" w:hAnsi="Times New Roman" w:cs="Times New Roman"/>
          <w:sz w:val="20"/>
          <w:szCs w:val="20"/>
          <w:lang w:val="en-US"/>
        </w:rPr>
      </w:pPr>
      <w:r w:rsidRPr="004D5DAF">
        <w:rPr>
          <w:rStyle w:val="FootnoteReference"/>
          <w:rFonts w:ascii="Times New Roman" w:hAnsi="Times New Roman" w:cs="Times New Roman"/>
          <w:sz w:val="20"/>
          <w:szCs w:val="20"/>
        </w:rPr>
        <w:footnoteRef/>
      </w:r>
      <w:r w:rsidRPr="004D5DAF">
        <w:rPr>
          <w:rFonts w:ascii="Times New Roman" w:hAnsi="Times New Roman" w:cs="Times New Roman"/>
          <w:sz w:val="20"/>
          <w:szCs w:val="20"/>
        </w:rPr>
        <w:t xml:space="preserve"> </w:t>
      </w:r>
      <w:r w:rsidRPr="004D5DAF">
        <w:rPr>
          <w:rFonts w:ascii="Times New Roman" w:hAnsi="Times New Roman" w:cs="Times New Roman"/>
          <w:sz w:val="20"/>
          <w:szCs w:val="20"/>
          <w:lang w:val="en-US"/>
        </w:rPr>
        <w:t>Ibid.</w:t>
      </w:r>
    </w:p>
  </w:footnote>
  <w:footnote w:id="21">
    <w:p w:rsidR="00CE55F7" w:rsidRPr="00DC1C6A" w:rsidRDefault="00CE55F7" w:rsidP="00CE55F7">
      <w:pPr>
        <w:pStyle w:val="FootnoteText"/>
        <w:rPr>
          <w:rFonts w:ascii="Times New Roman" w:hAnsi="Times New Roman" w:cs="Times New Roman"/>
          <w:sz w:val="20"/>
          <w:szCs w:val="20"/>
          <w:lang w:val="en-US"/>
        </w:rPr>
      </w:pPr>
      <w:r>
        <w:rPr>
          <w:rStyle w:val="FootnoteReference"/>
        </w:rPr>
        <w:footnoteRef/>
      </w:r>
      <w:r>
        <w:t xml:space="preserve"> </w:t>
      </w:r>
      <w:r w:rsidRPr="00C0010D">
        <w:rPr>
          <w:rFonts w:ascii="Times New Roman" w:hAnsi="Times New Roman" w:cs="Times New Roman"/>
          <w:sz w:val="20"/>
          <w:szCs w:val="20"/>
          <w:lang w:val="en-US"/>
        </w:rPr>
        <w:t xml:space="preserve">Kelley Burton, ‘Reform of the Double Jeopardy Rules of the Basis of Fresh and Compelling DNA Evidence in New South Wales and Queensland’ (2004) 11 </w:t>
      </w:r>
      <w:r w:rsidRPr="00C0010D">
        <w:rPr>
          <w:rFonts w:ascii="Times New Roman" w:hAnsi="Times New Roman" w:cs="Times New Roman"/>
          <w:i/>
          <w:sz w:val="20"/>
          <w:szCs w:val="20"/>
          <w:lang w:val="en-US"/>
        </w:rPr>
        <w:t xml:space="preserve">James Cook University Law Review </w:t>
      </w:r>
      <w:r>
        <w:rPr>
          <w:rFonts w:ascii="Times New Roman" w:hAnsi="Times New Roman" w:cs="Times New Roman"/>
          <w:sz w:val="20"/>
          <w:szCs w:val="20"/>
          <w:lang w:val="en-US"/>
        </w:rPr>
        <w:t>84, 91.</w:t>
      </w:r>
    </w:p>
  </w:footnote>
  <w:footnote w:id="22">
    <w:p w:rsidR="00CE55F7" w:rsidRPr="004D5DAF" w:rsidRDefault="00CE55F7" w:rsidP="00CE55F7">
      <w:pPr>
        <w:pStyle w:val="FootnoteText"/>
        <w:rPr>
          <w:rFonts w:ascii="Times New Roman" w:hAnsi="Times New Roman" w:cs="Times New Roman"/>
          <w:sz w:val="20"/>
          <w:szCs w:val="20"/>
          <w:lang w:val="en-US"/>
        </w:rPr>
      </w:pPr>
      <w:r w:rsidRPr="004D5DAF">
        <w:rPr>
          <w:rStyle w:val="FootnoteReference"/>
          <w:rFonts w:ascii="Times New Roman" w:hAnsi="Times New Roman" w:cs="Times New Roman"/>
          <w:sz w:val="20"/>
          <w:szCs w:val="20"/>
        </w:rPr>
        <w:footnoteRef/>
      </w:r>
      <w:r w:rsidRPr="004D5DAF">
        <w:rPr>
          <w:rFonts w:ascii="Times New Roman" w:hAnsi="Times New Roman" w:cs="Times New Roman"/>
          <w:sz w:val="20"/>
          <w:szCs w:val="20"/>
        </w:rPr>
        <w:t xml:space="preserve"> </w:t>
      </w:r>
      <w:r w:rsidRPr="004D5DAF">
        <w:rPr>
          <w:rFonts w:ascii="Times New Roman" w:hAnsi="Times New Roman" w:cs="Times New Roman"/>
          <w:sz w:val="20"/>
          <w:szCs w:val="20"/>
          <w:lang w:val="en-US"/>
        </w:rPr>
        <w:t>Robyn Lincoln and Steven Benne</w:t>
      </w:r>
      <w:r>
        <w:rPr>
          <w:rFonts w:ascii="Times New Roman" w:hAnsi="Times New Roman" w:cs="Times New Roman"/>
          <w:sz w:val="20"/>
          <w:szCs w:val="20"/>
          <w:lang w:val="en-US"/>
        </w:rPr>
        <w:t>tts</w:t>
      </w:r>
      <w:r w:rsidRPr="004D5DAF">
        <w:rPr>
          <w:rFonts w:ascii="Times New Roman" w:hAnsi="Times New Roman" w:cs="Times New Roman"/>
          <w:sz w:val="20"/>
          <w:szCs w:val="20"/>
          <w:lang w:val="en-US"/>
        </w:rPr>
        <w:t xml:space="preserve">, ‘Should the double jeopardy rule be in jeopardy?’ (2003) 9(2) </w:t>
      </w:r>
      <w:r w:rsidRPr="004D5DAF">
        <w:rPr>
          <w:rFonts w:ascii="Times New Roman" w:hAnsi="Times New Roman" w:cs="Times New Roman"/>
          <w:i/>
          <w:sz w:val="20"/>
          <w:szCs w:val="20"/>
          <w:lang w:val="en-US"/>
        </w:rPr>
        <w:t>The National Legal Eagle</w:t>
      </w:r>
      <w:r w:rsidRPr="004D5DAF">
        <w:rPr>
          <w:rFonts w:ascii="Times New Roman" w:hAnsi="Times New Roman" w:cs="Times New Roman"/>
          <w:sz w:val="20"/>
          <w:szCs w:val="20"/>
          <w:lang w:val="en-US"/>
        </w:rPr>
        <w:t xml:space="preserve"> 11.</w:t>
      </w:r>
    </w:p>
  </w:footnote>
  <w:footnote w:id="23">
    <w:p w:rsidR="00CE55F7" w:rsidRPr="004D5DAF" w:rsidRDefault="00CE55F7" w:rsidP="00CE55F7">
      <w:pPr>
        <w:pStyle w:val="FootnoteText"/>
        <w:rPr>
          <w:rFonts w:ascii="Times New Roman" w:hAnsi="Times New Roman" w:cs="Times New Roman"/>
          <w:sz w:val="20"/>
          <w:szCs w:val="20"/>
          <w:lang w:val="en-US"/>
        </w:rPr>
      </w:pPr>
      <w:r w:rsidRPr="004D5DAF">
        <w:rPr>
          <w:rStyle w:val="FootnoteReference"/>
          <w:rFonts w:ascii="Times New Roman" w:hAnsi="Times New Roman" w:cs="Times New Roman"/>
          <w:sz w:val="20"/>
          <w:szCs w:val="20"/>
        </w:rPr>
        <w:footnoteRef/>
      </w:r>
      <w:r w:rsidRPr="004D5DAF">
        <w:rPr>
          <w:rFonts w:ascii="Times New Roman" w:hAnsi="Times New Roman" w:cs="Times New Roman"/>
          <w:sz w:val="20"/>
          <w:szCs w:val="20"/>
        </w:rPr>
        <w:t xml:space="preserve"> </w:t>
      </w:r>
      <w:r w:rsidRPr="004D5DAF">
        <w:rPr>
          <w:rFonts w:ascii="Times New Roman" w:hAnsi="Times New Roman" w:cs="Times New Roman"/>
          <w:i/>
          <w:sz w:val="20"/>
          <w:szCs w:val="20"/>
          <w:lang w:val="en-US"/>
        </w:rPr>
        <w:t>R v Carroll</w:t>
      </w:r>
      <w:r w:rsidRPr="004D5DAF">
        <w:rPr>
          <w:rFonts w:ascii="Times New Roman" w:hAnsi="Times New Roman" w:cs="Times New Roman"/>
          <w:sz w:val="20"/>
          <w:szCs w:val="20"/>
          <w:lang w:val="en-US"/>
        </w:rPr>
        <w:t xml:space="preserve"> [2002] HCA 55.</w:t>
      </w:r>
    </w:p>
  </w:footnote>
  <w:footnote w:id="24">
    <w:p w:rsidR="00CE55F7" w:rsidRPr="00DC1C6A" w:rsidRDefault="00CE55F7" w:rsidP="00CE55F7">
      <w:pPr>
        <w:pStyle w:val="FootnoteText"/>
        <w:rPr>
          <w:rFonts w:ascii="Times New Roman" w:hAnsi="Times New Roman" w:cs="Times New Roman"/>
          <w:sz w:val="20"/>
          <w:szCs w:val="20"/>
          <w:lang w:val="en-US"/>
        </w:rPr>
      </w:pPr>
      <w:r>
        <w:rPr>
          <w:rStyle w:val="FootnoteReference"/>
        </w:rPr>
        <w:footnoteRef/>
      </w:r>
      <w:r>
        <w:t xml:space="preserve"> </w:t>
      </w:r>
      <w:r w:rsidRPr="00C0010D">
        <w:rPr>
          <w:rFonts w:ascii="Times New Roman" w:hAnsi="Times New Roman" w:cs="Times New Roman"/>
          <w:sz w:val="20"/>
          <w:szCs w:val="20"/>
          <w:lang w:val="en-US"/>
        </w:rPr>
        <w:t xml:space="preserve">Kelley Burton, ‘Reform of the Double Jeopardy Rules of the Basis of Fresh and Compelling DNA Evidence in New South Wales and Queensland’ (2004) 11 </w:t>
      </w:r>
      <w:r w:rsidRPr="00C0010D">
        <w:rPr>
          <w:rFonts w:ascii="Times New Roman" w:hAnsi="Times New Roman" w:cs="Times New Roman"/>
          <w:i/>
          <w:sz w:val="20"/>
          <w:szCs w:val="20"/>
          <w:lang w:val="en-US"/>
        </w:rPr>
        <w:t xml:space="preserve">James Cook University Law Review </w:t>
      </w:r>
      <w:r>
        <w:rPr>
          <w:rFonts w:ascii="Times New Roman" w:hAnsi="Times New Roman" w:cs="Times New Roman"/>
          <w:sz w:val="20"/>
          <w:szCs w:val="20"/>
          <w:lang w:val="en-US"/>
        </w:rPr>
        <w:t>84, 91.</w:t>
      </w:r>
    </w:p>
  </w:footnote>
  <w:footnote w:id="25">
    <w:p w:rsidR="00CE55F7" w:rsidRPr="004D5DAF" w:rsidRDefault="00CE55F7" w:rsidP="00CE55F7">
      <w:pPr>
        <w:pStyle w:val="FootnoteText"/>
        <w:rPr>
          <w:rFonts w:ascii="Times New Roman" w:hAnsi="Times New Roman" w:cs="Times New Roman"/>
          <w:sz w:val="20"/>
          <w:szCs w:val="20"/>
          <w:lang w:val="en-US"/>
        </w:rPr>
      </w:pPr>
      <w:r w:rsidRPr="004D5DAF">
        <w:rPr>
          <w:rStyle w:val="FootnoteReference"/>
          <w:rFonts w:ascii="Times New Roman" w:hAnsi="Times New Roman" w:cs="Times New Roman"/>
          <w:sz w:val="20"/>
          <w:szCs w:val="20"/>
        </w:rPr>
        <w:footnoteRef/>
      </w:r>
      <w:r w:rsidRPr="004D5DAF">
        <w:rPr>
          <w:rFonts w:ascii="Times New Roman" w:hAnsi="Times New Roman" w:cs="Times New Roman"/>
          <w:sz w:val="20"/>
          <w:szCs w:val="20"/>
        </w:rPr>
        <w:t xml:space="preserve"> </w:t>
      </w:r>
      <w:r w:rsidRPr="004D5DAF">
        <w:rPr>
          <w:rFonts w:ascii="Times New Roman" w:hAnsi="Times New Roman" w:cs="Times New Roman"/>
          <w:sz w:val="20"/>
          <w:szCs w:val="20"/>
          <w:lang w:val="en-US"/>
        </w:rPr>
        <w:t>Robyn Lincoln and Steven Benne</w:t>
      </w:r>
      <w:r>
        <w:rPr>
          <w:rFonts w:ascii="Times New Roman" w:hAnsi="Times New Roman" w:cs="Times New Roman"/>
          <w:sz w:val="20"/>
          <w:szCs w:val="20"/>
          <w:lang w:val="en-US"/>
        </w:rPr>
        <w:t>tts</w:t>
      </w:r>
      <w:r w:rsidRPr="004D5DAF">
        <w:rPr>
          <w:rFonts w:ascii="Times New Roman" w:hAnsi="Times New Roman" w:cs="Times New Roman"/>
          <w:sz w:val="20"/>
          <w:szCs w:val="20"/>
          <w:lang w:val="en-US"/>
        </w:rPr>
        <w:t xml:space="preserve">, ‘Should the double jeopardy rule be in jeopardy?’ (2003) 9(2) </w:t>
      </w:r>
      <w:r w:rsidRPr="004D5DAF">
        <w:rPr>
          <w:rFonts w:ascii="Times New Roman" w:hAnsi="Times New Roman" w:cs="Times New Roman"/>
          <w:i/>
          <w:sz w:val="20"/>
          <w:szCs w:val="20"/>
          <w:lang w:val="en-US"/>
        </w:rPr>
        <w:t>The National Legal Eagle</w:t>
      </w:r>
      <w:r w:rsidRPr="004D5DAF">
        <w:rPr>
          <w:rFonts w:ascii="Times New Roman" w:hAnsi="Times New Roman" w:cs="Times New Roman"/>
          <w:sz w:val="20"/>
          <w:szCs w:val="20"/>
          <w:lang w:val="en-US"/>
        </w:rPr>
        <w:t xml:space="preserve"> 11.</w:t>
      </w:r>
    </w:p>
  </w:footnote>
  <w:footnote w:id="26">
    <w:p w:rsidR="00CE55F7" w:rsidRPr="00DC1C6A" w:rsidRDefault="00CE55F7" w:rsidP="00CE55F7">
      <w:pPr>
        <w:pStyle w:val="FootnoteText"/>
        <w:rPr>
          <w:lang w:val="en-US"/>
        </w:rPr>
      </w:pPr>
      <w:r>
        <w:rPr>
          <w:rStyle w:val="FootnoteReference"/>
        </w:rPr>
        <w:footnoteRef/>
      </w:r>
      <w:r>
        <w:t xml:space="preserve"> </w:t>
      </w:r>
      <w:r w:rsidRPr="00C0010D">
        <w:rPr>
          <w:rFonts w:ascii="Times New Roman" w:hAnsi="Times New Roman" w:cs="Times New Roman"/>
          <w:sz w:val="20"/>
          <w:szCs w:val="20"/>
          <w:lang w:val="en-US"/>
        </w:rPr>
        <w:t xml:space="preserve">Kelley Burton, ‘Reform of the Double Jeopardy Rules of the Basis of Fresh and Compelling DNA Evidence in New South Wales and Queensland’ (2004) 11 </w:t>
      </w:r>
      <w:r w:rsidRPr="00C0010D">
        <w:rPr>
          <w:rFonts w:ascii="Times New Roman" w:hAnsi="Times New Roman" w:cs="Times New Roman"/>
          <w:i/>
          <w:sz w:val="20"/>
          <w:szCs w:val="20"/>
          <w:lang w:val="en-US"/>
        </w:rPr>
        <w:t xml:space="preserve">James Cook University Law Review </w:t>
      </w:r>
      <w:r>
        <w:rPr>
          <w:rFonts w:ascii="Times New Roman" w:hAnsi="Times New Roman" w:cs="Times New Roman"/>
          <w:sz w:val="20"/>
          <w:szCs w:val="20"/>
          <w:lang w:val="en-US"/>
        </w:rPr>
        <w:t>84, 90.</w:t>
      </w:r>
    </w:p>
  </w:footnote>
  <w:footnote w:id="27">
    <w:p w:rsidR="00D94763" w:rsidRPr="00DC1C6A" w:rsidRDefault="00D94763" w:rsidP="00D94763">
      <w:pPr>
        <w:pStyle w:val="FootnoteText"/>
        <w:rPr>
          <w:lang w:val="en-US"/>
        </w:rPr>
      </w:pPr>
      <w:r>
        <w:rPr>
          <w:rStyle w:val="FootnoteReference"/>
        </w:rPr>
        <w:footnoteRef/>
      </w:r>
      <w:r>
        <w:t xml:space="preserve"> </w:t>
      </w:r>
      <w:r w:rsidRPr="00C0010D">
        <w:rPr>
          <w:rFonts w:ascii="Times New Roman" w:hAnsi="Times New Roman" w:cs="Times New Roman"/>
          <w:sz w:val="20"/>
          <w:szCs w:val="20"/>
          <w:lang w:val="en-US"/>
        </w:rPr>
        <w:t xml:space="preserve">Kelley Burton, ‘Reform of the Double Jeopardy Rules of the Basis of Fresh and Compelling DNA Evidence in New South Wales and Queensland’ (2004) 11 </w:t>
      </w:r>
      <w:r w:rsidRPr="00C0010D">
        <w:rPr>
          <w:rFonts w:ascii="Times New Roman" w:hAnsi="Times New Roman" w:cs="Times New Roman"/>
          <w:i/>
          <w:sz w:val="20"/>
          <w:szCs w:val="20"/>
          <w:lang w:val="en-US"/>
        </w:rPr>
        <w:t xml:space="preserve">James Cook University Law Review </w:t>
      </w:r>
      <w:r>
        <w:rPr>
          <w:rFonts w:ascii="Times New Roman" w:hAnsi="Times New Roman" w:cs="Times New Roman"/>
          <w:sz w:val="20"/>
          <w:szCs w:val="20"/>
          <w:lang w:val="en-US"/>
        </w:rPr>
        <w:t>84, 92.  For example, see the exceptions to double jeopardy in Queensland and New South Wales.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277" w:rsidRDefault="007D22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277" w:rsidRPr="007D2277" w:rsidRDefault="006A1BC5" w:rsidP="007D2277">
    <w:pPr>
      <w:spacing w:line="360" w:lineRule="auto"/>
      <w:rPr>
        <w:rFonts w:ascii="Times New Roman" w:hAnsi="Times New Roman" w:cs="Times New Roman"/>
      </w:rPr>
    </w:pPr>
    <w:r w:rsidRPr="007D2277">
      <w:t>123.</w:t>
    </w:r>
    <w:r w:rsidRPr="007D2277">
      <w:rPr>
        <w:rFonts w:eastAsia="Times New Roman"/>
      </w:rPr>
      <w:t xml:space="preserve"> </w:t>
    </w:r>
    <w:r w:rsidR="007D2277" w:rsidRPr="007D2277">
      <w:rPr>
        <w:rFonts w:ascii="Times New Roman" w:hAnsi="Times New Roman" w:cs="Times New Roman"/>
      </w:rPr>
      <w:t>Associate Professor Kelley Burton, Nickolis Black, Kayla Bucknall,</w:t>
    </w:r>
  </w:p>
  <w:p w:rsidR="007D2277" w:rsidRDefault="007D2277" w:rsidP="007D2277">
    <w:pPr>
      <w:spacing w:line="360" w:lineRule="auto"/>
      <w:rPr>
        <w:rFonts w:ascii="Times New Roman" w:hAnsi="Times New Roman" w:cs="Times New Roman"/>
      </w:rPr>
    </w:pPr>
    <w:r w:rsidRPr="007D2277">
      <w:rPr>
        <w:rFonts w:ascii="Times New Roman" w:hAnsi="Times New Roman" w:cs="Times New Roman"/>
      </w:rPr>
      <w:t xml:space="preserve">Simone Henriksen, Teddy Henriksen, Neesha Maidwell, Karran Moseley </w:t>
    </w:r>
  </w:p>
  <w:p w:rsidR="007D2277" w:rsidRPr="007D2277" w:rsidRDefault="007D2277" w:rsidP="007D2277">
    <w:pPr>
      <w:spacing w:line="360" w:lineRule="auto"/>
      <w:rPr>
        <w:rFonts w:ascii="Times New Roman" w:hAnsi="Times New Roman" w:cs="Times New Roman"/>
      </w:rPr>
    </w:pPr>
    <w:r w:rsidRPr="007D2277">
      <w:rPr>
        <w:rFonts w:ascii="Times New Roman" w:hAnsi="Times New Roman" w:cs="Times New Roman"/>
      </w:rPr>
      <w:t>and Seona Todd</w:t>
    </w:r>
  </w:p>
  <w:p w:rsidR="006A1BC5" w:rsidRDefault="006A1BC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277" w:rsidRDefault="007D227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294FC7"/>
    <w:rsid w:val="00000ED8"/>
    <w:rsid w:val="00003E99"/>
    <w:rsid w:val="00010CA6"/>
    <w:rsid w:val="0003077F"/>
    <w:rsid w:val="000B0084"/>
    <w:rsid w:val="000D6BD1"/>
    <w:rsid w:val="000E3B9B"/>
    <w:rsid w:val="00114CE3"/>
    <w:rsid w:val="00155D50"/>
    <w:rsid w:val="001627DD"/>
    <w:rsid w:val="001673AE"/>
    <w:rsid w:val="001707C4"/>
    <w:rsid w:val="001843E8"/>
    <w:rsid w:val="001A6203"/>
    <w:rsid w:val="001B1BF2"/>
    <w:rsid w:val="001D3C55"/>
    <w:rsid w:val="00211A5C"/>
    <w:rsid w:val="00215761"/>
    <w:rsid w:val="002307B2"/>
    <w:rsid w:val="00232450"/>
    <w:rsid w:val="002765F0"/>
    <w:rsid w:val="00280957"/>
    <w:rsid w:val="00294FC7"/>
    <w:rsid w:val="002F37D4"/>
    <w:rsid w:val="00310049"/>
    <w:rsid w:val="00321868"/>
    <w:rsid w:val="00373537"/>
    <w:rsid w:val="0037601F"/>
    <w:rsid w:val="003A3AA2"/>
    <w:rsid w:val="003A4510"/>
    <w:rsid w:val="003C655A"/>
    <w:rsid w:val="00406C30"/>
    <w:rsid w:val="00425E4A"/>
    <w:rsid w:val="00441099"/>
    <w:rsid w:val="004422A3"/>
    <w:rsid w:val="00443A61"/>
    <w:rsid w:val="00476516"/>
    <w:rsid w:val="004A0968"/>
    <w:rsid w:val="004A66C4"/>
    <w:rsid w:val="004D5DAF"/>
    <w:rsid w:val="005030AB"/>
    <w:rsid w:val="00524975"/>
    <w:rsid w:val="00565EDF"/>
    <w:rsid w:val="0058339B"/>
    <w:rsid w:val="005932D7"/>
    <w:rsid w:val="005D22A4"/>
    <w:rsid w:val="0061000A"/>
    <w:rsid w:val="00615D32"/>
    <w:rsid w:val="006631A9"/>
    <w:rsid w:val="006A1BC5"/>
    <w:rsid w:val="006B6F10"/>
    <w:rsid w:val="006D0F3C"/>
    <w:rsid w:val="006E2A8C"/>
    <w:rsid w:val="006E7ABD"/>
    <w:rsid w:val="00702FBF"/>
    <w:rsid w:val="00722E65"/>
    <w:rsid w:val="00734798"/>
    <w:rsid w:val="007548E5"/>
    <w:rsid w:val="00795CD3"/>
    <w:rsid w:val="007C680C"/>
    <w:rsid w:val="007D2277"/>
    <w:rsid w:val="007E1146"/>
    <w:rsid w:val="007E58B7"/>
    <w:rsid w:val="007F0C14"/>
    <w:rsid w:val="007F4DAF"/>
    <w:rsid w:val="007F7CAB"/>
    <w:rsid w:val="0082227A"/>
    <w:rsid w:val="00872B28"/>
    <w:rsid w:val="008B071B"/>
    <w:rsid w:val="008F66A7"/>
    <w:rsid w:val="0094652A"/>
    <w:rsid w:val="00966F7A"/>
    <w:rsid w:val="0097544D"/>
    <w:rsid w:val="009855EE"/>
    <w:rsid w:val="009E79A3"/>
    <w:rsid w:val="00A47112"/>
    <w:rsid w:val="00A55E04"/>
    <w:rsid w:val="00AC1755"/>
    <w:rsid w:val="00AC7174"/>
    <w:rsid w:val="00AF7967"/>
    <w:rsid w:val="00B000CE"/>
    <w:rsid w:val="00B21264"/>
    <w:rsid w:val="00B41A5A"/>
    <w:rsid w:val="00BA3FC1"/>
    <w:rsid w:val="00BA776C"/>
    <w:rsid w:val="00BB634C"/>
    <w:rsid w:val="00BF5BC5"/>
    <w:rsid w:val="00C040FA"/>
    <w:rsid w:val="00C3632B"/>
    <w:rsid w:val="00C82086"/>
    <w:rsid w:val="00CA4BA5"/>
    <w:rsid w:val="00CC1BC6"/>
    <w:rsid w:val="00CE55F7"/>
    <w:rsid w:val="00CE5DC8"/>
    <w:rsid w:val="00D00CE9"/>
    <w:rsid w:val="00D57595"/>
    <w:rsid w:val="00D7020B"/>
    <w:rsid w:val="00D91E5A"/>
    <w:rsid w:val="00D92330"/>
    <w:rsid w:val="00D94763"/>
    <w:rsid w:val="00DB687B"/>
    <w:rsid w:val="00DD4277"/>
    <w:rsid w:val="00DD7694"/>
    <w:rsid w:val="00DE07C4"/>
    <w:rsid w:val="00DE6BAE"/>
    <w:rsid w:val="00E15ECD"/>
    <w:rsid w:val="00E25658"/>
    <w:rsid w:val="00E36A7F"/>
    <w:rsid w:val="00E37FEE"/>
    <w:rsid w:val="00E77402"/>
    <w:rsid w:val="00E95395"/>
    <w:rsid w:val="00EF247A"/>
    <w:rsid w:val="00F513E1"/>
    <w:rsid w:val="00F655F4"/>
    <w:rsid w:val="00FA22D2"/>
    <w:rsid w:val="00FB6319"/>
    <w:rsid w:val="00FC3AC2"/>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2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631A9"/>
  </w:style>
  <w:style w:type="character" w:customStyle="1" w:styleId="FootnoteTextChar">
    <w:name w:val="Footnote Text Char"/>
    <w:basedOn w:val="DefaultParagraphFont"/>
    <w:link w:val="FootnoteText"/>
    <w:uiPriority w:val="99"/>
    <w:rsid w:val="006631A9"/>
  </w:style>
  <w:style w:type="character" w:styleId="FootnoteReference">
    <w:name w:val="footnote reference"/>
    <w:basedOn w:val="DefaultParagraphFont"/>
    <w:uiPriority w:val="99"/>
    <w:unhideWhenUsed/>
    <w:rsid w:val="006631A9"/>
    <w:rPr>
      <w:vertAlign w:val="superscript"/>
    </w:rPr>
  </w:style>
  <w:style w:type="paragraph" w:styleId="BalloonText">
    <w:name w:val="Balloon Text"/>
    <w:basedOn w:val="Normal"/>
    <w:link w:val="BalloonTextChar"/>
    <w:uiPriority w:val="99"/>
    <w:semiHidden/>
    <w:unhideWhenUsed/>
    <w:rsid w:val="009465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52A"/>
    <w:rPr>
      <w:rFonts w:ascii="Segoe UI" w:hAnsi="Segoe UI" w:cs="Segoe UI"/>
      <w:sz w:val="18"/>
      <w:szCs w:val="18"/>
    </w:rPr>
  </w:style>
  <w:style w:type="character" w:styleId="Hyperlink">
    <w:name w:val="Hyperlink"/>
    <w:basedOn w:val="DefaultParagraphFont"/>
    <w:uiPriority w:val="99"/>
    <w:unhideWhenUsed/>
    <w:rsid w:val="00B000CE"/>
    <w:rPr>
      <w:color w:val="0000FF" w:themeColor="hyperlink"/>
      <w:u w:val="single"/>
    </w:rPr>
  </w:style>
  <w:style w:type="paragraph" w:styleId="Header">
    <w:name w:val="header"/>
    <w:basedOn w:val="Normal"/>
    <w:link w:val="HeaderChar"/>
    <w:uiPriority w:val="99"/>
    <w:semiHidden/>
    <w:unhideWhenUsed/>
    <w:rsid w:val="006A1BC5"/>
    <w:pPr>
      <w:tabs>
        <w:tab w:val="center" w:pos="4513"/>
        <w:tab w:val="right" w:pos="9026"/>
      </w:tabs>
    </w:pPr>
  </w:style>
  <w:style w:type="character" w:customStyle="1" w:styleId="HeaderChar">
    <w:name w:val="Header Char"/>
    <w:basedOn w:val="DefaultParagraphFont"/>
    <w:link w:val="Header"/>
    <w:uiPriority w:val="99"/>
    <w:semiHidden/>
    <w:rsid w:val="006A1BC5"/>
  </w:style>
  <w:style w:type="paragraph" w:styleId="Footer">
    <w:name w:val="footer"/>
    <w:basedOn w:val="Normal"/>
    <w:link w:val="FooterChar"/>
    <w:uiPriority w:val="99"/>
    <w:semiHidden/>
    <w:unhideWhenUsed/>
    <w:rsid w:val="006A1BC5"/>
    <w:pPr>
      <w:tabs>
        <w:tab w:val="center" w:pos="4513"/>
        <w:tab w:val="right" w:pos="9026"/>
      </w:tabs>
    </w:pPr>
  </w:style>
  <w:style w:type="character" w:customStyle="1" w:styleId="FooterChar">
    <w:name w:val="Footer Char"/>
    <w:basedOn w:val="DefaultParagraphFont"/>
    <w:link w:val="Footer"/>
    <w:uiPriority w:val="99"/>
    <w:semiHidden/>
    <w:rsid w:val="006A1BC5"/>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burton3@usc.edu.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124C3-5CF8-4431-8581-DCA84CCC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1348</Words>
  <Characters>7538</Characters>
  <Application>Microsoft Office Word</Application>
  <DocSecurity>0</DocSecurity>
  <Lines>155</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Pasfield</dc:creator>
  <cp:lastModifiedBy>tina.obrien</cp:lastModifiedBy>
  <cp:revision>3</cp:revision>
  <cp:lastPrinted>2015-09-22T00:00:00Z</cp:lastPrinted>
  <dcterms:created xsi:type="dcterms:W3CDTF">2015-09-21T23:59:00Z</dcterms:created>
  <dcterms:modified xsi:type="dcterms:W3CDTF">2015-09-22T00:00:00Z</dcterms:modified>
</cp:coreProperties>
</file>