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C50" w:rsidRPr="00C3729E" w:rsidRDefault="00187416" w:rsidP="0089188C">
      <w:pPr>
        <w:spacing w:line="276" w:lineRule="auto"/>
        <w:rPr>
          <w:rFonts w:ascii="Times New Roman" w:hAnsi="Times New Roman" w:cs="Times New Roman"/>
          <w:sz w:val="22"/>
          <w:szCs w:val="22"/>
        </w:rPr>
      </w:pPr>
      <w:r w:rsidRPr="00C3729E">
        <w:rPr>
          <w:rFonts w:ascii="Times New Roman" w:hAnsi="Times New Roman" w:cs="Times New Roman"/>
          <w:sz w:val="22"/>
          <w:szCs w:val="22"/>
        </w:rPr>
        <w:t>18</w:t>
      </w:r>
      <w:r w:rsidR="003F7C50" w:rsidRPr="00C3729E">
        <w:rPr>
          <w:rFonts w:ascii="Times New Roman" w:hAnsi="Times New Roman" w:cs="Times New Roman"/>
          <w:sz w:val="22"/>
          <w:szCs w:val="22"/>
        </w:rPr>
        <w:t xml:space="preserve"> August 2016</w:t>
      </w:r>
    </w:p>
    <w:p w:rsidR="003F7C50" w:rsidRDefault="003F7C50" w:rsidP="0089188C">
      <w:pPr>
        <w:spacing w:line="276" w:lineRule="auto"/>
        <w:rPr>
          <w:rFonts w:ascii="Times New Roman" w:hAnsi="Times New Roman" w:cs="Times New Roman"/>
          <w:sz w:val="22"/>
          <w:szCs w:val="22"/>
        </w:rPr>
      </w:pPr>
    </w:p>
    <w:p w:rsidR="007240AA" w:rsidRPr="00C3729E" w:rsidRDefault="007240AA" w:rsidP="007240AA">
      <w:pPr>
        <w:spacing w:line="276" w:lineRule="auto"/>
        <w:jc w:val="right"/>
        <w:rPr>
          <w:rFonts w:ascii="Times New Roman" w:hAnsi="Times New Roman" w:cs="Times New Roman"/>
          <w:sz w:val="22"/>
          <w:szCs w:val="22"/>
        </w:rPr>
      </w:pPr>
      <w:r w:rsidRPr="00C3729E">
        <w:rPr>
          <w:rFonts w:ascii="Times New Roman" w:hAnsi="Times New Roman" w:cs="Times New Roman"/>
          <w:sz w:val="22"/>
          <w:szCs w:val="22"/>
        </w:rPr>
        <w:t>Director</w:t>
      </w:r>
      <w:r w:rsidR="00FD0D30">
        <w:rPr>
          <w:rFonts w:ascii="Times New Roman" w:hAnsi="Times New Roman" w:cs="Times New Roman"/>
          <w:sz w:val="22"/>
          <w:szCs w:val="22"/>
        </w:rPr>
        <w:t>s</w:t>
      </w:r>
      <w:r w:rsidRPr="00C3729E">
        <w:rPr>
          <w:rFonts w:ascii="Times New Roman" w:hAnsi="Times New Roman" w:cs="Times New Roman"/>
          <w:sz w:val="22"/>
          <w:szCs w:val="22"/>
        </w:rPr>
        <w:t xml:space="preserve"> of Policy Submissions</w:t>
      </w:r>
    </w:p>
    <w:p w:rsidR="007240AA" w:rsidRPr="00C3729E" w:rsidRDefault="007240AA" w:rsidP="007240AA">
      <w:pPr>
        <w:spacing w:line="276" w:lineRule="auto"/>
        <w:jc w:val="right"/>
        <w:rPr>
          <w:rFonts w:ascii="Times New Roman" w:hAnsi="Times New Roman" w:cs="Times New Roman"/>
          <w:sz w:val="22"/>
          <w:szCs w:val="22"/>
        </w:rPr>
      </w:pPr>
      <w:r w:rsidRPr="00C3729E">
        <w:rPr>
          <w:rFonts w:ascii="Times New Roman" w:hAnsi="Times New Roman" w:cs="Times New Roman"/>
          <w:sz w:val="22"/>
          <w:szCs w:val="22"/>
        </w:rPr>
        <w:t>UNSW Law Society</w:t>
      </w:r>
    </w:p>
    <w:p w:rsidR="007240AA" w:rsidRPr="00C3729E" w:rsidRDefault="007240AA" w:rsidP="00911B6E">
      <w:pPr>
        <w:spacing w:line="276" w:lineRule="auto"/>
        <w:jc w:val="right"/>
        <w:rPr>
          <w:rFonts w:ascii="Times New Roman" w:hAnsi="Times New Roman" w:cs="Times New Roman"/>
          <w:sz w:val="22"/>
          <w:szCs w:val="22"/>
        </w:rPr>
      </w:pPr>
      <w:r w:rsidRPr="00C3729E">
        <w:rPr>
          <w:rFonts w:ascii="Times New Roman" w:hAnsi="Times New Roman" w:cs="Times New Roman"/>
          <w:sz w:val="22"/>
          <w:szCs w:val="22"/>
        </w:rPr>
        <w:t xml:space="preserve">Level 3, </w:t>
      </w:r>
      <w:proofErr w:type="gramStart"/>
      <w:r w:rsidRPr="00C3729E">
        <w:rPr>
          <w:rFonts w:ascii="Times New Roman" w:hAnsi="Times New Roman" w:cs="Times New Roman"/>
          <w:sz w:val="22"/>
          <w:szCs w:val="22"/>
        </w:rPr>
        <w:t>The</w:t>
      </w:r>
      <w:proofErr w:type="gramEnd"/>
      <w:r w:rsidRPr="00C3729E">
        <w:rPr>
          <w:rFonts w:ascii="Times New Roman" w:hAnsi="Times New Roman" w:cs="Times New Roman"/>
          <w:sz w:val="22"/>
          <w:szCs w:val="22"/>
        </w:rPr>
        <w:t xml:space="preserve"> Law Building, Union Road</w:t>
      </w:r>
    </w:p>
    <w:p w:rsidR="007240AA" w:rsidRDefault="00911B6E" w:rsidP="007240AA">
      <w:pPr>
        <w:spacing w:line="276" w:lineRule="auto"/>
        <w:jc w:val="right"/>
        <w:rPr>
          <w:rFonts w:ascii="Times New Roman" w:hAnsi="Times New Roman" w:cs="Times New Roman"/>
          <w:sz w:val="22"/>
          <w:szCs w:val="22"/>
        </w:rPr>
      </w:pPr>
      <w:r>
        <w:rPr>
          <w:rFonts w:ascii="Times New Roman" w:hAnsi="Times New Roman" w:cs="Times New Roman"/>
          <w:sz w:val="22"/>
          <w:szCs w:val="22"/>
        </w:rPr>
        <w:t xml:space="preserve">KENSINGTON </w:t>
      </w:r>
      <w:r w:rsidR="007240AA" w:rsidRPr="00C3729E">
        <w:rPr>
          <w:rFonts w:ascii="Times New Roman" w:hAnsi="Times New Roman" w:cs="Times New Roman"/>
          <w:sz w:val="22"/>
          <w:szCs w:val="22"/>
        </w:rPr>
        <w:t>NSW 2052</w:t>
      </w:r>
    </w:p>
    <w:p w:rsidR="007240AA" w:rsidRDefault="007240AA" w:rsidP="007240AA">
      <w:pPr>
        <w:spacing w:line="276" w:lineRule="auto"/>
        <w:jc w:val="right"/>
        <w:rPr>
          <w:rFonts w:ascii="Times New Roman" w:hAnsi="Times New Roman" w:cs="Times New Roman"/>
          <w:sz w:val="22"/>
          <w:szCs w:val="22"/>
        </w:rPr>
      </w:pPr>
    </w:p>
    <w:p w:rsidR="004E6E26" w:rsidRDefault="004E6E26" w:rsidP="007240AA">
      <w:pPr>
        <w:spacing w:line="276" w:lineRule="auto"/>
        <w:rPr>
          <w:rFonts w:ascii="Times New Roman" w:hAnsi="Times New Roman" w:cs="Times New Roman"/>
          <w:sz w:val="22"/>
          <w:szCs w:val="22"/>
        </w:rPr>
      </w:pPr>
    </w:p>
    <w:p w:rsidR="007240AA" w:rsidRPr="00C3729E" w:rsidRDefault="007240AA" w:rsidP="007240AA">
      <w:pPr>
        <w:spacing w:line="276" w:lineRule="auto"/>
        <w:rPr>
          <w:rFonts w:ascii="Times New Roman" w:hAnsi="Times New Roman" w:cs="Times New Roman"/>
          <w:sz w:val="22"/>
          <w:szCs w:val="22"/>
        </w:rPr>
      </w:pPr>
      <w:r w:rsidRPr="00C3729E">
        <w:rPr>
          <w:rFonts w:ascii="Times New Roman" w:hAnsi="Times New Roman" w:cs="Times New Roman"/>
          <w:sz w:val="22"/>
          <w:szCs w:val="22"/>
        </w:rPr>
        <w:t>Executive Director</w:t>
      </w:r>
    </w:p>
    <w:p w:rsidR="007240AA" w:rsidRPr="00C3729E" w:rsidRDefault="007240AA" w:rsidP="007240AA">
      <w:pPr>
        <w:spacing w:line="276" w:lineRule="auto"/>
        <w:rPr>
          <w:rFonts w:ascii="Times New Roman" w:hAnsi="Times New Roman" w:cs="Times New Roman"/>
          <w:sz w:val="22"/>
          <w:szCs w:val="22"/>
        </w:rPr>
      </w:pPr>
      <w:r w:rsidRPr="00C3729E">
        <w:rPr>
          <w:rFonts w:ascii="Times New Roman" w:hAnsi="Times New Roman" w:cs="Times New Roman"/>
          <w:sz w:val="22"/>
          <w:szCs w:val="22"/>
        </w:rPr>
        <w:t>Australian Law Reform Commission</w:t>
      </w:r>
    </w:p>
    <w:p w:rsidR="007240AA" w:rsidRPr="00C3729E" w:rsidRDefault="007240AA" w:rsidP="007240AA">
      <w:pPr>
        <w:spacing w:line="276" w:lineRule="auto"/>
        <w:rPr>
          <w:rFonts w:ascii="Times New Roman" w:hAnsi="Times New Roman" w:cs="Times New Roman"/>
          <w:sz w:val="22"/>
          <w:szCs w:val="22"/>
        </w:rPr>
      </w:pPr>
      <w:r w:rsidRPr="00C3729E">
        <w:rPr>
          <w:rFonts w:ascii="Times New Roman" w:hAnsi="Times New Roman" w:cs="Times New Roman"/>
          <w:sz w:val="22"/>
          <w:szCs w:val="22"/>
        </w:rPr>
        <w:t>GPO Box 3708</w:t>
      </w:r>
    </w:p>
    <w:p w:rsidR="007240AA" w:rsidRDefault="007240AA" w:rsidP="007240AA">
      <w:pPr>
        <w:spacing w:line="276" w:lineRule="auto"/>
        <w:rPr>
          <w:rFonts w:ascii="Times New Roman" w:hAnsi="Times New Roman" w:cs="Times New Roman"/>
          <w:sz w:val="22"/>
          <w:szCs w:val="22"/>
        </w:rPr>
      </w:pPr>
      <w:r w:rsidRPr="00C3729E">
        <w:rPr>
          <w:rFonts w:ascii="Times New Roman" w:hAnsi="Times New Roman" w:cs="Times New Roman"/>
          <w:sz w:val="22"/>
          <w:szCs w:val="22"/>
        </w:rPr>
        <w:t>SYDNEY</w:t>
      </w:r>
      <w:r w:rsidR="00FD0D30">
        <w:rPr>
          <w:rFonts w:ascii="Times New Roman" w:hAnsi="Times New Roman" w:cs="Times New Roman"/>
          <w:sz w:val="22"/>
          <w:szCs w:val="22"/>
        </w:rPr>
        <w:t xml:space="preserve"> NSW</w:t>
      </w:r>
      <w:r w:rsidRPr="00C3729E">
        <w:rPr>
          <w:rFonts w:ascii="Times New Roman" w:hAnsi="Times New Roman" w:cs="Times New Roman"/>
          <w:sz w:val="22"/>
          <w:szCs w:val="22"/>
        </w:rPr>
        <w:t xml:space="preserve"> 2001</w:t>
      </w:r>
    </w:p>
    <w:p w:rsidR="007240AA" w:rsidRDefault="007240AA" w:rsidP="007240AA">
      <w:pPr>
        <w:spacing w:line="276" w:lineRule="auto"/>
        <w:jc w:val="right"/>
        <w:rPr>
          <w:rFonts w:ascii="Times New Roman" w:hAnsi="Times New Roman" w:cs="Times New Roman"/>
          <w:sz w:val="22"/>
          <w:szCs w:val="22"/>
        </w:rPr>
      </w:pPr>
    </w:p>
    <w:p w:rsidR="004E6E26" w:rsidRDefault="004E6E26" w:rsidP="007240AA">
      <w:pPr>
        <w:spacing w:line="276" w:lineRule="auto"/>
        <w:jc w:val="right"/>
        <w:rPr>
          <w:rFonts w:ascii="Times New Roman" w:hAnsi="Times New Roman" w:cs="Times New Roman"/>
          <w:sz w:val="22"/>
          <w:szCs w:val="22"/>
        </w:rPr>
      </w:pPr>
    </w:p>
    <w:p w:rsidR="003F7C50" w:rsidRDefault="007240AA" w:rsidP="007240AA">
      <w:pPr>
        <w:spacing w:line="276" w:lineRule="auto"/>
        <w:jc w:val="right"/>
        <w:rPr>
          <w:rFonts w:ascii="Times New Roman" w:hAnsi="Times New Roman" w:cs="Times New Roman"/>
          <w:sz w:val="22"/>
          <w:szCs w:val="22"/>
        </w:rPr>
      </w:pPr>
      <w:r w:rsidRPr="00C3729E">
        <w:rPr>
          <w:rFonts w:ascii="Times New Roman" w:hAnsi="Times New Roman" w:cs="Times New Roman"/>
          <w:sz w:val="22"/>
          <w:szCs w:val="22"/>
        </w:rPr>
        <w:t>By upload: www.alrc.gov.au</w:t>
      </w:r>
    </w:p>
    <w:p w:rsidR="007240AA" w:rsidRPr="00C3729E" w:rsidRDefault="007240AA" w:rsidP="007240AA">
      <w:pPr>
        <w:spacing w:line="276" w:lineRule="auto"/>
        <w:jc w:val="right"/>
        <w:rPr>
          <w:rFonts w:ascii="Times New Roman" w:hAnsi="Times New Roman" w:cs="Times New Roman"/>
          <w:sz w:val="22"/>
          <w:szCs w:val="22"/>
        </w:rPr>
      </w:pPr>
    </w:p>
    <w:p w:rsidR="003F7C50" w:rsidRPr="00C3729E" w:rsidRDefault="003F7C50" w:rsidP="004E6E26">
      <w:pPr>
        <w:spacing w:line="276" w:lineRule="auto"/>
        <w:jc w:val="right"/>
        <w:rPr>
          <w:rFonts w:ascii="Times New Roman" w:hAnsi="Times New Roman" w:cs="Times New Roman"/>
          <w:sz w:val="22"/>
          <w:szCs w:val="22"/>
        </w:rPr>
      </w:pPr>
    </w:p>
    <w:p w:rsidR="003F7C50" w:rsidRPr="00C3729E" w:rsidRDefault="003F7C50" w:rsidP="0089188C">
      <w:pPr>
        <w:spacing w:line="276" w:lineRule="auto"/>
        <w:jc w:val="both"/>
        <w:rPr>
          <w:rFonts w:ascii="Times New Roman" w:hAnsi="Times New Roman" w:cs="Times New Roman"/>
          <w:sz w:val="22"/>
          <w:szCs w:val="22"/>
        </w:rPr>
      </w:pPr>
      <w:r w:rsidRPr="00C3729E">
        <w:rPr>
          <w:rFonts w:ascii="Times New Roman" w:hAnsi="Times New Roman" w:cs="Times New Roman"/>
          <w:sz w:val="22"/>
          <w:szCs w:val="22"/>
        </w:rPr>
        <w:t xml:space="preserve">Dear </w:t>
      </w:r>
      <w:r w:rsidR="00187416" w:rsidRPr="00C3729E">
        <w:rPr>
          <w:rFonts w:ascii="Times New Roman" w:hAnsi="Times New Roman" w:cs="Times New Roman"/>
          <w:sz w:val="22"/>
          <w:szCs w:val="22"/>
        </w:rPr>
        <w:t>Executive Director</w:t>
      </w:r>
      <w:r w:rsidRPr="00C3729E">
        <w:rPr>
          <w:rFonts w:ascii="Times New Roman" w:hAnsi="Times New Roman" w:cs="Times New Roman"/>
          <w:sz w:val="22"/>
          <w:szCs w:val="22"/>
        </w:rPr>
        <w:t>,</w:t>
      </w:r>
    </w:p>
    <w:p w:rsidR="003F7C50" w:rsidRPr="00C3729E" w:rsidRDefault="003F7C50" w:rsidP="0089188C">
      <w:pPr>
        <w:spacing w:line="276" w:lineRule="auto"/>
        <w:jc w:val="both"/>
        <w:rPr>
          <w:rFonts w:ascii="Times New Roman" w:hAnsi="Times New Roman" w:cs="Times New Roman"/>
          <w:sz w:val="22"/>
          <w:szCs w:val="22"/>
        </w:rPr>
      </w:pPr>
    </w:p>
    <w:p w:rsidR="003F7C50" w:rsidRPr="00C3729E" w:rsidRDefault="003F7C50" w:rsidP="0089188C">
      <w:pPr>
        <w:spacing w:line="276" w:lineRule="auto"/>
        <w:rPr>
          <w:rFonts w:ascii="Times New Roman" w:hAnsi="Times New Roman" w:cs="Times New Roman"/>
          <w:sz w:val="22"/>
          <w:szCs w:val="22"/>
        </w:rPr>
      </w:pPr>
      <w:r w:rsidRPr="00C3729E">
        <w:rPr>
          <w:rFonts w:ascii="Times New Roman" w:hAnsi="Times New Roman" w:cs="Times New Roman"/>
          <w:sz w:val="22"/>
          <w:szCs w:val="22"/>
        </w:rPr>
        <w:t>UNSW LAW SOCIETY SUBMISSION</w:t>
      </w:r>
    </w:p>
    <w:p w:rsidR="003F7C50" w:rsidRPr="00C3729E" w:rsidRDefault="003F7C50" w:rsidP="0089188C">
      <w:pPr>
        <w:spacing w:line="276" w:lineRule="auto"/>
        <w:rPr>
          <w:rFonts w:ascii="Times New Roman" w:hAnsi="Times New Roman" w:cs="Times New Roman"/>
          <w:sz w:val="22"/>
          <w:szCs w:val="22"/>
        </w:rPr>
      </w:pPr>
      <w:r w:rsidRPr="00C3729E">
        <w:rPr>
          <w:rFonts w:ascii="Times New Roman" w:hAnsi="Times New Roman" w:cs="Times New Roman"/>
          <w:sz w:val="22"/>
          <w:szCs w:val="22"/>
        </w:rPr>
        <w:t>INQUIRY INTO PROTECTING THE RIGHTS OF OLDER AUSTRALIANS FROM ABUSE</w:t>
      </w:r>
    </w:p>
    <w:p w:rsidR="003F7C50" w:rsidRPr="00C3729E" w:rsidRDefault="003F7C50" w:rsidP="0089188C">
      <w:pPr>
        <w:spacing w:line="276" w:lineRule="auto"/>
        <w:jc w:val="both"/>
        <w:rPr>
          <w:rFonts w:ascii="Times New Roman" w:hAnsi="Times New Roman" w:cs="Times New Roman"/>
          <w:sz w:val="22"/>
          <w:szCs w:val="22"/>
        </w:rPr>
      </w:pPr>
    </w:p>
    <w:p w:rsidR="001D2B11" w:rsidRPr="00C3729E" w:rsidRDefault="003F7C50" w:rsidP="001D2B11">
      <w:pPr>
        <w:spacing w:line="276" w:lineRule="auto"/>
        <w:rPr>
          <w:rFonts w:ascii="Times New Roman" w:hAnsi="Times New Roman" w:cs="Times New Roman"/>
          <w:sz w:val="22"/>
          <w:szCs w:val="22"/>
        </w:rPr>
      </w:pPr>
      <w:r w:rsidRPr="00C3729E">
        <w:rPr>
          <w:rFonts w:ascii="Times New Roman" w:hAnsi="Times New Roman" w:cs="Times New Roman"/>
          <w:sz w:val="22"/>
          <w:szCs w:val="22"/>
        </w:rPr>
        <w:t xml:space="preserve">The University of New South Wales Law Society welcomes the opportunity to provide a submission to the </w:t>
      </w:r>
      <w:r w:rsidR="001D2B11" w:rsidRPr="00C3729E">
        <w:rPr>
          <w:rFonts w:ascii="Times New Roman" w:hAnsi="Times New Roman" w:cs="Times New Roman"/>
          <w:sz w:val="22"/>
          <w:szCs w:val="22"/>
        </w:rPr>
        <w:t>Australian Law Reform Commission’s inquiry into protecting the rights of older Australians from abuse.</w:t>
      </w:r>
    </w:p>
    <w:p w:rsidR="003F7C50" w:rsidRPr="00C3729E" w:rsidRDefault="003F7C50" w:rsidP="001D2B11">
      <w:pPr>
        <w:spacing w:line="276" w:lineRule="auto"/>
        <w:rPr>
          <w:rFonts w:ascii="Times New Roman" w:hAnsi="Times New Roman" w:cs="Times New Roman"/>
          <w:sz w:val="22"/>
          <w:szCs w:val="22"/>
        </w:rPr>
      </w:pPr>
    </w:p>
    <w:p w:rsidR="003F7C50" w:rsidRPr="00C3729E" w:rsidRDefault="003F7C50" w:rsidP="0089188C">
      <w:pPr>
        <w:spacing w:line="276" w:lineRule="auto"/>
        <w:jc w:val="both"/>
        <w:rPr>
          <w:rFonts w:ascii="Times New Roman" w:hAnsi="Times New Roman" w:cs="Times New Roman"/>
          <w:sz w:val="22"/>
          <w:szCs w:val="22"/>
        </w:rPr>
      </w:pPr>
      <w:r w:rsidRPr="00C3729E">
        <w:rPr>
          <w:rFonts w:ascii="Times New Roman" w:hAnsi="Times New Roman" w:cs="Times New Roman"/>
          <w:sz w:val="22"/>
          <w:szCs w:val="22"/>
        </w:rPr>
        <w:t xml:space="preserve">The UNSW Law Society is the peak representative body for all of the students in the UNSW Faculty of Law.  Nationally, we are one of the most respected student-run law organisations, attracting sponsorship from prominent national and international firms.  We seek to develop UNSW Law students academically, professionally and personally. </w:t>
      </w:r>
    </w:p>
    <w:p w:rsidR="003F7C50" w:rsidRPr="00C3729E" w:rsidRDefault="003F7C50" w:rsidP="0089188C">
      <w:pPr>
        <w:spacing w:line="276" w:lineRule="auto"/>
        <w:jc w:val="both"/>
        <w:rPr>
          <w:rFonts w:ascii="Times New Roman" w:hAnsi="Times New Roman" w:cs="Times New Roman"/>
          <w:sz w:val="22"/>
          <w:szCs w:val="22"/>
        </w:rPr>
      </w:pPr>
    </w:p>
    <w:p w:rsidR="00E25DC4" w:rsidRDefault="002031A4" w:rsidP="00E25DC4">
      <w:pPr>
        <w:spacing w:line="276" w:lineRule="auto"/>
        <w:jc w:val="both"/>
        <w:rPr>
          <w:rFonts w:ascii="Times New Roman" w:hAnsi="Times New Roman" w:cs="Times New Roman"/>
          <w:sz w:val="22"/>
          <w:szCs w:val="22"/>
        </w:rPr>
      </w:pPr>
      <w:r w:rsidRPr="002031A4">
        <w:rPr>
          <w:rFonts w:ascii="Times New Roman" w:hAnsi="Times New Roman" w:cs="Times New Roman"/>
          <w:sz w:val="22"/>
          <w:szCs w:val="22"/>
        </w:rPr>
        <w:t>As a Law School we pride ourselves on our record of contributing to social justice through the law. As young Australians, we are concerned with the treatment of older people in our community as there is a lacuna in the law which leaves them particularly vulnerable to abuse and exploitation across many areas of life. This is an issue that affects society as whole.  Our submission offers the perspective of younger people which we hope will contribute to the expansiveness of the Inquiry and will translate into more democratic and effective laws and policies.</w:t>
      </w:r>
    </w:p>
    <w:p w:rsidR="002031A4" w:rsidRPr="00C3729E" w:rsidRDefault="002031A4" w:rsidP="00E25DC4">
      <w:pPr>
        <w:spacing w:line="276" w:lineRule="auto"/>
        <w:jc w:val="both"/>
        <w:rPr>
          <w:rFonts w:ascii="Times New Roman" w:hAnsi="Times New Roman" w:cs="Times New Roman"/>
          <w:sz w:val="22"/>
          <w:szCs w:val="22"/>
        </w:rPr>
      </w:pPr>
    </w:p>
    <w:p w:rsidR="003F7C50" w:rsidRPr="00C3729E" w:rsidRDefault="00E25DC4" w:rsidP="0089188C">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We </w:t>
      </w:r>
      <w:r w:rsidR="00C3729E" w:rsidRPr="00C3729E">
        <w:rPr>
          <w:rFonts w:ascii="Times New Roman" w:hAnsi="Times New Roman" w:cs="Times New Roman"/>
          <w:sz w:val="22"/>
          <w:szCs w:val="22"/>
        </w:rPr>
        <w:t xml:space="preserve">celebrate a rich diversity of students with a multiplicity of aims, backgrounds and passions.  </w:t>
      </w:r>
      <w:r w:rsidR="003F7C50" w:rsidRPr="00C3729E">
        <w:rPr>
          <w:rFonts w:ascii="Times New Roman" w:hAnsi="Times New Roman" w:cs="Times New Roman"/>
          <w:sz w:val="22"/>
          <w:szCs w:val="22"/>
        </w:rPr>
        <w:t xml:space="preserve">The submission below reflects the varied </w:t>
      </w:r>
      <w:r w:rsidR="00995434">
        <w:rPr>
          <w:rFonts w:ascii="Times New Roman" w:hAnsi="Times New Roman" w:cs="Times New Roman"/>
          <w:sz w:val="22"/>
          <w:szCs w:val="22"/>
        </w:rPr>
        <w:t>perspectives</w:t>
      </w:r>
      <w:r w:rsidR="003F7C50" w:rsidRPr="00C3729E">
        <w:rPr>
          <w:rFonts w:ascii="Times New Roman" w:hAnsi="Times New Roman" w:cs="Times New Roman"/>
          <w:sz w:val="22"/>
          <w:szCs w:val="22"/>
        </w:rPr>
        <w:t xml:space="preserve"> of the students of the UNSW Law Society. It addresses the Questions </w:t>
      </w:r>
      <w:r w:rsidR="00F11BB1">
        <w:rPr>
          <w:rFonts w:ascii="Times New Roman" w:hAnsi="Times New Roman" w:cs="Times New Roman"/>
          <w:sz w:val="22"/>
          <w:szCs w:val="22"/>
        </w:rPr>
        <w:t>5, 6, 8, 13,</w:t>
      </w:r>
      <w:r w:rsidR="00087B7B">
        <w:rPr>
          <w:rFonts w:ascii="Times New Roman" w:hAnsi="Times New Roman" w:cs="Times New Roman"/>
          <w:sz w:val="22"/>
          <w:szCs w:val="22"/>
        </w:rPr>
        <w:t xml:space="preserve"> </w:t>
      </w:r>
      <w:r w:rsidR="00F11BB1">
        <w:rPr>
          <w:rFonts w:ascii="Times New Roman" w:hAnsi="Times New Roman" w:cs="Times New Roman"/>
          <w:sz w:val="22"/>
          <w:szCs w:val="22"/>
        </w:rPr>
        <w:t>26, 27</w:t>
      </w:r>
      <w:r w:rsidR="005006C3">
        <w:rPr>
          <w:rFonts w:ascii="Times New Roman" w:hAnsi="Times New Roman" w:cs="Times New Roman"/>
          <w:sz w:val="22"/>
          <w:szCs w:val="22"/>
        </w:rPr>
        <w:t>, 28, 42 and 45</w:t>
      </w:r>
      <w:r w:rsidR="003F7C50" w:rsidRPr="00C3729E">
        <w:rPr>
          <w:rFonts w:ascii="Times New Roman" w:hAnsi="Times New Roman" w:cs="Times New Roman"/>
          <w:sz w:val="22"/>
          <w:szCs w:val="22"/>
        </w:rPr>
        <w:t xml:space="preserve"> of the Issues Paper.</w:t>
      </w:r>
    </w:p>
    <w:p w:rsidR="00F82139" w:rsidRPr="00F03E00" w:rsidRDefault="00F82139" w:rsidP="00F82139">
      <w:pPr>
        <w:pStyle w:val="ListParagraph"/>
        <w:spacing w:line="276" w:lineRule="auto"/>
        <w:ind w:left="360"/>
        <w:jc w:val="both"/>
        <w:rPr>
          <w:rFonts w:ascii="Times New Roman" w:hAnsi="Times New Roman" w:cs="Times New Roman"/>
          <w:sz w:val="22"/>
          <w:szCs w:val="22"/>
        </w:rPr>
      </w:pPr>
    </w:p>
    <w:p w:rsidR="003F7C50" w:rsidRPr="00F11BB1" w:rsidRDefault="003F7C50" w:rsidP="0089188C">
      <w:pPr>
        <w:spacing w:line="276" w:lineRule="auto"/>
        <w:jc w:val="both"/>
        <w:rPr>
          <w:rFonts w:ascii="Times New Roman" w:hAnsi="Times New Roman" w:cs="Times New Roman"/>
          <w:sz w:val="22"/>
          <w:szCs w:val="22"/>
        </w:rPr>
      </w:pPr>
      <w:r w:rsidRPr="00F11BB1">
        <w:rPr>
          <w:rFonts w:ascii="Times New Roman" w:hAnsi="Times New Roman" w:cs="Times New Roman"/>
          <w:sz w:val="22"/>
          <w:szCs w:val="22"/>
        </w:rPr>
        <w:t>In respect of</w:t>
      </w:r>
      <w:r w:rsidR="00557A82">
        <w:rPr>
          <w:rFonts w:ascii="Times New Roman" w:hAnsi="Times New Roman" w:cs="Times New Roman"/>
          <w:sz w:val="22"/>
          <w:szCs w:val="22"/>
        </w:rPr>
        <w:t xml:space="preserve"> Questions </w:t>
      </w:r>
      <w:r w:rsidR="009622F6">
        <w:rPr>
          <w:rFonts w:ascii="Times New Roman" w:hAnsi="Times New Roman" w:cs="Times New Roman"/>
          <w:sz w:val="22"/>
          <w:szCs w:val="22"/>
        </w:rPr>
        <w:t xml:space="preserve">5, </w:t>
      </w:r>
      <w:r w:rsidR="00557A82">
        <w:rPr>
          <w:rFonts w:ascii="Times New Roman" w:hAnsi="Times New Roman" w:cs="Times New Roman"/>
          <w:sz w:val="22"/>
          <w:szCs w:val="22"/>
        </w:rPr>
        <w:t>6</w:t>
      </w:r>
      <w:r w:rsidR="009622F6">
        <w:rPr>
          <w:rFonts w:ascii="Times New Roman" w:hAnsi="Times New Roman" w:cs="Times New Roman"/>
          <w:sz w:val="22"/>
          <w:szCs w:val="22"/>
        </w:rPr>
        <w:t xml:space="preserve"> and 8</w:t>
      </w:r>
      <w:r w:rsidR="00557A82">
        <w:rPr>
          <w:rFonts w:ascii="Times New Roman" w:hAnsi="Times New Roman" w:cs="Times New Roman"/>
          <w:sz w:val="22"/>
          <w:szCs w:val="22"/>
        </w:rPr>
        <w:t xml:space="preserve"> regarding social security</w:t>
      </w:r>
      <w:r w:rsidRPr="00F11BB1">
        <w:rPr>
          <w:rFonts w:ascii="Times New Roman" w:hAnsi="Times New Roman" w:cs="Times New Roman"/>
          <w:sz w:val="22"/>
          <w:szCs w:val="22"/>
        </w:rPr>
        <w:t xml:space="preserve">, </w:t>
      </w:r>
      <w:r w:rsidR="00557A82">
        <w:rPr>
          <w:rFonts w:ascii="Times New Roman" w:hAnsi="Times New Roman" w:cs="Times New Roman"/>
          <w:sz w:val="22"/>
          <w:szCs w:val="22"/>
        </w:rPr>
        <w:t>we submit that</w:t>
      </w:r>
      <w:r w:rsidRPr="00F11BB1">
        <w:rPr>
          <w:rFonts w:ascii="Times New Roman" w:hAnsi="Times New Roman" w:cs="Times New Roman"/>
          <w:sz w:val="22"/>
          <w:szCs w:val="22"/>
        </w:rPr>
        <w:t>:</w:t>
      </w:r>
    </w:p>
    <w:p w:rsidR="009622F6" w:rsidRPr="009622F6" w:rsidRDefault="009622F6" w:rsidP="00D3391F">
      <w:pPr>
        <w:pStyle w:val="ListParagraph"/>
        <w:numPr>
          <w:ilvl w:val="0"/>
          <w:numId w:val="23"/>
        </w:numPr>
        <w:spacing w:line="276" w:lineRule="auto"/>
        <w:ind w:left="567" w:hanging="567"/>
        <w:jc w:val="both"/>
        <w:rPr>
          <w:rFonts w:ascii="Times New Roman" w:hAnsi="Times New Roman" w:cs="Times New Roman"/>
          <w:sz w:val="22"/>
          <w:szCs w:val="22"/>
        </w:rPr>
      </w:pPr>
      <w:r w:rsidRPr="009622F6">
        <w:rPr>
          <w:rFonts w:ascii="Times New Roman" w:hAnsi="Times New Roman" w:cs="Times New Roman"/>
          <w:sz w:val="22"/>
          <w:szCs w:val="22"/>
          <w:lang w:val="en-US"/>
        </w:rPr>
        <w:t>it would be preferable to implement a strategy focused on elder abuse as distinct from family and domestic violence</w:t>
      </w:r>
      <w:r>
        <w:rPr>
          <w:rFonts w:ascii="Times New Roman" w:hAnsi="Times New Roman" w:cs="Times New Roman"/>
          <w:sz w:val="22"/>
          <w:szCs w:val="22"/>
          <w:lang w:val="en-US"/>
        </w:rPr>
        <w:t>;</w:t>
      </w:r>
    </w:p>
    <w:p w:rsidR="00B509CA" w:rsidRPr="00DA584B" w:rsidRDefault="00B509CA" w:rsidP="00D3391F">
      <w:pPr>
        <w:pStyle w:val="ListParagraph"/>
        <w:numPr>
          <w:ilvl w:val="0"/>
          <w:numId w:val="23"/>
        </w:numPr>
        <w:spacing w:line="276" w:lineRule="auto"/>
        <w:ind w:left="567" w:hanging="567"/>
        <w:jc w:val="both"/>
        <w:rPr>
          <w:rFonts w:ascii="Times New Roman" w:hAnsi="Times New Roman" w:cs="Times New Roman"/>
          <w:sz w:val="22"/>
          <w:szCs w:val="22"/>
        </w:rPr>
      </w:pPr>
      <w:r>
        <w:rPr>
          <w:rFonts w:ascii="Times New Roman" w:hAnsi="Times New Roman" w:cs="Times New Roman"/>
          <w:sz w:val="22"/>
          <w:szCs w:val="22"/>
        </w:rPr>
        <w:t xml:space="preserve">nominee </w:t>
      </w:r>
      <w:r w:rsidR="009622F6">
        <w:rPr>
          <w:rFonts w:ascii="Times New Roman" w:hAnsi="Times New Roman" w:cs="Times New Roman"/>
          <w:sz w:val="22"/>
          <w:szCs w:val="22"/>
        </w:rPr>
        <w:t>arrangements</w:t>
      </w:r>
      <w:r>
        <w:rPr>
          <w:rFonts w:ascii="Times New Roman" w:hAnsi="Times New Roman" w:cs="Times New Roman"/>
          <w:sz w:val="22"/>
          <w:szCs w:val="22"/>
        </w:rPr>
        <w:t xml:space="preserve"> should be strengthened through conducting background checks of prospective nominees, regular reviews of the nominee’s performance and stronger responses to abuse perpetrated by nominees; </w:t>
      </w:r>
      <w:r w:rsidR="009622F6">
        <w:rPr>
          <w:rFonts w:ascii="Times New Roman" w:hAnsi="Times New Roman" w:cs="Times New Roman"/>
          <w:sz w:val="22"/>
          <w:szCs w:val="22"/>
        </w:rPr>
        <w:t>and</w:t>
      </w:r>
    </w:p>
    <w:p w:rsidR="00B509CA" w:rsidRPr="00985C46" w:rsidRDefault="00B509CA" w:rsidP="00D3391F">
      <w:pPr>
        <w:pStyle w:val="ListParagraph"/>
        <w:numPr>
          <w:ilvl w:val="0"/>
          <w:numId w:val="23"/>
        </w:numPr>
        <w:spacing w:line="276" w:lineRule="auto"/>
        <w:ind w:left="567" w:hanging="567"/>
        <w:jc w:val="both"/>
        <w:rPr>
          <w:rFonts w:ascii="Times New Roman" w:hAnsi="Times New Roman" w:cs="Times New Roman"/>
          <w:sz w:val="22"/>
          <w:szCs w:val="22"/>
        </w:rPr>
      </w:pPr>
      <w:proofErr w:type="gramStart"/>
      <w:r w:rsidRPr="00985C46">
        <w:rPr>
          <w:rFonts w:ascii="Times New Roman" w:eastAsia="Calibri" w:hAnsi="Times New Roman" w:cs="Times New Roman"/>
          <w:sz w:val="22"/>
          <w:szCs w:val="22"/>
          <w:lang w:val="en-US"/>
        </w:rPr>
        <w:lastRenderedPageBreak/>
        <w:t>the</w:t>
      </w:r>
      <w:proofErr w:type="gramEnd"/>
      <w:r w:rsidRPr="00985C46">
        <w:rPr>
          <w:rFonts w:ascii="Times New Roman" w:eastAsia="Calibri" w:hAnsi="Times New Roman" w:cs="Times New Roman"/>
          <w:sz w:val="22"/>
          <w:szCs w:val="22"/>
          <w:lang w:val="en-US"/>
        </w:rPr>
        <w:t xml:space="preserve"> reasons against using income management as a safeguard against family violence also apply in the context of elder abuse</w:t>
      </w:r>
      <w:r>
        <w:rPr>
          <w:rFonts w:ascii="Times New Roman" w:eastAsia="Calibri" w:hAnsi="Times New Roman" w:cs="Times New Roman"/>
          <w:sz w:val="22"/>
          <w:szCs w:val="22"/>
          <w:lang w:val="en-US"/>
        </w:rPr>
        <w:t xml:space="preserve"> and </w:t>
      </w:r>
      <w:r w:rsidR="003140E4">
        <w:rPr>
          <w:rFonts w:ascii="Times New Roman" w:eastAsia="Calibri" w:hAnsi="Times New Roman" w:cs="Times New Roman"/>
          <w:sz w:val="22"/>
          <w:szCs w:val="22"/>
          <w:lang w:val="en-US"/>
        </w:rPr>
        <w:t xml:space="preserve">thus </w:t>
      </w:r>
      <w:r>
        <w:rPr>
          <w:rFonts w:ascii="Times New Roman" w:eastAsia="Calibri" w:hAnsi="Times New Roman" w:cs="Times New Roman"/>
          <w:sz w:val="22"/>
          <w:szCs w:val="22"/>
          <w:lang w:val="en-US"/>
        </w:rPr>
        <w:t>income management should not be used to safeguard older people</w:t>
      </w:r>
      <w:r w:rsidRPr="00985C46">
        <w:rPr>
          <w:rFonts w:ascii="Times New Roman" w:eastAsia="Calibri" w:hAnsi="Times New Roman" w:cs="Times New Roman"/>
          <w:sz w:val="22"/>
          <w:szCs w:val="22"/>
          <w:lang w:val="en-US"/>
        </w:rPr>
        <w:t xml:space="preserve"> against financial exploitation and neglect</w:t>
      </w:r>
      <w:r w:rsidR="003140E4">
        <w:rPr>
          <w:rFonts w:ascii="Times New Roman" w:eastAsia="Calibri" w:hAnsi="Times New Roman" w:cs="Times New Roman"/>
          <w:sz w:val="22"/>
          <w:szCs w:val="22"/>
          <w:lang w:val="en-US"/>
        </w:rPr>
        <w:t>.</w:t>
      </w:r>
    </w:p>
    <w:p w:rsidR="003F7C50" w:rsidRDefault="003F7C50" w:rsidP="000B0BBF">
      <w:pPr>
        <w:spacing w:line="276" w:lineRule="auto"/>
        <w:jc w:val="both"/>
        <w:rPr>
          <w:rFonts w:ascii="Times New Roman" w:hAnsi="Times New Roman" w:cs="Times New Roman"/>
          <w:sz w:val="22"/>
          <w:szCs w:val="22"/>
        </w:rPr>
      </w:pPr>
    </w:p>
    <w:p w:rsidR="000B0BBF" w:rsidRPr="00F11BB1" w:rsidRDefault="000B0BBF" w:rsidP="000B0BBF">
      <w:pPr>
        <w:spacing w:line="276" w:lineRule="auto"/>
        <w:jc w:val="both"/>
        <w:rPr>
          <w:rFonts w:ascii="Times New Roman" w:hAnsi="Times New Roman" w:cs="Times New Roman"/>
          <w:sz w:val="22"/>
          <w:szCs w:val="22"/>
        </w:rPr>
      </w:pPr>
      <w:r w:rsidRPr="00F11BB1">
        <w:rPr>
          <w:rFonts w:ascii="Times New Roman" w:hAnsi="Times New Roman" w:cs="Times New Roman"/>
          <w:sz w:val="22"/>
          <w:szCs w:val="22"/>
        </w:rPr>
        <w:t>In respect of</w:t>
      </w:r>
      <w:r>
        <w:rPr>
          <w:rFonts w:ascii="Times New Roman" w:hAnsi="Times New Roman" w:cs="Times New Roman"/>
          <w:sz w:val="22"/>
          <w:szCs w:val="22"/>
        </w:rPr>
        <w:t xml:space="preserve"> Question 13 regarding aged care</w:t>
      </w:r>
      <w:r w:rsidRPr="00F11BB1">
        <w:rPr>
          <w:rFonts w:ascii="Times New Roman" w:hAnsi="Times New Roman" w:cs="Times New Roman"/>
          <w:sz w:val="22"/>
          <w:szCs w:val="22"/>
        </w:rPr>
        <w:t xml:space="preserve">, </w:t>
      </w:r>
      <w:r>
        <w:rPr>
          <w:rFonts w:ascii="Times New Roman" w:hAnsi="Times New Roman" w:cs="Times New Roman"/>
          <w:sz w:val="22"/>
          <w:szCs w:val="22"/>
        </w:rPr>
        <w:t>we submit that</w:t>
      </w:r>
      <w:r w:rsidRPr="00F11BB1">
        <w:rPr>
          <w:rFonts w:ascii="Times New Roman" w:hAnsi="Times New Roman" w:cs="Times New Roman"/>
          <w:sz w:val="22"/>
          <w:szCs w:val="22"/>
        </w:rPr>
        <w:t>:</w:t>
      </w:r>
    </w:p>
    <w:p w:rsidR="00FD0D30" w:rsidRPr="00FD0D30" w:rsidRDefault="00FD0D30" w:rsidP="00D3391F">
      <w:pPr>
        <w:pStyle w:val="ListParagraph"/>
        <w:numPr>
          <w:ilvl w:val="0"/>
          <w:numId w:val="22"/>
        </w:numPr>
        <w:spacing w:line="276" w:lineRule="auto"/>
        <w:ind w:left="567" w:hanging="567"/>
        <w:jc w:val="both"/>
        <w:rPr>
          <w:rFonts w:ascii="Times New Roman" w:hAnsi="Times New Roman" w:cs="Times New Roman"/>
          <w:sz w:val="22"/>
          <w:szCs w:val="22"/>
        </w:rPr>
      </w:pPr>
      <w:r>
        <w:rPr>
          <w:rFonts w:ascii="Times New Roman" w:hAnsi="Times New Roman" w:cs="Times New Roman"/>
          <w:sz w:val="22"/>
          <w:szCs w:val="22"/>
        </w:rPr>
        <w:t>the mandatory reporting requirements for ‘reportable assaults’ should be expanded to include suspected abuse of a non-sexual or non-sexual nature</w:t>
      </w:r>
      <w:r w:rsidR="00D62582">
        <w:rPr>
          <w:rFonts w:ascii="Times New Roman" w:hAnsi="Times New Roman" w:cs="Times New Roman"/>
          <w:sz w:val="22"/>
          <w:szCs w:val="22"/>
        </w:rPr>
        <w:t>; and</w:t>
      </w:r>
    </w:p>
    <w:p w:rsidR="000B0BBF" w:rsidRPr="00432CAB" w:rsidRDefault="00432CAB" w:rsidP="00D3391F">
      <w:pPr>
        <w:pStyle w:val="ListParagraph"/>
        <w:numPr>
          <w:ilvl w:val="0"/>
          <w:numId w:val="22"/>
        </w:numPr>
        <w:spacing w:line="276" w:lineRule="auto"/>
        <w:ind w:left="567" w:hanging="567"/>
        <w:jc w:val="both"/>
        <w:rPr>
          <w:rFonts w:ascii="Times New Roman" w:hAnsi="Times New Roman" w:cs="Times New Roman"/>
          <w:sz w:val="22"/>
          <w:szCs w:val="22"/>
        </w:rPr>
      </w:pPr>
      <w:proofErr w:type="gramStart"/>
      <w:r w:rsidRPr="00432CAB">
        <w:rPr>
          <w:rFonts w:ascii="Times New Roman" w:eastAsia="Calibri" w:hAnsi="Times New Roman" w:cs="Times New Roman"/>
          <w:sz w:val="22"/>
          <w:szCs w:val="22"/>
        </w:rPr>
        <w:t>there</w:t>
      </w:r>
      <w:proofErr w:type="gramEnd"/>
      <w:r w:rsidRPr="00432CAB">
        <w:rPr>
          <w:rFonts w:ascii="Times New Roman" w:eastAsia="Calibri" w:hAnsi="Times New Roman" w:cs="Times New Roman"/>
          <w:sz w:val="22"/>
          <w:szCs w:val="22"/>
        </w:rPr>
        <w:t xml:space="preserve"> appears to be no principled reason for exempting home-based or flexible care providers from mandatory reporting obligations.</w:t>
      </w:r>
    </w:p>
    <w:p w:rsidR="00432CAB" w:rsidRPr="00432CAB" w:rsidRDefault="00432CAB" w:rsidP="00432CAB">
      <w:pPr>
        <w:pStyle w:val="ListParagraph"/>
        <w:spacing w:line="276" w:lineRule="auto"/>
        <w:ind w:left="360"/>
        <w:jc w:val="both"/>
        <w:rPr>
          <w:rFonts w:ascii="Times New Roman" w:hAnsi="Times New Roman" w:cs="Times New Roman"/>
          <w:sz w:val="22"/>
          <w:szCs w:val="22"/>
        </w:rPr>
      </w:pPr>
    </w:p>
    <w:p w:rsidR="000B0BBF" w:rsidRPr="00F11BB1" w:rsidRDefault="000B0BBF" w:rsidP="000B0BBF">
      <w:pPr>
        <w:spacing w:line="276" w:lineRule="auto"/>
        <w:jc w:val="both"/>
        <w:rPr>
          <w:rFonts w:ascii="Times New Roman" w:hAnsi="Times New Roman" w:cs="Times New Roman"/>
          <w:sz w:val="22"/>
          <w:szCs w:val="22"/>
        </w:rPr>
      </w:pPr>
      <w:r w:rsidRPr="00F11BB1">
        <w:rPr>
          <w:rFonts w:ascii="Times New Roman" w:hAnsi="Times New Roman" w:cs="Times New Roman"/>
          <w:sz w:val="22"/>
          <w:szCs w:val="22"/>
        </w:rPr>
        <w:t>In respect of</w:t>
      </w:r>
      <w:r>
        <w:rPr>
          <w:rFonts w:ascii="Times New Roman" w:hAnsi="Times New Roman" w:cs="Times New Roman"/>
          <w:sz w:val="22"/>
          <w:szCs w:val="22"/>
        </w:rPr>
        <w:t xml:space="preserve"> Question 26 regarding financial institutions</w:t>
      </w:r>
      <w:r w:rsidRPr="00F11BB1">
        <w:rPr>
          <w:rFonts w:ascii="Times New Roman" w:hAnsi="Times New Roman" w:cs="Times New Roman"/>
          <w:sz w:val="22"/>
          <w:szCs w:val="22"/>
        </w:rPr>
        <w:t xml:space="preserve">, </w:t>
      </w:r>
      <w:r>
        <w:rPr>
          <w:rFonts w:ascii="Times New Roman" w:hAnsi="Times New Roman" w:cs="Times New Roman"/>
          <w:sz w:val="22"/>
          <w:szCs w:val="22"/>
        </w:rPr>
        <w:t>we submit that</w:t>
      </w:r>
      <w:r w:rsidRPr="00F11BB1">
        <w:rPr>
          <w:rFonts w:ascii="Times New Roman" w:hAnsi="Times New Roman" w:cs="Times New Roman"/>
          <w:sz w:val="22"/>
          <w:szCs w:val="22"/>
        </w:rPr>
        <w:t>:</w:t>
      </w:r>
    </w:p>
    <w:p w:rsidR="00432CAB" w:rsidRPr="00432CAB" w:rsidRDefault="00A322CF" w:rsidP="00D3391F">
      <w:pPr>
        <w:pStyle w:val="ListParagraph"/>
        <w:numPr>
          <w:ilvl w:val="0"/>
          <w:numId w:val="22"/>
        </w:numPr>
        <w:spacing w:line="276" w:lineRule="auto"/>
        <w:ind w:left="567" w:hanging="567"/>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financial institutions, governments and community organisations should promote </w:t>
      </w:r>
      <w:r w:rsidR="00432CAB" w:rsidRPr="00432CAB">
        <w:rPr>
          <w:rFonts w:ascii="Times New Roman" w:eastAsia="Calibri" w:hAnsi="Times New Roman" w:cs="Times New Roman"/>
          <w:sz w:val="22"/>
          <w:szCs w:val="22"/>
        </w:rPr>
        <w:t>consumer education and public awareness of financial elder abuse;</w:t>
      </w:r>
    </w:p>
    <w:p w:rsidR="00432CAB" w:rsidRPr="00432CAB" w:rsidRDefault="00FC0DA6" w:rsidP="00D3391F">
      <w:pPr>
        <w:pStyle w:val="ListParagraph"/>
        <w:numPr>
          <w:ilvl w:val="0"/>
          <w:numId w:val="22"/>
        </w:numPr>
        <w:spacing w:line="276" w:lineRule="auto"/>
        <w:ind w:left="567" w:hanging="567"/>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a review of </w:t>
      </w:r>
      <w:r w:rsidR="00432CAB" w:rsidRPr="00432CAB">
        <w:rPr>
          <w:rFonts w:ascii="Times New Roman" w:eastAsia="Calibri" w:hAnsi="Times New Roman" w:cs="Times New Roman"/>
          <w:sz w:val="22"/>
          <w:szCs w:val="22"/>
        </w:rPr>
        <w:t xml:space="preserve">industry standards, particularly the ABA </w:t>
      </w:r>
      <w:r w:rsidR="00432CAB" w:rsidRPr="002467E8">
        <w:rPr>
          <w:rFonts w:ascii="Times New Roman" w:eastAsia="Calibri" w:hAnsi="Times New Roman" w:cs="Times New Roman"/>
          <w:i/>
          <w:sz w:val="22"/>
          <w:szCs w:val="22"/>
        </w:rPr>
        <w:t>Code of Banking Practice</w:t>
      </w:r>
      <w:r>
        <w:rPr>
          <w:rFonts w:ascii="Times New Roman" w:eastAsia="Calibri" w:hAnsi="Times New Roman" w:cs="Times New Roman"/>
          <w:sz w:val="22"/>
          <w:szCs w:val="22"/>
        </w:rPr>
        <w:t xml:space="preserve"> should be conducted</w:t>
      </w:r>
      <w:r w:rsidR="002467E8">
        <w:rPr>
          <w:rFonts w:ascii="Times New Roman" w:eastAsia="Calibri" w:hAnsi="Times New Roman" w:cs="Times New Roman"/>
          <w:sz w:val="22"/>
          <w:szCs w:val="22"/>
        </w:rPr>
        <w:t>; and</w:t>
      </w:r>
    </w:p>
    <w:p w:rsidR="00432CAB" w:rsidRPr="00432CAB" w:rsidRDefault="00FC0DA6" w:rsidP="00D3391F">
      <w:pPr>
        <w:pStyle w:val="ListParagraph"/>
        <w:numPr>
          <w:ilvl w:val="0"/>
          <w:numId w:val="22"/>
        </w:numPr>
        <w:spacing w:line="276" w:lineRule="auto"/>
        <w:ind w:left="567" w:hanging="567"/>
        <w:jc w:val="both"/>
        <w:rPr>
          <w:rFonts w:ascii="Times New Roman" w:eastAsia="Calibri" w:hAnsi="Times New Roman" w:cs="Times New Roman"/>
          <w:sz w:val="22"/>
          <w:szCs w:val="22"/>
        </w:rPr>
      </w:pPr>
      <w:proofErr w:type="gramStart"/>
      <w:r>
        <w:rPr>
          <w:rFonts w:ascii="Times New Roman" w:eastAsia="Calibri" w:hAnsi="Times New Roman" w:cs="Times New Roman"/>
          <w:sz w:val="22"/>
          <w:szCs w:val="22"/>
        </w:rPr>
        <w:t>a</w:t>
      </w:r>
      <w:proofErr w:type="gramEnd"/>
      <w:r w:rsidR="00432CAB" w:rsidRPr="00432CAB">
        <w:rPr>
          <w:rFonts w:ascii="Times New Roman" w:eastAsia="Calibri" w:hAnsi="Times New Roman" w:cs="Times New Roman"/>
          <w:sz w:val="22"/>
          <w:szCs w:val="22"/>
        </w:rPr>
        <w:t xml:space="preserve"> voluntary and self-regulated reporting scheme for financial elder abuse guided by government oversight</w:t>
      </w:r>
      <w:r>
        <w:rPr>
          <w:rFonts w:ascii="Times New Roman" w:eastAsia="Calibri" w:hAnsi="Times New Roman" w:cs="Times New Roman"/>
          <w:sz w:val="22"/>
          <w:szCs w:val="22"/>
        </w:rPr>
        <w:t xml:space="preserve"> should be considered</w:t>
      </w:r>
      <w:r w:rsidR="00432CAB" w:rsidRPr="00432CAB">
        <w:rPr>
          <w:rFonts w:ascii="Times New Roman" w:eastAsia="Calibri" w:hAnsi="Times New Roman" w:cs="Times New Roman"/>
          <w:sz w:val="22"/>
          <w:szCs w:val="22"/>
        </w:rPr>
        <w:t>.</w:t>
      </w:r>
    </w:p>
    <w:p w:rsidR="00D270A9" w:rsidRDefault="00D270A9" w:rsidP="00D270A9">
      <w:pPr>
        <w:spacing w:line="276" w:lineRule="auto"/>
        <w:jc w:val="both"/>
        <w:rPr>
          <w:rFonts w:ascii="Times New Roman" w:hAnsi="Times New Roman" w:cs="Times New Roman"/>
          <w:sz w:val="22"/>
          <w:szCs w:val="22"/>
        </w:rPr>
      </w:pPr>
    </w:p>
    <w:p w:rsidR="00D270A9" w:rsidRPr="00F11BB1" w:rsidRDefault="00D270A9" w:rsidP="00D270A9">
      <w:pPr>
        <w:spacing w:line="276" w:lineRule="auto"/>
        <w:jc w:val="both"/>
        <w:rPr>
          <w:rFonts w:ascii="Times New Roman" w:hAnsi="Times New Roman" w:cs="Times New Roman"/>
          <w:sz w:val="22"/>
          <w:szCs w:val="22"/>
        </w:rPr>
      </w:pPr>
      <w:r w:rsidRPr="00F11BB1">
        <w:rPr>
          <w:rFonts w:ascii="Times New Roman" w:hAnsi="Times New Roman" w:cs="Times New Roman"/>
          <w:sz w:val="22"/>
          <w:szCs w:val="22"/>
        </w:rPr>
        <w:t>In respect of</w:t>
      </w:r>
      <w:r>
        <w:rPr>
          <w:rFonts w:ascii="Times New Roman" w:hAnsi="Times New Roman" w:cs="Times New Roman"/>
          <w:sz w:val="22"/>
          <w:szCs w:val="22"/>
        </w:rPr>
        <w:t xml:space="preserve"> Questions 27 and 28 regarding family agreements</w:t>
      </w:r>
      <w:r w:rsidRPr="00F11BB1">
        <w:rPr>
          <w:rFonts w:ascii="Times New Roman" w:hAnsi="Times New Roman" w:cs="Times New Roman"/>
          <w:sz w:val="22"/>
          <w:szCs w:val="22"/>
        </w:rPr>
        <w:t xml:space="preserve">, </w:t>
      </w:r>
      <w:r>
        <w:rPr>
          <w:rFonts w:ascii="Times New Roman" w:hAnsi="Times New Roman" w:cs="Times New Roman"/>
          <w:sz w:val="22"/>
          <w:szCs w:val="22"/>
        </w:rPr>
        <w:t>we submit that</w:t>
      </w:r>
      <w:r w:rsidRPr="00F11BB1">
        <w:rPr>
          <w:rFonts w:ascii="Times New Roman" w:hAnsi="Times New Roman" w:cs="Times New Roman"/>
          <w:sz w:val="22"/>
          <w:szCs w:val="22"/>
        </w:rPr>
        <w:t>:</w:t>
      </w:r>
    </w:p>
    <w:p w:rsidR="00A372B7" w:rsidRDefault="00A372B7" w:rsidP="00D3391F">
      <w:pPr>
        <w:pStyle w:val="ListParagraph"/>
        <w:numPr>
          <w:ilvl w:val="0"/>
          <w:numId w:val="23"/>
        </w:numPr>
        <w:spacing w:line="276" w:lineRule="auto"/>
        <w:ind w:left="567" w:hanging="567"/>
        <w:jc w:val="both"/>
        <w:rPr>
          <w:rFonts w:ascii="Times New Roman" w:hAnsi="Times New Roman" w:cs="Times New Roman"/>
          <w:sz w:val="22"/>
          <w:szCs w:val="22"/>
        </w:rPr>
      </w:pPr>
      <w:r>
        <w:rPr>
          <w:rFonts w:ascii="Times New Roman" w:hAnsi="Times New Roman" w:cs="Times New Roman"/>
          <w:sz w:val="22"/>
          <w:szCs w:val="22"/>
        </w:rPr>
        <w:t>older people face many practical, social, cultural and legal barriers in protecting their rights when family agreements break down;</w:t>
      </w:r>
    </w:p>
    <w:p w:rsidR="001F1344" w:rsidRDefault="001F1344" w:rsidP="00D3391F">
      <w:pPr>
        <w:pStyle w:val="ListParagraph"/>
        <w:numPr>
          <w:ilvl w:val="0"/>
          <w:numId w:val="23"/>
        </w:numPr>
        <w:spacing w:line="276" w:lineRule="auto"/>
        <w:ind w:left="567" w:hanging="567"/>
        <w:jc w:val="both"/>
        <w:rPr>
          <w:rFonts w:ascii="Times New Roman" w:hAnsi="Times New Roman" w:cs="Times New Roman"/>
          <w:sz w:val="22"/>
          <w:szCs w:val="22"/>
        </w:rPr>
      </w:pPr>
      <w:r>
        <w:rPr>
          <w:rFonts w:ascii="Times New Roman" w:hAnsi="Times New Roman" w:cs="Times New Roman"/>
          <w:sz w:val="22"/>
          <w:szCs w:val="22"/>
        </w:rPr>
        <w:t>written family agreements can be normalised and clarified through specific legislation;</w:t>
      </w:r>
      <w:r w:rsidR="006728F3">
        <w:rPr>
          <w:rFonts w:ascii="Times New Roman" w:hAnsi="Times New Roman" w:cs="Times New Roman"/>
          <w:sz w:val="22"/>
          <w:szCs w:val="22"/>
        </w:rPr>
        <w:t xml:space="preserve"> and</w:t>
      </w:r>
    </w:p>
    <w:p w:rsidR="00780A2F" w:rsidRDefault="00780A2F" w:rsidP="00D3391F">
      <w:pPr>
        <w:pStyle w:val="ListParagraph"/>
        <w:numPr>
          <w:ilvl w:val="0"/>
          <w:numId w:val="23"/>
        </w:numPr>
        <w:spacing w:line="276" w:lineRule="auto"/>
        <w:ind w:left="567" w:hanging="567"/>
        <w:jc w:val="both"/>
        <w:rPr>
          <w:rFonts w:ascii="Times New Roman" w:hAnsi="Times New Roman" w:cs="Times New Roman"/>
          <w:sz w:val="22"/>
          <w:szCs w:val="22"/>
        </w:rPr>
      </w:pPr>
      <w:proofErr w:type="gramStart"/>
      <w:r>
        <w:rPr>
          <w:rFonts w:ascii="Times New Roman" w:hAnsi="Times New Roman" w:cs="Times New Roman"/>
          <w:sz w:val="22"/>
          <w:szCs w:val="22"/>
        </w:rPr>
        <w:t>families</w:t>
      </w:r>
      <w:proofErr w:type="gramEnd"/>
      <w:r>
        <w:rPr>
          <w:rFonts w:ascii="Times New Roman" w:hAnsi="Times New Roman" w:cs="Times New Roman"/>
          <w:sz w:val="22"/>
          <w:szCs w:val="22"/>
        </w:rPr>
        <w:t xml:space="preserve"> should be encouraged to record their agreements in writing through education campaigns, increased</w:t>
      </w:r>
      <w:r w:rsidR="00B8582E">
        <w:rPr>
          <w:rFonts w:ascii="Times New Roman" w:hAnsi="Times New Roman" w:cs="Times New Roman"/>
          <w:sz w:val="22"/>
          <w:szCs w:val="22"/>
        </w:rPr>
        <w:t xml:space="preserve"> </w:t>
      </w:r>
      <w:r w:rsidR="001F1344">
        <w:rPr>
          <w:rFonts w:ascii="Times New Roman" w:hAnsi="Times New Roman" w:cs="Times New Roman"/>
          <w:sz w:val="22"/>
          <w:szCs w:val="22"/>
        </w:rPr>
        <w:t>ac</w:t>
      </w:r>
      <w:r w:rsidR="006728F3">
        <w:rPr>
          <w:rFonts w:ascii="Times New Roman" w:hAnsi="Times New Roman" w:cs="Times New Roman"/>
          <w:sz w:val="22"/>
          <w:szCs w:val="22"/>
        </w:rPr>
        <w:t xml:space="preserve">cess </w:t>
      </w:r>
      <w:r w:rsidR="002467E8">
        <w:rPr>
          <w:rFonts w:ascii="Times New Roman" w:hAnsi="Times New Roman" w:cs="Times New Roman"/>
          <w:sz w:val="22"/>
          <w:szCs w:val="22"/>
        </w:rPr>
        <w:t xml:space="preserve">to </w:t>
      </w:r>
      <w:r w:rsidR="006728F3">
        <w:rPr>
          <w:rFonts w:ascii="Times New Roman" w:hAnsi="Times New Roman" w:cs="Times New Roman"/>
          <w:sz w:val="22"/>
          <w:szCs w:val="22"/>
        </w:rPr>
        <w:t xml:space="preserve">community legal services and cheap and specialised family dispute resolution forums. </w:t>
      </w:r>
    </w:p>
    <w:p w:rsidR="00780A2F" w:rsidRPr="00780A2F" w:rsidRDefault="00780A2F" w:rsidP="00780A2F">
      <w:pPr>
        <w:spacing w:line="276" w:lineRule="auto"/>
        <w:jc w:val="both"/>
        <w:rPr>
          <w:rFonts w:ascii="Times New Roman" w:hAnsi="Times New Roman" w:cs="Times New Roman"/>
          <w:sz w:val="22"/>
          <w:szCs w:val="22"/>
        </w:rPr>
      </w:pPr>
    </w:p>
    <w:p w:rsidR="00D270A9" w:rsidRPr="00F11BB1" w:rsidRDefault="00D270A9" w:rsidP="00D270A9">
      <w:pPr>
        <w:spacing w:line="276" w:lineRule="auto"/>
        <w:jc w:val="both"/>
        <w:rPr>
          <w:rFonts w:ascii="Times New Roman" w:hAnsi="Times New Roman" w:cs="Times New Roman"/>
          <w:sz w:val="22"/>
          <w:szCs w:val="22"/>
        </w:rPr>
      </w:pPr>
      <w:r w:rsidRPr="00F11BB1">
        <w:rPr>
          <w:rFonts w:ascii="Times New Roman" w:hAnsi="Times New Roman" w:cs="Times New Roman"/>
          <w:sz w:val="22"/>
          <w:szCs w:val="22"/>
        </w:rPr>
        <w:t>In respect of</w:t>
      </w:r>
      <w:r>
        <w:rPr>
          <w:rFonts w:ascii="Times New Roman" w:hAnsi="Times New Roman" w:cs="Times New Roman"/>
          <w:sz w:val="22"/>
          <w:szCs w:val="22"/>
        </w:rPr>
        <w:t xml:space="preserve"> Questions 42 and 45 regarding criminal law</w:t>
      </w:r>
      <w:r w:rsidRPr="00F11BB1">
        <w:rPr>
          <w:rFonts w:ascii="Times New Roman" w:hAnsi="Times New Roman" w:cs="Times New Roman"/>
          <w:sz w:val="22"/>
          <w:szCs w:val="22"/>
        </w:rPr>
        <w:t xml:space="preserve">, </w:t>
      </w:r>
      <w:r>
        <w:rPr>
          <w:rFonts w:ascii="Times New Roman" w:hAnsi="Times New Roman" w:cs="Times New Roman"/>
          <w:sz w:val="22"/>
          <w:szCs w:val="22"/>
        </w:rPr>
        <w:t>we submit that</w:t>
      </w:r>
      <w:r w:rsidRPr="00F11BB1">
        <w:rPr>
          <w:rFonts w:ascii="Times New Roman" w:hAnsi="Times New Roman" w:cs="Times New Roman"/>
          <w:sz w:val="22"/>
          <w:szCs w:val="22"/>
        </w:rPr>
        <w:t>:</w:t>
      </w:r>
    </w:p>
    <w:p w:rsidR="00D270A9" w:rsidRPr="000B31D3" w:rsidRDefault="002467E8" w:rsidP="00D3391F">
      <w:pPr>
        <w:pStyle w:val="ListParagraph"/>
        <w:numPr>
          <w:ilvl w:val="0"/>
          <w:numId w:val="22"/>
        </w:numPr>
        <w:spacing w:line="276" w:lineRule="auto"/>
        <w:ind w:left="567" w:hanging="567"/>
        <w:jc w:val="both"/>
        <w:rPr>
          <w:rFonts w:ascii="Times New Roman" w:hAnsi="Times New Roman" w:cs="Times New Roman"/>
          <w:sz w:val="22"/>
          <w:szCs w:val="22"/>
        </w:rPr>
      </w:pPr>
      <w:r w:rsidRPr="000B31D3">
        <w:rPr>
          <w:rFonts w:ascii="Times New Roman" w:eastAsia="Calibri" w:hAnsi="Times New Roman" w:cs="Times New Roman"/>
          <w:sz w:val="22"/>
          <w:szCs w:val="22"/>
        </w:rPr>
        <w:t xml:space="preserve">an </w:t>
      </w:r>
      <w:r w:rsidR="0083534B" w:rsidRPr="000B31D3">
        <w:rPr>
          <w:rFonts w:ascii="Times New Roman" w:eastAsia="Calibri" w:hAnsi="Times New Roman" w:cs="Times New Roman"/>
          <w:sz w:val="22"/>
          <w:szCs w:val="22"/>
        </w:rPr>
        <w:t>offence specifically concerning elder abuse should not be created;</w:t>
      </w:r>
    </w:p>
    <w:p w:rsidR="0083534B" w:rsidRDefault="004542F7" w:rsidP="00D3391F">
      <w:pPr>
        <w:pStyle w:val="ListParagraph"/>
        <w:numPr>
          <w:ilvl w:val="0"/>
          <w:numId w:val="22"/>
        </w:numPr>
        <w:spacing w:line="276" w:lineRule="auto"/>
        <w:ind w:left="567" w:hanging="567"/>
        <w:jc w:val="both"/>
        <w:rPr>
          <w:rFonts w:ascii="Times New Roman" w:hAnsi="Times New Roman" w:cs="Times New Roman"/>
          <w:sz w:val="22"/>
          <w:szCs w:val="22"/>
        </w:rPr>
      </w:pPr>
      <w:r>
        <w:rPr>
          <w:rFonts w:ascii="Times New Roman" w:hAnsi="Times New Roman" w:cs="Times New Roman"/>
          <w:sz w:val="22"/>
          <w:szCs w:val="22"/>
        </w:rPr>
        <w:t xml:space="preserve">the enforcement of </w:t>
      </w:r>
      <w:r w:rsidR="0083534B" w:rsidRPr="0083534B">
        <w:rPr>
          <w:rFonts w:ascii="Times New Roman" w:hAnsi="Times New Roman" w:cs="Times New Roman"/>
          <w:sz w:val="22"/>
          <w:szCs w:val="22"/>
        </w:rPr>
        <w:t xml:space="preserve">existing laws </w:t>
      </w:r>
      <w:r w:rsidR="0083534B">
        <w:rPr>
          <w:rFonts w:ascii="Times New Roman" w:hAnsi="Times New Roman" w:cs="Times New Roman"/>
          <w:sz w:val="22"/>
          <w:szCs w:val="22"/>
        </w:rPr>
        <w:t xml:space="preserve">should be </w:t>
      </w:r>
      <w:r>
        <w:rPr>
          <w:rFonts w:ascii="Times New Roman" w:hAnsi="Times New Roman" w:cs="Times New Roman"/>
          <w:sz w:val="22"/>
          <w:szCs w:val="22"/>
        </w:rPr>
        <w:t xml:space="preserve">enhanced by improving the training </w:t>
      </w:r>
      <w:r w:rsidR="00D3391F">
        <w:rPr>
          <w:rFonts w:ascii="Times New Roman" w:hAnsi="Times New Roman" w:cs="Times New Roman"/>
          <w:sz w:val="22"/>
          <w:szCs w:val="22"/>
        </w:rPr>
        <w:t xml:space="preserve">and investigatory powers </w:t>
      </w:r>
      <w:r>
        <w:rPr>
          <w:rFonts w:ascii="Times New Roman" w:hAnsi="Times New Roman" w:cs="Times New Roman"/>
          <w:sz w:val="22"/>
          <w:szCs w:val="22"/>
        </w:rPr>
        <w:t xml:space="preserve">of enforcement agencies tasked with protecting </w:t>
      </w:r>
      <w:r w:rsidR="0083534B" w:rsidRPr="0083534B">
        <w:rPr>
          <w:rFonts w:ascii="Times New Roman" w:hAnsi="Times New Roman" w:cs="Times New Roman"/>
          <w:sz w:val="22"/>
          <w:szCs w:val="22"/>
        </w:rPr>
        <w:t>the</w:t>
      </w:r>
      <w:r w:rsidR="00BB2626">
        <w:rPr>
          <w:rFonts w:ascii="Times New Roman" w:hAnsi="Times New Roman" w:cs="Times New Roman"/>
          <w:sz w:val="22"/>
          <w:szCs w:val="22"/>
        </w:rPr>
        <w:t xml:space="preserve"> elderly who are prone to abuse; and</w:t>
      </w:r>
    </w:p>
    <w:p w:rsidR="00BB2626" w:rsidRPr="000B31D3" w:rsidRDefault="0085573B" w:rsidP="00D3391F">
      <w:pPr>
        <w:pStyle w:val="ListParagraph"/>
        <w:numPr>
          <w:ilvl w:val="0"/>
          <w:numId w:val="22"/>
        </w:numPr>
        <w:spacing w:line="276" w:lineRule="auto"/>
        <w:ind w:left="567" w:hanging="567"/>
        <w:jc w:val="both"/>
        <w:rPr>
          <w:rFonts w:ascii="Times New Roman" w:hAnsi="Times New Roman" w:cs="Times New Roman"/>
          <w:sz w:val="22"/>
          <w:szCs w:val="22"/>
        </w:rPr>
      </w:pPr>
      <w:proofErr w:type="gramStart"/>
      <w:r w:rsidRPr="000B31D3">
        <w:rPr>
          <w:rFonts w:ascii="Times New Roman" w:hAnsi="Times New Roman" w:cs="Times New Roman"/>
          <w:sz w:val="22"/>
          <w:szCs w:val="22"/>
        </w:rPr>
        <w:t>persons</w:t>
      </w:r>
      <w:proofErr w:type="gramEnd"/>
      <w:r w:rsidRPr="000B31D3">
        <w:rPr>
          <w:rFonts w:ascii="Times New Roman" w:hAnsi="Times New Roman" w:cs="Times New Roman"/>
          <w:sz w:val="22"/>
          <w:szCs w:val="22"/>
        </w:rPr>
        <w:t xml:space="preserve"> in </w:t>
      </w:r>
      <w:r w:rsidR="00692788" w:rsidRPr="000B31D3">
        <w:rPr>
          <w:rFonts w:ascii="Times New Roman" w:hAnsi="Times New Roman" w:cs="Times New Roman"/>
          <w:sz w:val="22"/>
          <w:szCs w:val="22"/>
        </w:rPr>
        <w:t>contact with elders</w:t>
      </w:r>
      <w:r w:rsidRPr="000B31D3">
        <w:rPr>
          <w:rFonts w:ascii="Times New Roman" w:hAnsi="Times New Roman" w:cs="Times New Roman"/>
          <w:sz w:val="22"/>
          <w:szCs w:val="22"/>
        </w:rPr>
        <w:t xml:space="preserve"> in a professional capacity – including aged care service providers</w:t>
      </w:r>
      <w:r w:rsidR="002467E8" w:rsidRPr="000B31D3">
        <w:rPr>
          <w:rFonts w:ascii="Times New Roman" w:hAnsi="Times New Roman" w:cs="Times New Roman"/>
          <w:sz w:val="22"/>
          <w:szCs w:val="22"/>
        </w:rPr>
        <w:t xml:space="preserve"> and</w:t>
      </w:r>
      <w:r w:rsidRPr="000B31D3">
        <w:rPr>
          <w:rFonts w:ascii="Times New Roman" w:hAnsi="Times New Roman" w:cs="Times New Roman"/>
          <w:sz w:val="22"/>
          <w:szCs w:val="22"/>
        </w:rPr>
        <w:t xml:space="preserve"> medical</w:t>
      </w:r>
      <w:r w:rsidR="00EB7382" w:rsidRPr="000B31D3">
        <w:rPr>
          <w:rFonts w:ascii="Times New Roman" w:hAnsi="Times New Roman" w:cs="Times New Roman"/>
          <w:sz w:val="22"/>
          <w:szCs w:val="22"/>
        </w:rPr>
        <w:t xml:space="preserve"> practitioners </w:t>
      </w:r>
      <w:r w:rsidRPr="000B31D3">
        <w:rPr>
          <w:rFonts w:ascii="Times New Roman" w:hAnsi="Times New Roman" w:cs="Times New Roman"/>
          <w:sz w:val="22"/>
          <w:szCs w:val="22"/>
        </w:rPr>
        <w:t>– should be compulsorily obliged to report suspected elder abuse</w:t>
      </w:r>
      <w:r w:rsidR="00EB7382" w:rsidRPr="000B31D3">
        <w:rPr>
          <w:rFonts w:ascii="Times New Roman" w:hAnsi="Times New Roman" w:cs="Times New Roman"/>
          <w:sz w:val="22"/>
          <w:szCs w:val="22"/>
        </w:rPr>
        <w:t>.</w:t>
      </w:r>
    </w:p>
    <w:p w:rsidR="003F7C50" w:rsidRPr="000B0BBF" w:rsidRDefault="003F7C50" w:rsidP="000B0BBF">
      <w:pPr>
        <w:spacing w:line="276" w:lineRule="auto"/>
        <w:jc w:val="both"/>
        <w:rPr>
          <w:rFonts w:ascii="Times New Roman" w:hAnsi="Times New Roman" w:cs="Times New Roman"/>
          <w:sz w:val="22"/>
          <w:szCs w:val="22"/>
        </w:rPr>
      </w:pPr>
    </w:p>
    <w:p w:rsidR="003F7C50" w:rsidRPr="00F11BB1" w:rsidRDefault="003F7C50" w:rsidP="0089188C">
      <w:pPr>
        <w:spacing w:line="276" w:lineRule="auto"/>
        <w:jc w:val="both"/>
        <w:rPr>
          <w:rFonts w:ascii="Times New Roman" w:hAnsi="Times New Roman" w:cs="Times New Roman"/>
          <w:sz w:val="22"/>
          <w:szCs w:val="22"/>
        </w:rPr>
      </w:pPr>
      <w:r w:rsidRPr="00F11BB1">
        <w:rPr>
          <w:rFonts w:ascii="Times New Roman" w:hAnsi="Times New Roman" w:cs="Times New Roman"/>
          <w:sz w:val="22"/>
          <w:szCs w:val="22"/>
        </w:rPr>
        <w:t>Please do not hesitate to contact us should you require further information.</w:t>
      </w:r>
    </w:p>
    <w:p w:rsidR="003F7C50" w:rsidRPr="00C3729E" w:rsidRDefault="003F7C50" w:rsidP="0089188C">
      <w:pPr>
        <w:spacing w:line="276" w:lineRule="auto"/>
        <w:jc w:val="both"/>
        <w:rPr>
          <w:rFonts w:ascii="Times New Roman" w:hAnsi="Times New Roman" w:cs="Times New Roman"/>
          <w:sz w:val="22"/>
          <w:szCs w:val="22"/>
        </w:rPr>
      </w:pPr>
    </w:p>
    <w:p w:rsidR="004E6E26" w:rsidRDefault="004E6E26" w:rsidP="0089188C">
      <w:pPr>
        <w:spacing w:line="276" w:lineRule="auto"/>
        <w:jc w:val="both"/>
        <w:rPr>
          <w:rFonts w:ascii="Times New Roman" w:hAnsi="Times New Roman" w:cs="Times New Roman"/>
          <w:sz w:val="22"/>
          <w:szCs w:val="22"/>
        </w:rPr>
      </w:pPr>
    </w:p>
    <w:p w:rsidR="003F7C50" w:rsidRPr="00C3729E" w:rsidRDefault="003F7C50" w:rsidP="0089188C">
      <w:pPr>
        <w:spacing w:line="276" w:lineRule="auto"/>
        <w:jc w:val="both"/>
        <w:rPr>
          <w:rFonts w:ascii="Times New Roman" w:hAnsi="Times New Roman" w:cs="Times New Roman"/>
          <w:sz w:val="22"/>
          <w:szCs w:val="22"/>
        </w:rPr>
      </w:pPr>
      <w:r w:rsidRPr="00C3729E">
        <w:rPr>
          <w:rFonts w:ascii="Times New Roman" w:hAnsi="Times New Roman" w:cs="Times New Roman"/>
          <w:sz w:val="22"/>
          <w:szCs w:val="22"/>
        </w:rPr>
        <w:t>Yours faithfully,</w:t>
      </w:r>
    </w:p>
    <w:p w:rsidR="003F7C50" w:rsidRPr="00C3729E" w:rsidRDefault="003F7C50" w:rsidP="0089188C">
      <w:pPr>
        <w:spacing w:line="276" w:lineRule="auto"/>
        <w:rPr>
          <w:rFonts w:ascii="Times New Roman" w:hAnsi="Times New Roman" w:cs="Times New Roman"/>
          <w:sz w:val="22"/>
          <w:szCs w:val="22"/>
        </w:rPr>
      </w:pPr>
      <w:r w:rsidRPr="00C3729E">
        <w:rPr>
          <w:rFonts w:ascii="Times New Roman" w:hAnsi="Times New Roman" w:cs="Times New Roman"/>
          <w:sz w:val="22"/>
          <w:szCs w:val="22"/>
        </w:rPr>
        <w:t xml:space="preserve">UNSW LAW SOCIETY </w:t>
      </w:r>
    </w:p>
    <w:p w:rsidR="004E6E26" w:rsidRPr="00C3729E" w:rsidRDefault="004E6E26" w:rsidP="0089188C">
      <w:pPr>
        <w:spacing w:line="276" w:lineRule="auto"/>
        <w:rPr>
          <w:rFonts w:ascii="Times New Roman" w:hAnsi="Times New Roman" w:cs="Times New Roman"/>
          <w:sz w:val="22"/>
          <w:szCs w:val="22"/>
        </w:rPr>
      </w:pPr>
    </w:p>
    <w:p w:rsidR="003F7C50" w:rsidRPr="00C3729E" w:rsidRDefault="003F7C50" w:rsidP="0089188C">
      <w:pPr>
        <w:spacing w:line="276" w:lineRule="auto"/>
        <w:rPr>
          <w:rFonts w:ascii="Times New Roman" w:hAnsi="Times New Roman" w:cs="Times New Roman"/>
          <w:sz w:val="22"/>
          <w:szCs w:val="22"/>
        </w:rPr>
      </w:pPr>
      <w:r w:rsidRPr="00C3729E">
        <w:rPr>
          <w:rFonts w:ascii="Times New Roman" w:hAnsi="Times New Roman" w:cs="Times New Roman"/>
          <w:sz w:val="22"/>
          <w:szCs w:val="22"/>
        </w:rPr>
        <w:t xml:space="preserve">Josiah </w:t>
      </w:r>
      <w:proofErr w:type="spellStart"/>
      <w:r w:rsidRPr="00C3729E">
        <w:rPr>
          <w:rFonts w:ascii="Times New Roman" w:hAnsi="Times New Roman" w:cs="Times New Roman"/>
          <w:sz w:val="22"/>
          <w:szCs w:val="22"/>
        </w:rPr>
        <w:t>Fajardo</w:t>
      </w:r>
      <w:proofErr w:type="spellEnd"/>
      <w:r w:rsidRPr="00C3729E">
        <w:rPr>
          <w:rFonts w:ascii="Times New Roman" w:hAnsi="Times New Roman" w:cs="Times New Roman"/>
          <w:sz w:val="22"/>
          <w:szCs w:val="22"/>
        </w:rPr>
        <w:t xml:space="preserve"> &amp; Michael </w:t>
      </w:r>
      <w:proofErr w:type="spellStart"/>
      <w:r w:rsidRPr="00C3729E">
        <w:rPr>
          <w:rFonts w:ascii="Times New Roman" w:hAnsi="Times New Roman" w:cs="Times New Roman"/>
          <w:sz w:val="22"/>
          <w:szCs w:val="22"/>
        </w:rPr>
        <w:t>Quach</w:t>
      </w:r>
      <w:proofErr w:type="spellEnd"/>
    </w:p>
    <w:p w:rsidR="003F7C50" w:rsidRPr="00C3729E" w:rsidRDefault="003F7C50" w:rsidP="0089188C">
      <w:pPr>
        <w:spacing w:line="276" w:lineRule="auto"/>
        <w:rPr>
          <w:rFonts w:ascii="Times New Roman" w:hAnsi="Times New Roman" w:cs="Times New Roman"/>
          <w:sz w:val="22"/>
          <w:szCs w:val="22"/>
        </w:rPr>
      </w:pPr>
      <w:r w:rsidRPr="00C3729E">
        <w:rPr>
          <w:rFonts w:ascii="Times New Roman" w:hAnsi="Times New Roman" w:cs="Times New Roman"/>
          <w:sz w:val="22"/>
          <w:szCs w:val="22"/>
        </w:rPr>
        <w:t>Directors of Policy Submissions</w:t>
      </w:r>
    </w:p>
    <w:p w:rsidR="003F7C50" w:rsidRPr="00C3729E" w:rsidRDefault="003F7C50" w:rsidP="003F7C50">
      <w:pPr>
        <w:spacing w:line="360" w:lineRule="auto"/>
        <w:rPr>
          <w:rFonts w:ascii="Times New Roman" w:hAnsi="Times New Roman" w:cs="Times New Roman"/>
          <w:sz w:val="22"/>
          <w:szCs w:val="22"/>
        </w:rPr>
      </w:pPr>
      <w:r w:rsidRPr="00C3729E">
        <w:rPr>
          <w:rFonts w:ascii="Times New Roman" w:hAnsi="Times New Roman" w:cs="Times New Roman"/>
          <w:sz w:val="22"/>
          <w:szCs w:val="22"/>
        </w:rPr>
        <w:br w:type="page"/>
      </w:r>
    </w:p>
    <w:p w:rsidR="003F7C50" w:rsidRPr="00C3729E" w:rsidRDefault="003F7C50" w:rsidP="003F7C50">
      <w:pPr>
        <w:spacing w:line="360" w:lineRule="auto"/>
        <w:rPr>
          <w:rFonts w:ascii="Times New Roman" w:hAnsi="Times New Roman" w:cs="Times New Roman"/>
          <w:b/>
          <w:sz w:val="22"/>
          <w:szCs w:val="22"/>
        </w:rPr>
      </w:pPr>
      <w:r w:rsidRPr="00C3729E">
        <w:rPr>
          <w:rFonts w:ascii="Times New Roman" w:hAnsi="Times New Roman" w:cs="Times New Roman"/>
          <w:b/>
          <w:sz w:val="22"/>
          <w:szCs w:val="22"/>
        </w:rPr>
        <w:lastRenderedPageBreak/>
        <w:t xml:space="preserve">UNSW LAW SOCIETY CO-PRESIDENTS </w:t>
      </w:r>
    </w:p>
    <w:p w:rsidR="003F7C50" w:rsidRPr="00C3729E" w:rsidRDefault="003F7C50" w:rsidP="003F7C50">
      <w:pPr>
        <w:spacing w:line="360" w:lineRule="auto"/>
        <w:rPr>
          <w:rFonts w:ascii="Times New Roman" w:hAnsi="Times New Roman" w:cs="Times New Roman"/>
          <w:sz w:val="22"/>
          <w:szCs w:val="22"/>
        </w:rPr>
      </w:pPr>
      <w:r w:rsidRPr="00C3729E">
        <w:rPr>
          <w:rFonts w:ascii="Times New Roman" w:hAnsi="Times New Roman" w:cs="Times New Roman"/>
          <w:sz w:val="22"/>
          <w:szCs w:val="22"/>
        </w:rPr>
        <w:t xml:space="preserve">Audrey Chan and Justin </w:t>
      </w:r>
      <w:proofErr w:type="spellStart"/>
      <w:r w:rsidRPr="00C3729E">
        <w:rPr>
          <w:rFonts w:ascii="Times New Roman" w:hAnsi="Times New Roman" w:cs="Times New Roman"/>
          <w:sz w:val="22"/>
          <w:szCs w:val="22"/>
        </w:rPr>
        <w:t>Teo</w:t>
      </w:r>
      <w:proofErr w:type="spellEnd"/>
    </w:p>
    <w:p w:rsidR="003F7C50" w:rsidRPr="00C3729E" w:rsidRDefault="003F7C50" w:rsidP="003F7C50">
      <w:pPr>
        <w:spacing w:line="360" w:lineRule="auto"/>
        <w:rPr>
          <w:rFonts w:ascii="Times New Roman" w:hAnsi="Times New Roman" w:cs="Times New Roman"/>
          <w:b/>
          <w:sz w:val="22"/>
          <w:szCs w:val="22"/>
        </w:rPr>
      </w:pPr>
    </w:p>
    <w:p w:rsidR="003F7C50" w:rsidRPr="00C3729E" w:rsidRDefault="003F7C50" w:rsidP="003F7C50">
      <w:pPr>
        <w:spacing w:line="360" w:lineRule="auto"/>
        <w:rPr>
          <w:rFonts w:ascii="Times New Roman" w:hAnsi="Times New Roman" w:cs="Times New Roman"/>
          <w:b/>
          <w:sz w:val="22"/>
          <w:szCs w:val="22"/>
        </w:rPr>
      </w:pPr>
      <w:r w:rsidRPr="00C3729E">
        <w:rPr>
          <w:rFonts w:ascii="Times New Roman" w:hAnsi="Times New Roman" w:cs="Times New Roman"/>
          <w:b/>
          <w:sz w:val="22"/>
          <w:szCs w:val="22"/>
        </w:rPr>
        <w:t xml:space="preserve">VICE-PRESIDENT (SOCIAL JUSTICE) </w:t>
      </w:r>
    </w:p>
    <w:p w:rsidR="003F7C50" w:rsidRPr="00C3729E" w:rsidRDefault="003F7C50" w:rsidP="003F7C50">
      <w:pPr>
        <w:spacing w:line="360" w:lineRule="auto"/>
        <w:rPr>
          <w:rFonts w:ascii="Times New Roman" w:hAnsi="Times New Roman" w:cs="Times New Roman"/>
          <w:sz w:val="22"/>
          <w:szCs w:val="22"/>
        </w:rPr>
      </w:pPr>
      <w:proofErr w:type="spellStart"/>
      <w:r w:rsidRPr="00C3729E">
        <w:rPr>
          <w:rFonts w:ascii="Times New Roman" w:hAnsi="Times New Roman" w:cs="Times New Roman"/>
          <w:sz w:val="22"/>
          <w:szCs w:val="22"/>
        </w:rPr>
        <w:t>Khushaal</w:t>
      </w:r>
      <w:proofErr w:type="spellEnd"/>
      <w:r w:rsidRPr="00C3729E">
        <w:rPr>
          <w:rFonts w:ascii="Times New Roman" w:hAnsi="Times New Roman" w:cs="Times New Roman"/>
          <w:sz w:val="22"/>
          <w:szCs w:val="22"/>
        </w:rPr>
        <w:t xml:space="preserve"> </w:t>
      </w:r>
      <w:proofErr w:type="spellStart"/>
      <w:r w:rsidRPr="00C3729E">
        <w:rPr>
          <w:rFonts w:ascii="Times New Roman" w:hAnsi="Times New Roman" w:cs="Times New Roman"/>
          <w:sz w:val="22"/>
          <w:szCs w:val="22"/>
        </w:rPr>
        <w:t>Vyas</w:t>
      </w:r>
      <w:proofErr w:type="spellEnd"/>
    </w:p>
    <w:p w:rsidR="003F7C50" w:rsidRPr="00C3729E" w:rsidRDefault="003F7C50" w:rsidP="003F7C50">
      <w:pPr>
        <w:spacing w:line="360" w:lineRule="auto"/>
        <w:rPr>
          <w:rFonts w:ascii="Times New Roman" w:hAnsi="Times New Roman" w:cs="Times New Roman"/>
          <w:b/>
          <w:sz w:val="22"/>
          <w:szCs w:val="22"/>
        </w:rPr>
      </w:pPr>
    </w:p>
    <w:p w:rsidR="003F7C50" w:rsidRPr="00C3729E" w:rsidRDefault="003F7C50" w:rsidP="003F7C50">
      <w:pPr>
        <w:spacing w:line="360" w:lineRule="auto"/>
        <w:rPr>
          <w:rFonts w:ascii="Times New Roman" w:hAnsi="Times New Roman" w:cs="Times New Roman"/>
          <w:b/>
          <w:sz w:val="22"/>
          <w:szCs w:val="22"/>
        </w:rPr>
      </w:pPr>
      <w:r w:rsidRPr="00C3729E">
        <w:rPr>
          <w:rFonts w:ascii="Times New Roman" w:hAnsi="Times New Roman" w:cs="Times New Roman"/>
          <w:b/>
          <w:sz w:val="22"/>
          <w:szCs w:val="22"/>
        </w:rPr>
        <w:t>POLICY SUBMISSION</w:t>
      </w:r>
      <w:r w:rsidR="00E327D2">
        <w:rPr>
          <w:rFonts w:ascii="Times New Roman" w:hAnsi="Times New Roman" w:cs="Times New Roman"/>
          <w:b/>
          <w:sz w:val="22"/>
          <w:szCs w:val="22"/>
        </w:rPr>
        <w:t>S</w:t>
      </w:r>
      <w:r w:rsidRPr="00C3729E">
        <w:rPr>
          <w:rFonts w:ascii="Times New Roman" w:hAnsi="Times New Roman" w:cs="Times New Roman"/>
          <w:b/>
          <w:sz w:val="22"/>
          <w:szCs w:val="22"/>
        </w:rPr>
        <w:t xml:space="preserve"> DIRECTORS </w:t>
      </w:r>
    </w:p>
    <w:p w:rsidR="003F7C50" w:rsidRPr="00C3729E" w:rsidRDefault="003F7C50" w:rsidP="003F7C50">
      <w:pPr>
        <w:spacing w:line="360" w:lineRule="auto"/>
        <w:rPr>
          <w:rFonts w:ascii="Times New Roman" w:hAnsi="Times New Roman" w:cs="Times New Roman"/>
          <w:sz w:val="22"/>
          <w:szCs w:val="22"/>
        </w:rPr>
      </w:pPr>
      <w:r w:rsidRPr="00C3729E">
        <w:rPr>
          <w:rFonts w:ascii="Times New Roman" w:hAnsi="Times New Roman" w:cs="Times New Roman"/>
          <w:sz w:val="22"/>
          <w:szCs w:val="22"/>
        </w:rPr>
        <w:t xml:space="preserve">Josiah </w:t>
      </w:r>
      <w:proofErr w:type="spellStart"/>
      <w:r w:rsidRPr="00C3729E">
        <w:rPr>
          <w:rFonts w:ascii="Times New Roman" w:hAnsi="Times New Roman" w:cs="Times New Roman"/>
          <w:sz w:val="22"/>
          <w:szCs w:val="22"/>
        </w:rPr>
        <w:t>Fajardo</w:t>
      </w:r>
      <w:proofErr w:type="spellEnd"/>
      <w:r w:rsidRPr="00C3729E">
        <w:rPr>
          <w:rFonts w:ascii="Times New Roman" w:hAnsi="Times New Roman" w:cs="Times New Roman"/>
          <w:sz w:val="22"/>
          <w:szCs w:val="22"/>
        </w:rPr>
        <w:t xml:space="preserve"> and Michael </w:t>
      </w:r>
      <w:proofErr w:type="spellStart"/>
      <w:r w:rsidRPr="00C3729E">
        <w:rPr>
          <w:rFonts w:ascii="Times New Roman" w:hAnsi="Times New Roman" w:cs="Times New Roman"/>
          <w:sz w:val="22"/>
          <w:szCs w:val="22"/>
        </w:rPr>
        <w:t>Quach</w:t>
      </w:r>
      <w:proofErr w:type="spellEnd"/>
    </w:p>
    <w:p w:rsidR="003F7C50" w:rsidRPr="00C3729E" w:rsidRDefault="003F7C50" w:rsidP="003F7C50">
      <w:pPr>
        <w:spacing w:line="360" w:lineRule="auto"/>
        <w:rPr>
          <w:rFonts w:ascii="Times New Roman" w:hAnsi="Times New Roman" w:cs="Times New Roman"/>
          <w:b/>
          <w:sz w:val="22"/>
          <w:szCs w:val="22"/>
        </w:rPr>
      </w:pPr>
    </w:p>
    <w:p w:rsidR="003F7C50" w:rsidRPr="00C3729E" w:rsidRDefault="003F7C50" w:rsidP="003F7C50">
      <w:pPr>
        <w:spacing w:line="360" w:lineRule="auto"/>
        <w:rPr>
          <w:rFonts w:ascii="Times New Roman" w:hAnsi="Times New Roman" w:cs="Times New Roman"/>
          <w:b/>
          <w:sz w:val="22"/>
          <w:szCs w:val="22"/>
        </w:rPr>
      </w:pPr>
      <w:r w:rsidRPr="00C3729E">
        <w:rPr>
          <w:rFonts w:ascii="Times New Roman" w:hAnsi="Times New Roman" w:cs="Times New Roman"/>
          <w:b/>
          <w:sz w:val="22"/>
          <w:szCs w:val="22"/>
        </w:rPr>
        <w:t>STUDENT CONTRIBUTORS</w:t>
      </w:r>
    </w:p>
    <w:p w:rsidR="003F7C50" w:rsidRPr="00C3729E" w:rsidRDefault="003F7C50" w:rsidP="003F7C50">
      <w:pPr>
        <w:spacing w:line="360" w:lineRule="auto"/>
        <w:rPr>
          <w:rFonts w:ascii="Times New Roman" w:hAnsi="Times New Roman" w:cs="Times New Roman"/>
          <w:sz w:val="22"/>
          <w:szCs w:val="22"/>
        </w:rPr>
      </w:pPr>
      <w:r w:rsidRPr="00C3729E">
        <w:rPr>
          <w:rFonts w:ascii="Times New Roman" w:hAnsi="Times New Roman" w:cs="Times New Roman"/>
          <w:sz w:val="22"/>
          <w:szCs w:val="22"/>
        </w:rPr>
        <w:t xml:space="preserve">William </w:t>
      </w:r>
      <w:proofErr w:type="spellStart"/>
      <w:r w:rsidRPr="00C3729E">
        <w:rPr>
          <w:rFonts w:ascii="Times New Roman" w:hAnsi="Times New Roman" w:cs="Times New Roman"/>
          <w:sz w:val="22"/>
          <w:szCs w:val="22"/>
        </w:rPr>
        <w:t>Laksana</w:t>
      </w:r>
      <w:proofErr w:type="spellEnd"/>
    </w:p>
    <w:p w:rsidR="003F7C50" w:rsidRPr="00C3729E" w:rsidRDefault="003F7C50" w:rsidP="003F7C50">
      <w:pPr>
        <w:spacing w:line="360" w:lineRule="auto"/>
        <w:rPr>
          <w:rFonts w:ascii="Times New Roman" w:hAnsi="Times New Roman" w:cs="Times New Roman"/>
          <w:sz w:val="22"/>
          <w:szCs w:val="22"/>
        </w:rPr>
      </w:pPr>
      <w:proofErr w:type="spellStart"/>
      <w:r w:rsidRPr="00C3729E">
        <w:rPr>
          <w:rFonts w:ascii="Times New Roman" w:hAnsi="Times New Roman" w:cs="Times New Roman"/>
          <w:sz w:val="22"/>
          <w:szCs w:val="22"/>
        </w:rPr>
        <w:t>Tashinga</w:t>
      </w:r>
      <w:proofErr w:type="spellEnd"/>
      <w:r w:rsidRPr="00C3729E">
        <w:rPr>
          <w:rFonts w:ascii="Times New Roman" w:hAnsi="Times New Roman" w:cs="Times New Roman"/>
          <w:sz w:val="22"/>
          <w:szCs w:val="22"/>
        </w:rPr>
        <w:t xml:space="preserve"> </w:t>
      </w:r>
      <w:proofErr w:type="spellStart"/>
      <w:r w:rsidRPr="00C3729E">
        <w:rPr>
          <w:rFonts w:ascii="Times New Roman" w:hAnsi="Times New Roman" w:cs="Times New Roman"/>
          <w:sz w:val="22"/>
          <w:szCs w:val="22"/>
        </w:rPr>
        <w:t>Musingarabwe</w:t>
      </w:r>
      <w:proofErr w:type="spellEnd"/>
    </w:p>
    <w:p w:rsidR="003F7C50" w:rsidRPr="003140E4" w:rsidRDefault="003F7C50" w:rsidP="003F7C50">
      <w:pPr>
        <w:spacing w:line="360" w:lineRule="auto"/>
        <w:rPr>
          <w:rFonts w:ascii="Times New Roman" w:hAnsi="Times New Roman" w:cs="Times New Roman"/>
          <w:sz w:val="22"/>
          <w:szCs w:val="22"/>
          <w:lang w:val="es-ES"/>
        </w:rPr>
      </w:pPr>
      <w:proofErr w:type="spellStart"/>
      <w:r w:rsidRPr="003140E4">
        <w:rPr>
          <w:rFonts w:ascii="Times New Roman" w:hAnsi="Times New Roman" w:cs="Times New Roman"/>
          <w:sz w:val="22"/>
          <w:szCs w:val="22"/>
          <w:lang w:val="es-ES"/>
        </w:rPr>
        <w:t>Jaya</w:t>
      </w:r>
      <w:proofErr w:type="spellEnd"/>
      <w:r w:rsidRPr="003140E4">
        <w:rPr>
          <w:rFonts w:ascii="Times New Roman" w:hAnsi="Times New Roman" w:cs="Times New Roman"/>
          <w:sz w:val="22"/>
          <w:szCs w:val="22"/>
          <w:lang w:val="es-ES"/>
        </w:rPr>
        <w:t xml:space="preserve"> Punjabi</w:t>
      </w:r>
    </w:p>
    <w:p w:rsidR="003F7C50" w:rsidRPr="003140E4" w:rsidRDefault="003F7C50" w:rsidP="003F7C50">
      <w:pPr>
        <w:spacing w:line="360" w:lineRule="auto"/>
        <w:rPr>
          <w:rFonts w:ascii="Times New Roman" w:hAnsi="Times New Roman" w:cs="Times New Roman"/>
          <w:sz w:val="22"/>
          <w:szCs w:val="22"/>
          <w:lang w:val="es-ES"/>
        </w:rPr>
      </w:pPr>
      <w:proofErr w:type="spellStart"/>
      <w:r w:rsidRPr="003140E4">
        <w:rPr>
          <w:rFonts w:ascii="Times New Roman" w:hAnsi="Times New Roman" w:cs="Times New Roman"/>
          <w:sz w:val="22"/>
          <w:szCs w:val="22"/>
          <w:lang w:val="es-ES"/>
        </w:rPr>
        <w:t>Yen</w:t>
      </w:r>
      <w:r w:rsidR="00DA1EE4">
        <w:rPr>
          <w:rFonts w:ascii="Times New Roman" w:hAnsi="Times New Roman" w:cs="Times New Roman"/>
          <w:sz w:val="22"/>
          <w:szCs w:val="22"/>
          <w:lang w:val="es-ES"/>
        </w:rPr>
        <w:t>é</w:t>
      </w:r>
      <w:r w:rsidRPr="003140E4">
        <w:rPr>
          <w:rFonts w:ascii="Times New Roman" w:hAnsi="Times New Roman" w:cs="Times New Roman"/>
          <w:sz w:val="22"/>
          <w:szCs w:val="22"/>
          <w:lang w:val="es-ES"/>
        </w:rPr>
        <w:t>e</w:t>
      </w:r>
      <w:proofErr w:type="spellEnd"/>
      <w:r w:rsidRPr="003140E4">
        <w:rPr>
          <w:rFonts w:ascii="Times New Roman" w:hAnsi="Times New Roman" w:cs="Times New Roman"/>
          <w:sz w:val="22"/>
          <w:szCs w:val="22"/>
          <w:lang w:val="es-ES"/>
        </w:rPr>
        <w:t xml:space="preserve"> Saw</w:t>
      </w:r>
    </w:p>
    <w:p w:rsidR="003F7C50" w:rsidRPr="003140E4" w:rsidRDefault="003F7C50" w:rsidP="003F7C50">
      <w:pPr>
        <w:spacing w:line="360" w:lineRule="auto"/>
        <w:rPr>
          <w:rFonts w:ascii="Times New Roman" w:hAnsi="Times New Roman" w:cs="Times New Roman"/>
          <w:sz w:val="22"/>
          <w:szCs w:val="22"/>
          <w:lang w:val="es-ES"/>
        </w:rPr>
      </w:pPr>
      <w:r w:rsidRPr="003140E4">
        <w:rPr>
          <w:rFonts w:ascii="Times New Roman" w:hAnsi="Times New Roman" w:cs="Times New Roman"/>
          <w:sz w:val="22"/>
          <w:szCs w:val="22"/>
          <w:lang w:val="es-ES"/>
        </w:rPr>
        <w:t xml:space="preserve">Veronica </w:t>
      </w:r>
      <w:proofErr w:type="spellStart"/>
      <w:r w:rsidRPr="003140E4">
        <w:rPr>
          <w:rFonts w:ascii="Times New Roman" w:hAnsi="Times New Roman" w:cs="Times New Roman"/>
          <w:sz w:val="22"/>
          <w:szCs w:val="22"/>
          <w:lang w:val="es-ES"/>
        </w:rPr>
        <w:t>Sebesfi</w:t>
      </w:r>
      <w:proofErr w:type="spellEnd"/>
      <w:r w:rsidRPr="003140E4">
        <w:rPr>
          <w:rFonts w:ascii="Times New Roman" w:hAnsi="Times New Roman" w:cs="Times New Roman"/>
          <w:sz w:val="22"/>
          <w:szCs w:val="22"/>
          <w:lang w:val="es-ES"/>
        </w:rPr>
        <w:t xml:space="preserve"> </w:t>
      </w:r>
    </w:p>
    <w:p w:rsidR="003F7C50" w:rsidRPr="003140E4" w:rsidRDefault="003F7C50" w:rsidP="003F7C50">
      <w:pPr>
        <w:spacing w:line="360" w:lineRule="auto"/>
        <w:rPr>
          <w:rFonts w:ascii="Times New Roman" w:hAnsi="Times New Roman" w:cs="Times New Roman"/>
          <w:sz w:val="22"/>
          <w:szCs w:val="22"/>
          <w:lang w:val="es-ES"/>
        </w:rPr>
      </w:pPr>
      <w:r w:rsidRPr="003140E4">
        <w:rPr>
          <w:rFonts w:ascii="Times New Roman" w:hAnsi="Times New Roman" w:cs="Times New Roman"/>
          <w:sz w:val="22"/>
          <w:szCs w:val="22"/>
          <w:lang w:val="es-ES"/>
        </w:rPr>
        <w:t xml:space="preserve">Cecilia </w:t>
      </w:r>
      <w:proofErr w:type="spellStart"/>
      <w:r w:rsidRPr="003140E4">
        <w:rPr>
          <w:rFonts w:ascii="Times New Roman" w:hAnsi="Times New Roman" w:cs="Times New Roman"/>
          <w:sz w:val="22"/>
          <w:szCs w:val="22"/>
          <w:lang w:val="es-ES"/>
        </w:rPr>
        <w:t>Yu</w:t>
      </w:r>
      <w:proofErr w:type="spellEnd"/>
    </w:p>
    <w:p w:rsidR="003F7C50" w:rsidRDefault="003F7C50">
      <w:pPr>
        <w:rPr>
          <w:rFonts w:ascii="Times New Roman" w:eastAsia="Times New Roman" w:hAnsi="Times New Roman" w:cs="Times New Roman"/>
          <w:sz w:val="48"/>
        </w:rPr>
      </w:pPr>
      <w:r>
        <w:rPr>
          <w:rFonts w:ascii="Times New Roman" w:eastAsia="Times New Roman" w:hAnsi="Times New Roman" w:cs="Times New Roman"/>
          <w:sz w:val="48"/>
        </w:rPr>
        <w:br w:type="page"/>
      </w:r>
    </w:p>
    <w:p w:rsidR="00C3029A" w:rsidRPr="00532994" w:rsidRDefault="00C3029A" w:rsidP="003444E8">
      <w:pPr>
        <w:spacing w:line="360" w:lineRule="auto"/>
        <w:jc w:val="center"/>
        <w:rPr>
          <w:rFonts w:ascii="Times New Roman" w:hAnsi="Times New Roman" w:cs="Times New Roman"/>
          <w:sz w:val="48"/>
          <w:szCs w:val="48"/>
        </w:rPr>
      </w:pPr>
      <w:r w:rsidRPr="00532994">
        <w:rPr>
          <w:rFonts w:ascii="Times New Roman" w:eastAsia="Times New Roman" w:hAnsi="Times New Roman" w:cs="Times New Roman"/>
          <w:bCs/>
          <w:sz w:val="48"/>
          <w:szCs w:val="36"/>
          <w:bdr w:val="none" w:sz="0" w:space="0" w:color="auto" w:frame="1"/>
          <w:lang w:eastAsia="en-AU"/>
        </w:rPr>
        <w:lastRenderedPageBreak/>
        <w:t>Social Security</w:t>
      </w:r>
    </w:p>
    <w:p w:rsidR="00C3029A" w:rsidRPr="00532994" w:rsidRDefault="00C3029A" w:rsidP="003444E8">
      <w:pPr>
        <w:spacing w:line="360" w:lineRule="auto"/>
        <w:jc w:val="center"/>
        <w:rPr>
          <w:rFonts w:ascii="Times New Roman" w:hAnsi="Times New Roman" w:cs="Times New Roman"/>
          <w:sz w:val="22"/>
          <w:szCs w:val="48"/>
        </w:rPr>
      </w:pPr>
    </w:p>
    <w:tbl>
      <w:tblPr>
        <w:tblStyle w:val="TableGrid"/>
        <w:tblW w:w="5000" w:type="pct"/>
        <w:tblLook w:val="04A0"/>
      </w:tblPr>
      <w:tblGrid>
        <w:gridCol w:w="9236"/>
      </w:tblGrid>
      <w:tr w:rsidR="00C3029A" w:rsidRPr="00532994" w:rsidTr="003F7C50">
        <w:tc>
          <w:tcPr>
            <w:tcW w:w="5000" w:type="pct"/>
            <w:tcBorders>
              <w:top w:val="single" w:sz="4" w:space="0" w:color="auto"/>
              <w:left w:val="single" w:sz="4" w:space="0" w:color="auto"/>
              <w:bottom w:val="single" w:sz="4" w:space="0" w:color="auto"/>
              <w:right w:val="single" w:sz="4" w:space="0" w:color="auto"/>
            </w:tcBorders>
            <w:hideMark/>
          </w:tcPr>
          <w:p w:rsidR="00C3029A" w:rsidRPr="00532994" w:rsidRDefault="00C3029A" w:rsidP="003444E8">
            <w:pPr>
              <w:pStyle w:val="Body"/>
              <w:spacing w:line="360" w:lineRule="auto"/>
              <w:rPr>
                <w:rFonts w:cs="Times New Roman"/>
                <w:b/>
                <w:bCs/>
                <w:color w:val="auto"/>
                <w:lang w:eastAsia="en-US"/>
              </w:rPr>
            </w:pPr>
            <w:r w:rsidRPr="00532994">
              <w:rPr>
                <w:rFonts w:cs="Times New Roman"/>
                <w:b/>
                <w:bCs/>
                <w:color w:val="auto"/>
                <w:sz w:val="22"/>
                <w:lang w:eastAsia="en-US"/>
              </w:rPr>
              <w:t>Question 5</w:t>
            </w:r>
            <w:r w:rsidRPr="00532994">
              <w:rPr>
                <w:rFonts w:cs="Times New Roman"/>
                <w:b/>
                <w:bCs/>
                <w:color w:val="auto"/>
                <w:sz w:val="22"/>
                <w:lang w:eastAsia="en-US"/>
              </w:rPr>
              <w:tab/>
            </w:r>
            <w:r w:rsidRPr="00532994">
              <w:rPr>
                <w:rFonts w:cs="Times New Roman"/>
                <w:b/>
                <w:bCs/>
                <w:color w:val="auto"/>
                <w:sz w:val="22"/>
                <w:lang w:eastAsia="en-US"/>
              </w:rPr>
              <w:tab/>
            </w:r>
            <w:r w:rsidRPr="00532994">
              <w:rPr>
                <w:rFonts w:cs="Times New Roman"/>
                <w:bCs/>
                <w:color w:val="auto"/>
                <w:sz w:val="22"/>
                <w:lang w:eastAsia="en-US"/>
              </w:rPr>
              <w:t xml:space="preserve">How does </w:t>
            </w:r>
            <w:proofErr w:type="spellStart"/>
            <w:r w:rsidRPr="00532994">
              <w:rPr>
                <w:rFonts w:cs="Times New Roman"/>
                <w:bCs/>
                <w:color w:val="auto"/>
                <w:sz w:val="22"/>
                <w:lang w:eastAsia="en-US"/>
              </w:rPr>
              <w:t>Centrelink</w:t>
            </w:r>
            <w:proofErr w:type="spellEnd"/>
            <w:r w:rsidRPr="00532994">
              <w:rPr>
                <w:rFonts w:cs="Times New Roman"/>
                <w:bCs/>
                <w:color w:val="auto"/>
                <w:sz w:val="22"/>
                <w:lang w:eastAsia="en-US"/>
              </w:rPr>
              <w:t xml:space="preserve"> identify and respond to people experiencing or at risk of experiencing elder abuse? What changes should be made to improve processes for identifying and responding to elder abuse?</w:t>
            </w:r>
          </w:p>
        </w:tc>
      </w:tr>
    </w:tbl>
    <w:p w:rsidR="00C3029A" w:rsidRPr="00532994" w:rsidRDefault="00C3029A" w:rsidP="003444E8">
      <w:pPr>
        <w:pStyle w:val="Body"/>
        <w:spacing w:line="360" w:lineRule="auto"/>
        <w:jc w:val="both"/>
        <w:rPr>
          <w:rFonts w:cs="Times New Roman"/>
          <w:color w:val="auto"/>
          <w:sz w:val="22"/>
          <w:szCs w:val="22"/>
        </w:rPr>
      </w:pPr>
    </w:p>
    <w:p w:rsidR="006F0CDA" w:rsidRPr="00532994" w:rsidRDefault="006F0CDA" w:rsidP="003444E8">
      <w:pPr>
        <w:pStyle w:val="Body"/>
        <w:spacing w:line="360" w:lineRule="auto"/>
        <w:jc w:val="center"/>
        <w:rPr>
          <w:b/>
          <w:color w:val="auto"/>
        </w:rPr>
      </w:pPr>
      <w:r w:rsidRPr="00532994">
        <w:rPr>
          <w:b/>
          <w:color w:val="auto"/>
        </w:rPr>
        <w:t>A</w:t>
      </w:r>
      <w:r w:rsidRPr="00532994">
        <w:rPr>
          <w:b/>
          <w:color w:val="auto"/>
        </w:rPr>
        <w:tab/>
        <w:t xml:space="preserve">Existing Strategy </w:t>
      </w:r>
    </w:p>
    <w:p w:rsidR="006F0CDA" w:rsidRPr="00532994" w:rsidRDefault="006F0CDA" w:rsidP="003444E8">
      <w:pPr>
        <w:pStyle w:val="Body"/>
        <w:spacing w:line="360" w:lineRule="auto"/>
        <w:jc w:val="both"/>
        <w:rPr>
          <w:rFonts w:cs="Times New Roman"/>
          <w:color w:val="auto"/>
          <w:sz w:val="22"/>
          <w:szCs w:val="22"/>
        </w:rPr>
      </w:pPr>
    </w:p>
    <w:p w:rsidR="00C3029A" w:rsidRPr="00532994" w:rsidRDefault="00C3029A" w:rsidP="003444E8">
      <w:pPr>
        <w:pStyle w:val="Body"/>
        <w:spacing w:line="360" w:lineRule="auto"/>
        <w:jc w:val="both"/>
        <w:rPr>
          <w:rFonts w:cs="Times New Roman"/>
          <w:color w:val="auto"/>
          <w:sz w:val="22"/>
          <w:szCs w:val="22"/>
        </w:rPr>
      </w:pPr>
      <w:r w:rsidRPr="00532994">
        <w:rPr>
          <w:rFonts w:cs="Times New Roman"/>
          <w:color w:val="auto"/>
          <w:sz w:val="22"/>
          <w:szCs w:val="22"/>
        </w:rPr>
        <w:t>As noted in the Issue Paper,</w:t>
      </w:r>
      <w:r w:rsidRPr="00532994">
        <w:rPr>
          <w:rFonts w:cs="Times New Roman"/>
          <w:color w:val="auto"/>
          <w:sz w:val="22"/>
          <w:szCs w:val="22"/>
          <w:vertAlign w:val="superscript"/>
        </w:rPr>
        <w:footnoteReference w:id="1"/>
      </w:r>
      <w:r w:rsidRPr="00532994">
        <w:rPr>
          <w:rFonts w:cs="Times New Roman"/>
          <w:color w:val="auto"/>
          <w:sz w:val="22"/>
          <w:szCs w:val="22"/>
        </w:rPr>
        <w:t xml:space="preserve"> </w:t>
      </w:r>
      <w:proofErr w:type="spellStart"/>
      <w:r w:rsidRPr="00532994">
        <w:rPr>
          <w:rFonts w:cs="Times New Roman"/>
          <w:color w:val="auto"/>
          <w:sz w:val="22"/>
          <w:szCs w:val="22"/>
        </w:rPr>
        <w:t>Centrelink</w:t>
      </w:r>
      <w:proofErr w:type="spellEnd"/>
      <w:r w:rsidRPr="00532994">
        <w:rPr>
          <w:rFonts w:cs="Times New Roman"/>
          <w:color w:val="auto"/>
          <w:sz w:val="22"/>
          <w:szCs w:val="22"/>
        </w:rPr>
        <w:t xml:space="preserve"> has implemented a </w:t>
      </w:r>
      <w:r w:rsidRPr="00532994">
        <w:rPr>
          <w:rFonts w:cs="Times New Roman"/>
          <w:iCs/>
          <w:color w:val="auto"/>
          <w:sz w:val="22"/>
          <w:szCs w:val="22"/>
        </w:rPr>
        <w:t>Family and Domestic Violence Strategy (‘</w:t>
      </w:r>
      <w:proofErr w:type="spellStart"/>
      <w:r w:rsidRPr="00532994">
        <w:rPr>
          <w:rFonts w:cs="Times New Roman"/>
          <w:iCs/>
          <w:color w:val="auto"/>
          <w:sz w:val="22"/>
          <w:szCs w:val="22"/>
        </w:rPr>
        <w:t>Centrelink</w:t>
      </w:r>
      <w:proofErr w:type="spellEnd"/>
      <w:r w:rsidRPr="00532994">
        <w:rPr>
          <w:rFonts w:cs="Times New Roman"/>
          <w:iCs/>
          <w:color w:val="auto"/>
          <w:sz w:val="22"/>
          <w:szCs w:val="22"/>
        </w:rPr>
        <w:t xml:space="preserve"> Strategy’)</w:t>
      </w:r>
      <w:r w:rsidRPr="00532994">
        <w:rPr>
          <w:rFonts w:cs="Times New Roman"/>
          <w:color w:val="auto"/>
          <w:sz w:val="22"/>
          <w:szCs w:val="22"/>
        </w:rPr>
        <w:t xml:space="preserve">, which defines family and domestic violence to include financial abuse, neglect and abuse in non-family relationships such as those involving </w:t>
      </w:r>
      <w:proofErr w:type="spellStart"/>
      <w:r w:rsidRPr="00532994">
        <w:rPr>
          <w:rFonts w:cs="Times New Roman"/>
          <w:color w:val="auto"/>
          <w:sz w:val="22"/>
          <w:szCs w:val="22"/>
        </w:rPr>
        <w:t>carers</w:t>
      </w:r>
      <w:proofErr w:type="spellEnd"/>
      <w:r w:rsidRPr="00532994">
        <w:rPr>
          <w:rFonts w:cs="Times New Roman"/>
          <w:color w:val="auto"/>
          <w:sz w:val="22"/>
          <w:szCs w:val="22"/>
        </w:rPr>
        <w:t>.</w:t>
      </w:r>
      <w:r w:rsidRPr="00532994">
        <w:rPr>
          <w:rFonts w:cs="Times New Roman"/>
          <w:color w:val="auto"/>
          <w:sz w:val="22"/>
          <w:szCs w:val="22"/>
          <w:vertAlign w:val="superscript"/>
        </w:rPr>
        <w:footnoteReference w:id="2"/>
      </w:r>
      <w:r w:rsidRPr="00532994">
        <w:rPr>
          <w:rFonts w:cs="Times New Roman"/>
          <w:color w:val="auto"/>
          <w:sz w:val="22"/>
          <w:szCs w:val="22"/>
        </w:rPr>
        <w:t xml:space="preserve"> This allows </w:t>
      </w:r>
      <w:proofErr w:type="spellStart"/>
      <w:r w:rsidRPr="00532994">
        <w:rPr>
          <w:rFonts w:cs="Times New Roman"/>
          <w:color w:val="auto"/>
          <w:sz w:val="22"/>
          <w:szCs w:val="22"/>
        </w:rPr>
        <w:t>Centrelink</w:t>
      </w:r>
      <w:proofErr w:type="spellEnd"/>
      <w:r w:rsidRPr="00532994">
        <w:rPr>
          <w:rFonts w:cs="Times New Roman"/>
          <w:color w:val="auto"/>
          <w:sz w:val="22"/>
          <w:szCs w:val="22"/>
        </w:rPr>
        <w:t xml:space="preserve"> to respond to elder abuse through the family and domestic violence framework.</w:t>
      </w:r>
      <w:r w:rsidRPr="00532994">
        <w:rPr>
          <w:rStyle w:val="None"/>
          <w:rFonts w:cs="Times New Roman"/>
          <w:color w:val="auto"/>
          <w:sz w:val="22"/>
          <w:szCs w:val="22"/>
          <w:vertAlign w:val="superscript"/>
        </w:rPr>
        <w:footnoteReference w:id="3"/>
      </w:r>
    </w:p>
    <w:p w:rsidR="00C3029A" w:rsidRPr="00532994" w:rsidRDefault="00C3029A" w:rsidP="003444E8">
      <w:pPr>
        <w:pStyle w:val="Body"/>
        <w:spacing w:line="360" w:lineRule="auto"/>
        <w:jc w:val="both"/>
        <w:rPr>
          <w:rFonts w:cs="Times New Roman"/>
          <w:color w:val="auto"/>
          <w:sz w:val="22"/>
          <w:szCs w:val="22"/>
        </w:rPr>
      </w:pPr>
    </w:p>
    <w:p w:rsidR="00C3029A" w:rsidRPr="00532994" w:rsidRDefault="00C3029A" w:rsidP="003444E8">
      <w:pPr>
        <w:pStyle w:val="Body"/>
        <w:spacing w:line="360" w:lineRule="auto"/>
        <w:jc w:val="both"/>
        <w:rPr>
          <w:rFonts w:cs="Times New Roman"/>
          <w:color w:val="auto"/>
          <w:sz w:val="22"/>
          <w:szCs w:val="22"/>
        </w:rPr>
      </w:pPr>
      <w:r w:rsidRPr="00532994">
        <w:rPr>
          <w:rFonts w:cs="Times New Roman"/>
          <w:color w:val="auto"/>
          <w:sz w:val="22"/>
          <w:szCs w:val="22"/>
        </w:rPr>
        <w:t xml:space="preserve">The </w:t>
      </w:r>
      <w:proofErr w:type="spellStart"/>
      <w:r w:rsidRPr="00532994">
        <w:rPr>
          <w:rFonts w:cs="Times New Roman"/>
          <w:iCs/>
          <w:color w:val="auto"/>
          <w:sz w:val="22"/>
          <w:szCs w:val="22"/>
        </w:rPr>
        <w:t>Centrelink</w:t>
      </w:r>
      <w:proofErr w:type="spellEnd"/>
      <w:r w:rsidRPr="00532994">
        <w:rPr>
          <w:rFonts w:cs="Times New Roman"/>
          <w:iCs/>
          <w:color w:val="auto"/>
          <w:sz w:val="22"/>
          <w:szCs w:val="22"/>
        </w:rPr>
        <w:t xml:space="preserve"> Strategy </w:t>
      </w:r>
      <w:r w:rsidRPr="00532994">
        <w:rPr>
          <w:rFonts w:cs="Times New Roman"/>
          <w:color w:val="auto"/>
          <w:sz w:val="22"/>
          <w:szCs w:val="22"/>
        </w:rPr>
        <w:t>involves ‘strategic themes’ consisting of:</w:t>
      </w:r>
    </w:p>
    <w:p w:rsidR="00C3029A" w:rsidRPr="00532994" w:rsidRDefault="00C3029A" w:rsidP="003444E8">
      <w:pPr>
        <w:pStyle w:val="BodyA"/>
        <w:numPr>
          <w:ilvl w:val="0"/>
          <w:numId w:val="15"/>
        </w:numPr>
        <w:spacing w:line="360" w:lineRule="auto"/>
        <w:ind w:left="567" w:hanging="567"/>
        <w:jc w:val="both"/>
        <w:rPr>
          <w:rFonts w:ascii="Times New Roman" w:eastAsia="Times New Roman" w:hAnsi="Times New Roman" w:cs="Times New Roman"/>
          <w:color w:val="auto"/>
        </w:rPr>
      </w:pPr>
      <w:r w:rsidRPr="00532994">
        <w:rPr>
          <w:rFonts w:ascii="Times New Roman" w:hAnsi="Times New Roman" w:cs="Times New Roman"/>
          <w:color w:val="auto"/>
        </w:rPr>
        <w:t>ensuring accessibility of information about family and domestic violence;</w:t>
      </w:r>
    </w:p>
    <w:p w:rsidR="00C3029A" w:rsidRPr="00532994" w:rsidRDefault="00C3029A" w:rsidP="003444E8">
      <w:pPr>
        <w:pStyle w:val="BodyA"/>
        <w:numPr>
          <w:ilvl w:val="0"/>
          <w:numId w:val="15"/>
        </w:numPr>
        <w:spacing w:line="360" w:lineRule="auto"/>
        <w:ind w:left="567" w:hanging="567"/>
        <w:jc w:val="both"/>
        <w:rPr>
          <w:rFonts w:ascii="Times New Roman" w:eastAsia="Times New Roman" w:hAnsi="Times New Roman" w:cs="Times New Roman"/>
          <w:color w:val="auto"/>
        </w:rPr>
      </w:pPr>
      <w:r w:rsidRPr="00532994">
        <w:rPr>
          <w:rFonts w:ascii="Times New Roman" w:hAnsi="Times New Roman" w:cs="Times New Roman"/>
          <w:color w:val="auto"/>
        </w:rPr>
        <w:t>identifying those at risk by asking about their safety at identified interaction points;</w:t>
      </w:r>
    </w:p>
    <w:p w:rsidR="00C3029A" w:rsidRPr="00532994" w:rsidRDefault="00C3029A" w:rsidP="003444E8">
      <w:pPr>
        <w:pStyle w:val="BodyA"/>
        <w:numPr>
          <w:ilvl w:val="0"/>
          <w:numId w:val="15"/>
        </w:numPr>
        <w:spacing w:line="360" w:lineRule="auto"/>
        <w:ind w:left="567" w:hanging="567"/>
        <w:jc w:val="both"/>
        <w:rPr>
          <w:rFonts w:ascii="Times New Roman" w:eastAsia="Times New Roman" w:hAnsi="Times New Roman" w:cs="Times New Roman"/>
          <w:color w:val="auto"/>
        </w:rPr>
      </w:pPr>
      <w:r w:rsidRPr="00532994">
        <w:rPr>
          <w:rFonts w:ascii="Times New Roman" w:hAnsi="Times New Roman" w:cs="Times New Roman"/>
          <w:color w:val="auto"/>
        </w:rPr>
        <w:t>providing referrals and support; and</w:t>
      </w:r>
    </w:p>
    <w:p w:rsidR="00C3029A" w:rsidRPr="00532994" w:rsidRDefault="00C3029A" w:rsidP="003444E8">
      <w:pPr>
        <w:pStyle w:val="BodyA"/>
        <w:numPr>
          <w:ilvl w:val="0"/>
          <w:numId w:val="15"/>
        </w:numPr>
        <w:spacing w:line="360" w:lineRule="auto"/>
        <w:ind w:left="567" w:hanging="567"/>
        <w:jc w:val="both"/>
        <w:rPr>
          <w:rFonts w:ascii="Times New Roman" w:eastAsia="Times New Roman" w:hAnsi="Times New Roman" w:cs="Times New Roman"/>
          <w:color w:val="auto"/>
        </w:rPr>
      </w:pPr>
      <w:proofErr w:type="gramStart"/>
      <w:r w:rsidRPr="00532994">
        <w:rPr>
          <w:rFonts w:ascii="Times New Roman" w:hAnsi="Times New Roman" w:cs="Times New Roman"/>
          <w:color w:val="auto"/>
        </w:rPr>
        <w:t>training</w:t>
      </w:r>
      <w:proofErr w:type="gramEnd"/>
      <w:r w:rsidRPr="00532994">
        <w:rPr>
          <w:rFonts w:ascii="Times New Roman" w:hAnsi="Times New Roman" w:cs="Times New Roman"/>
          <w:color w:val="auto"/>
        </w:rPr>
        <w:t xml:space="preserve"> staff.</w:t>
      </w:r>
      <w:r w:rsidRPr="00532994">
        <w:rPr>
          <w:rStyle w:val="None"/>
          <w:rFonts w:ascii="Times New Roman" w:eastAsia="Times New Roman" w:hAnsi="Times New Roman" w:cs="Times New Roman"/>
          <w:color w:val="auto"/>
          <w:vertAlign w:val="superscript"/>
        </w:rPr>
        <w:footnoteReference w:id="4"/>
      </w:r>
    </w:p>
    <w:p w:rsidR="00C3029A" w:rsidRPr="00532994" w:rsidRDefault="00C3029A" w:rsidP="003444E8">
      <w:pPr>
        <w:pStyle w:val="BodyA"/>
        <w:spacing w:line="360" w:lineRule="auto"/>
        <w:jc w:val="both"/>
        <w:rPr>
          <w:rFonts w:ascii="Times New Roman" w:eastAsia="Times New Roman" w:hAnsi="Times New Roman" w:cs="Times New Roman"/>
          <w:color w:val="auto"/>
        </w:rPr>
      </w:pPr>
    </w:p>
    <w:p w:rsidR="00C3029A" w:rsidRPr="00532994" w:rsidRDefault="00C3029A" w:rsidP="003444E8">
      <w:pPr>
        <w:pStyle w:val="BodyA"/>
        <w:spacing w:line="360" w:lineRule="auto"/>
        <w:jc w:val="both"/>
        <w:rPr>
          <w:rFonts w:ascii="Times New Roman" w:hAnsi="Times New Roman" w:cs="Times New Roman"/>
          <w:color w:val="auto"/>
        </w:rPr>
      </w:pPr>
      <w:r w:rsidRPr="00532994">
        <w:rPr>
          <w:rFonts w:ascii="Times New Roman" w:hAnsi="Times New Roman" w:cs="Times New Roman"/>
          <w:color w:val="auto"/>
        </w:rPr>
        <w:t xml:space="preserve">It aims to provide information about elder abuse to clients and staff so as to facilitate and encourage people to make their own properly informed decisions about whether to disclose abuse to </w:t>
      </w:r>
      <w:proofErr w:type="spellStart"/>
      <w:r w:rsidRPr="00532994">
        <w:rPr>
          <w:rFonts w:ascii="Times New Roman" w:hAnsi="Times New Roman" w:cs="Times New Roman"/>
          <w:color w:val="auto"/>
        </w:rPr>
        <w:t>Centrelink</w:t>
      </w:r>
      <w:proofErr w:type="spellEnd"/>
      <w:r w:rsidRPr="00532994">
        <w:rPr>
          <w:rFonts w:ascii="Times New Roman" w:hAnsi="Times New Roman" w:cs="Times New Roman"/>
          <w:color w:val="auto"/>
        </w:rPr>
        <w:t>. It responds by offering appropriate support such as providing Crisis Payments or referrals to social workers or external service providers.</w:t>
      </w:r>
      <w:r w:rsidRPr="00532994">
        <w:rPr>
          <w:rStyle w:val="None"/>
          <w:rFonts w:ascii="Times New Roman" w:eastAsia="Times New Roman" w:hAnsi="Times New Roman" w:cs="Times New Roman"/>
          <w:color w:val="auto"/>
          <w:vertAlign w:val="superscript"/>
        </w:rPr>
        <w:footnoteReference w:id="5"/>
      </w:r>
      <w:r w:rsidRPr="00532994">
        <w:rPr>
          <w:rFonts w:ascii="Times New Roman" w:hAnsi="Times New Roman" w:cs="Times New Roman"/>
          <w:color w:val="auto"/>
        </w:rPr>
        <w:t xml:space="preserve"> </w:t>
      </w:r>
    </w:p>
    <w:p w:rsidR="00523BD2" w:rsidRPr="00532994" w:rsidRDefault="00523BD2" w:rsidP="003444E8">
      <w:pPr>
        <w:pStyle w:val="BodyA"/>
        <w:spacing w:line="360" w:lineRule="auto"/>
        <w:jc w:val="both"/>
        <w:rPr>
          <w:rFonts w:ascii="Times New Roman" w:hAnsi="Times New Roman" w:cs="Times New Roman"/>
          <w:color w:val="auto"/>
        </w:rPr>
      </w:pPr>
    </w:p>
    <w:p w:rsidR="00523BD2" w:rsidRPr="00532994" w:rsidRDefault="00523BD2" w:rsidP="003444E8">
      <w:pPr>
        <w:pStyle w:val="BodyA"/>
        <w:spacing w:line="360" w:lineRule="auto"/>
        <w:jc w:val="center"/>
        <w:rPr>
          <w:rFonts w:ascii="Times New Roman" w:eastAsia="Times New Roman" w:hAnsi="Times New Roman" w:cs="Times New Roman"/>
          <w:b/>
          <w:color w:val="auto"/>
          <w:sz w:val="24"/>
        </w:rPr>
      </w:pPr>
      <w:r w:rsidRPr="00532994">
        <w:rPr>
          <w:rFonts w:ascii="Times New Roman" w:hAnsi="Times New Roman" w:cs="Times New Roman"/>
          <w:b/>
          <w:color w:val="auto"/>
          <w:sz w:val="24"/>
        </w:rPr>
        <w:t>B</w:t>
      </w:r>
      <w:r w:rsidRPr="00532994">
        <w:rPr>
          <w:rFonts w:ascii="Times New Roman" w:hAnsi="Times New Roman" w:cs="Times New Roman"/>
          <w:b/>
          <w:color w:val="auto"/>
          <w:sz w:val="24"/>
        </w:rPr>
        <w:tab/>
        <w:t>Limitations of Strategy</w:t>
      </w:r>
    </w:p>
    <w:p w:rsidR="00C3029A" w:rsidRPr="00532994" w:rsidRDefault="00C3029A" w:rsidP="003444E8">
      <w:pPr>
        <w:pStyle w:val="BodyA"/>
        <w:spacing w:line="360" w:lineRule="auto"/>
        <w:jc w:val="both"/>
        <w:rPr>
          <w:rStyle w:val="None"/>
          <w:rFonts w:ascii="Times New Roman" w:hAnsi="Times New Roman" w:cs="Times New Roman"/>
          <w:color w:val="auto"/>
        </w:rPr>
      </w:pPr>
    </w:p>
    <w:p w:rsidR="00C3029A" w:rsidRPr="00532994" w:rsidRDefault="00C3029A" w:rsidP="003444E8">
      <w:pPr>
        <w:pStyle w:val="BodyA"/>
        <w:spacing w:line="360" w:lineRule="auto"/>
        <w:jc w:val="both"/>
        <w:rPr>
          <w:rStyle w:val="None"/>
          <w:rFonts w:ascii="Times New Roman" w:hAnsi="Times New Roman" w:cs="Times New Roman"/>
          <w:color w:val="auto"/>
        </w:rPr>
      </w:pPr>
      <w:r w:rsidRPr="00532994">
        <w:rPr>
          <w:rFonts w:ascii="Times New Roman" w:hAnsi="Times New Roman" w:cs="Times New Roman"/>
          <w:color w:val="auto"/>
        </w:rPr>
        <w:t xml:space="preserve">On one hand, the </w:t>
      </w:r>
      <w:proofErr w:type="spellStart"/>
      <w:r w:rsidRPr="00532994">
        <w:rPr>
          <w:rFonts w:ascii="Times New Roman" w:hAnsi="Times New Roman" w:cs="Times New Roman"/>
          <w:color w:val="auto"/>
        </w:rPr>
        <w:t>Centrelink</w:t>
      </w:r>
      <w:proofErr w:type="spellEnd"/>
      <w:r w:rsidRPr="00532994">
        <w:rPr>
          <w:rFonts w:ascii="Times New Roman" w:hAnsi="Times New Roman" w:cs="Times New Roman"/>
          <w:color w:val="auto"/>
        </w:rPr>
        <w:t xml:space="preserve"> Strategy is appropriate because it retains respect for a person’s autonomy and their right to self-determination by requiring self-disclosure of abuse. However, this is also a </w:t>
      </w:r>
      <w:r w:rsidRPr="00532994">
        <w:rPr>
          <w:rFonts w:ascii="Times New Roman" w:hAnsi="Times New Roman" w:cs="Times New Roman"/>
          <w:color w:val="auto"/>
        </w:rPr>
        <w:lastRenderedPageBreak/>
        <w:t xml:space="preserve">limitation of the Strategy, precisely because it relies on elderly people being willing to voluntarily disclose abuse committed against them. As such, </w:t>
      </w:r>
      <w:r w:rsidRPr="00532994">
        <w:rPr>
          <w:rStyle w:val="None"/>
          <w:rFonts w:ascii="Times New Roman" w:hAnsi="Times New Roman" w:cs="Times New Roman"/>
          <w:bCs/>
          <w:iCs/>
          <w:color w:val="auto"/>
        </w:rPr>
        <w:t>a targeted strategy is needed to address barriers to disclosure of abuse faced by the elderly.</w:t>
      </w:r>
    </w:p>
    <w:p w:rsidR="00C3029A" w:rsidRPr="00532994" w:rsidRDefault="00C3029A" w:rsidP="003444E8">
      <w:pPr>
        <w:pStyle w:val="BodyA"/>
        <w:spacing w:line="360" w:lineRule="auto"/>
        <w:jc w:val="both"/>
        <w:rPr>
          <w:rFonts w:ascii="Times New Roman" w:eastAsia="Times New Roman" w:hAnsi="Times New Roman" w:cs="Times New Roman"/>
          <w:color w:val="auto"/>
        </w:rPr>
      </w:pPr>
    </w:p>
    <w:p w:rsidR="00C3029A" w:rsidRPr="00532994" w:rsidRDefault="00C3029A" w:rsidP="003444E8">
      <w:pPr>
        <w:pStyle w:val="BodyA"/>
        <w:spacing w:line="360" w:lineRule="auto"/>
        <w:jc w:val="both"/>
        <w:rPr>
          <w:rFonts w:ascii="Times New Roman" w:hAnsi="Times New Roman" w:cs="Times New Roman"/>
          <w:color w:val="auto"/>
        </w:rPr>
      </w:pPr>
      <w:r w:rsidRPr="00532994">
        <w:rPr>
          <w:rFonts w:ascii="Times New Roman" w:hAnsi="Times New Roman" w:cs="Times New Roman"/>
          <w:color w:val="auto"/>
        </w:rPr>
        <w:t>As noted by Justice Connect, these barriers can include:</w:t>
      </w:r>
    </w:p>
    <w:p w:rsidR="00C3029A" w:rsidRPr="00532994" w:rsidRDefault="00C3029A" w:rsidP="003444E8">
      <w:pPr>
        <w:pStyle w:val="BodyA"/>
        <w:spacing w:line="360" w:lineRule="auto"/>
        <w:jc w:val="both"/>
        <w:rPr>
          <w:rFonts w:ascii="Times New Roman" w:eastAsia="Times New Roman" w:hAnsi="Times New Roman" w:cs="Times New Roman"/>
          <w:color w:val="auto"/>
        </w:rPr>
      </w:pPr>
    </w:p>
    <w:p w:rsidR="00C3029A" w:rsidRPr="00532994" w:rsidRDefault="00C3029A" w:rsidP="003444E8">
      <w:pPr>
        <w:pStyle w:val="BodyA"/>
        <w:numPr>
          <w:ilvl w:val="0"/>
          <w:numId w:val="16"/>
        </w:numPr>
        <w:spacing w:line="360" w:lineRule="auto"/>
        <w:ind w:left="1134" w:hanging="567"/>
        <w:jc w:val="both"/>
        <w:rPr>
          <w:rFonts w:ascii="Times New Roman" w:eastAsia="Times New Roman" w:hAnsi="Times New Roman" w:cs="Times New Roman"/>
          <w:color w:val="auto"/>
          <w:sz w:val="20"/>
          <w:szCs w:val="20"/>
        </w:rPr>
      </w:pPr>
      <w:r w:rsidRPr="00532994">
        <w:rPr>
          <w:rFonts w:ascii="Times New Roman" w:hAnsi="Times New Roman" w:cs="Times New Roman"/>
          <w:color w:val="auto"/>
          <w:sz w:val="20"/>
          <w:szCs w:val="20"/>
        </w:rPr>
        <w:t>isolation and reliance on the perpetrator for care and companionship</w:t>
      </w:r>
    </w:p>
    <w:p w:rsidR="00C3029A" w:rsidRPr="00532994" w:rsidRDefault="00C3029A" w:rsidP="003444E8">
      <w:pPr>
        <w:pStyle w:val="BodyA"/>
        <w:numPr>
          <w:ilvl w:val="0"/>
          <w:numId w:val="16"/>
        </w:numPr>
        <w:spacing w:line="360" w:lineRule="auto"/>
        <w:ind w:left="1134" w:hanging="567"/>
        <w:jc w:val="both"/>
        <w:rPr>
          <w:rFonts w:ascii="Times New Roman" w:eastAsia="Times New Roman" w:hAnsi="Times New Roman" w:cs="Times New Roman"/>
          <w:color w:val="auto"/>
          <w:sz w:val="20"/>
          <w:szCs w:val="20"/>
        </w:rPr>
      </w:pPr>
      <w:r w:rsidRPr="00532994">
        <w:rPr>
          <w:rFonts w:ascii="Times New Roman" w:hAnsi="Times New Roman" w:cs="Times New Roman"/>
          <w:color w:val="auto"/>
          <w:sz w:val="20"/>
          <w:szCs w:val="20"/>
        </w:rPr>
        <w:t>fear of institutionalism</w:t>
      </w:r>
    </w:p>
    <w:p w:rsidR="00C3029A" w:rsidRPr="00532994" w:rsidRDefault="00C3029A" w:rsidP="003444E8">
      <w:pPr>
        <w:pStyle w:val="BodyA"/>
        <w:numPr>
          <w:ilvl w:val="0"/>
          <w:numId w:val="16"/>
        </w:numPr>
        <w:spacing w:line="360" w:lineRule="auto"/>
        <w:ind w:left="1134" w:hanging="567"/>
        <w:jc w:val="both"/>
        <w:rPr>
          <w:rFonts w:ascii="Times New Roman" w:eastAsia="Times New Roman" w:hAnsi="Times New Roman" w:cs="Times New Roman"/>
          <w:color w:val="auto"/>
          <w:sz w:val="20"/>
          <w:szCs w:val="20"/>
        </w:rPr>
      </w:pPr>
      <w:r w:rsidRPr="00532994">
        <w:rPr>
          <w:rFonts w:ascii="Times New Roman" w:hAnsi="Times New Roman" w:cs="Times New Roman"/>
          <w:color w:val="auto"/>
          <w:sz w:val="20"/>
          <w:szCs w:val="20"/>
        </w:rPr>
        <w:t xml:space="preserve">fear of family members being </w:t>
      </w:r>
      <w:proofErr w:type="spellStart"/>
      <w:r w:rsidRPr="00532994">
        <w:rPr>
          <w:rFonts w:ascii="Times New Roman" w:hAnsi="Times New Roman" w:cs="Times New Roman"/>
          <w:color w:val="auto"/>
          <w:sz w:val="20"/>
          <w:szCs w:val="20"/>
        </w:rPr>
        <w:t>penalised</w:t>
      </w:r>
      <w:proofErr w:type="spellEnd"/>
      <w:r w:rsidRPr="00532994">
        <w:rPr>
          <w:rFonts w:ascii="Times New Roman" w:hAnsi="Times New Roman" w:cs="Times New Roman"/>
          <w:color w:val="auto"/>
          <w:sz w:val="20"/>
          <w:szCs w:val="20"/>
        </w:rPr>
        <w:t xml:space="preserve"> or prosecuted</w:t>
      </w:r>
    </w:p>
    <w:p w:rsidR="00C3029A" w:rsidRPr="00532994" w:rsidRDefault="00C3029A" w:rsidP="003444E8">
      <w:pPr>
        <w:pStyle w:val="BodyA"/>
        <w:numPr>
          <w:ilvl w:val="0"/>
          <w:numId w:val="16"/>
        </w:numPr>
        <w:spacing w:line="360" w:lineRule="auto"/>
        <w:ind w:left="1134" w:hanging="567"/>
        <w:jc w:val="both"/>
        <w:rPr>
          <w:rFonts w:ascii="Times New Roman" w:eastAsia="Times New Roman" w:hAnsi="Times New Roman" w:cs="Times New Roman"/>
          <w:color w:val="auto"/>
          <w:sz w:val="20"/>
          <w:szCs w:val="20"/>
        </w:rPr>
      </w:pPr>
      <w:r w:rsidRPr="00532994">
        <w:rPr>
          <w:rFonts w:ascii="Times New Roman" w:hAnsi="Times New Roman" w:cs="Times New Roman"/>
          <w:color w:val="auto"/>
          <w:sz w:val="20"/>
          <w:szCs w:val="20"/>
        </w:rPr>
        <w:t>desire to preserve family relationships</w:t>
      </w:r>
    </w:p>
    <w:p w:rsidR="00C3029A" w:rsidRPr="00532994" w:rsidRDefault="00C3029A" w:rsidP="003444E8">
      <w:pPr>
        <w:pStyle w:val="BodyA"/>
        <w:numPr>
          <w:ilvl w:val="0"/>
          <w:numId w:val="16"/>
        </w:numPr>
        <w:spacing w:line="360" w:lineRule="auto"/>
        <w:ind w:left="1134" w:hanging="567"/>
        <w:jc w:val="both"/>
        <w:rPr>
          <w:rFonts w:ascii="Times New Roman" w:eastAsia="Times New Roman" w:hAnsi="Times New Roman" w:cs="Times New Roman"/>
          <w:color w:val="auto"/>
          <w:sz w:val="20"/>
          <w:szCs w:val="20"/>
        </w:rPr>
      </w:pPr>
      <w:r w:rsidRPr="00532994">
        <w:rPr>
          <w:rFonts w:ascii="Times New Roman" w:hAnsi="Times New Roman" w:cs="Times New Roman"/>
          <w:color w:val="auto"/>
          <w:sz w:val="20"/>
          <w:szCs w:val="20"/>
        </w:rPr>
        <w:t>shame</w:t>
      </w:r>
    </w:p>
    <w:p w:rsidR="00C3029A" w:rsidRPr="00532994" w:rsidRDefault="00C3029A" w:rsidP="003444E8">
      <w:pPr>
        <w:pStyle w:val="BodyA"/>
        <w:numPr>
          <w:ilvl w:val="0"/>
          <w:numId w:val="16"/>
        </w:numPr>
        <w:spacing w:line="360" w:lineRule="auto"/>
        <w:ind w:left="1134" w:hanging="567"/>
        <w:jc w:val="both"/>
        <w:rPr>
          <w:rFonts w:ascii="Times New Roman" w:eastAsia="Times New Roman" w:hAnsi="Times New Roman" w:cs="Times New Roman"/>
          <w:color w:val="auto"/>
          <w:sz w:val="20"/>
          <w:szCs w:val="20"/>
        </w:rPr>
      </w:pPr>
      <w:r w:rsidRPr="00532994">
        <w:rPr>
          <w:rFonts w:ascii="Times New Roman" w:hAnsi="Times New Roman" w:cs="Times New Roman"/>
          <w:color w:val="auto"/>
          <w:sz w:val="20"/>
          <w:szCs w:val="20"/>
        </w:rPr>
        <w:t>blaming themselves or feeling responsible for perpetrator’s actions</w:t>
      </w:r>
    </w:p>
    <w:p w:rsidR="00C3029A" w:rsidRPr="00532994" w:rsidRDefault="00C3029A" w:rsidP="003444E8">
      <w:pPr>
        <w:pStyle w:val="BodyA"/>
        <w:numPr>
          <w:ilvl w:val="0"/>
          <w:numId w:val="16"/>
        </w:numPr>
        <w:spacing w:line="360" w:lineRule="auto"/>
        <w:ind w:left="1134" w:hanging="567"/>
        <w:jc w:val="both"/>
        <w:rPr>
          <w:rFonts w:ascii="Times New Roman" w:eastAsia="Times New Roman" w:hAnsi="Times New Roman" w:cs="Times New Roman"/>
          <w:color w:val="auto"/>
          <w:sz w:val="20"/>
          <w:szCs w:val="20"/>
        </w:rPr>
      </w:pPr>
      <w:r w:rsidRPr="00532994">
        <w:rPr>
          <w:rFonts w:ascii="Times New Roman" w:hAnsi="Times New Roman" w:cs="Times New Roman"/>
          <w:color w:val="auto"/>
          <w:sz w:val="20"/>
          <w:szCs w:val="20"/>
        </w:rPr>
        <w:t>fear of loss of independence</w:t>
      </w:r>
    </w:p>
    <w:p w:rsidR="00C3029A" w:rsidRPr="00FB3CA6" w:rsidRDefault="00C3029A" w:rsidP="003444E8">
      <w:pPr>
        <w:pStyle w:val="BodyA"/>
        <w:numPr>
          <w:ilvl w:val="0"/>
          <w:numId w:val="16"/>
        </w:numPr>
        <w:spacing w:line="360" w:lineRule="auto"/>
        <w:ind w:left="1134" w:hanging="567"/>
        <w:jc w:val="both"/>
        <w:rPr>
          <w:rFonts w:ascii="Times New Roman" w:eastAsia="Times New Roman" w:hAnsi="Times New Roman" w:cs="Times New Roman"/>
          <w:color w:val="auto"/>
          <w:sz w:val="20"/>
          <w:szCs w:val="20"/>
        </w:rPr>
      </w:pPr>
      <w:r w:rsidRPr="00532994">
        <w:rPr>
          <w:rFonts w:ascii="Times New Roman" w:hAnsi="Times New Roman" w:cs="Times New Roman"/>
          <w:color w:val="auto"/>
          <w:sz w:val="20"/>
          <w:szCs w:val="20"/>
        </w:rPr>
        <w:t>poor health impacts on energy and motivation to manage emotional conflict and physical change …</w:t>
      </w:r>
      <w:r w:rsidRPr="00532994">
        <w:rPr>
          <w:rStyle w:val="None"/>
          <w:rFonts w:ascii="Times New Roman" w:eastAsia="Times New Roman" w:hAnsi="Times New Roman" w:cs="Times New Roman"/>
          <w:color w:val="auto"/>
          <w:sz w:val="20"/>
          <w:szCs w:val="20"/>
          <w:vertAlign w:val="superscript"/>
        </w:rPr>
        <w:footnoteReference w:id="6"/>
      </w:r>
    </w:p>
    <w:p w:rsidR="00C3029A" w:rsidRPr="00532994" w:rsidRDefault="00C3029A" w:rsidP="003444E8">
      <w:pPr>
        <w:pStyle w:val="BodyA"/>
        <w:spacing w:line="360" w:lineRule="auto"/>
        <w:jc w:val="both"/>
        <w:rPr>
          <w:rFonts w:ascii="Times New Roman" w:eastAsia="Times New Roman" w:hAnsi="Times New Roman" w:cs="Times New Roman"/>
          <w:color w:val="auto"/>
        </w:rPr>
      </w:pPr>
    </w:p>
    <w:p w:rsidR="00FB3CA6" w:rsidRDefault="00C3029A" w:rsidP="00FB3CA6">
      <w:pPr>
        <w:pStyle w:val="BodyA"/>
        <w:spacing w:line="360" w:lineRule="auto"/>
        <w:jc w:val="both"/>
        <w:rPr>
          <w:rFonts w:ascii="Times New Roman" w:hAnsi="Times New Roman" w:cs="Times New Roman"/>
          <w:color w:val="auto"/>
        </w:rPr>
      </w:pPr>
      <w:r w:rsidRPr="00532994">
        <w:rPr>
          <w:rFonts w:ascii="Times New Roman" w:hAnsi="Times New Roman" w:cs="Times New Roman"/>
          <w:color w:val="auto"/>
        </w:rPr>
        <w:t xml:space="preserve">Although the barriers to disclosing elder abuse could be addressed by making more explicit provisions for elder abuse in the existing </w:t>
      </w:r>
      <w:proofErr w:type="spellStart"/>
      <w:r w:rsidRPr="00532994">
        <w:rPr>
          <w:rFonts w:ascii="Times New Roman" w:hAnsi="Times New Roman" w:cs="Times New Roman"/>
          <w:color w:val="auto"/>
        </w:rPr>
        <w:t>Centrelink</w:t>
      </w:r>
      <w:proofErr w:type="spellEnd"/>
      <w:r w:rsidRPr="00532994">
        <w:rPr>
          <w:rFonts w:ascii="Times New Roman" w:hAnsi="Times New Roman" w:cs="Times New Roman"/>
          <w:color w:val="auto"/>
        </w:rPr>
        <w:t xml:space="preserve"> Strategy, it would be preferable to implement a strategy focused on elder abuse as distinct from family and domestic violence for a number of reasons. First, the family and domestic violence framework is focused on ‘women as victims’.</w:t>
      </w:r>
      <w:r w:rsidRPr="00532994">
        <w:rPr>
          <w:rStyle w:val="None"/>
          <w:rFonts w:ascii="Times New Roman" w:eastAsia="Times New Roman" w:hAnsi="Times New Roman" w:cs="Times New Roman"/>
          <w:color w:val="auto"/>
          <w:vertAlign w:val="superscript"/>
        </w:rPr>
        <w:footnoteReference w:id="7"/>
      </w:r>
      <w:r w:rsidRPr="00532994">
        <w:rPr>
          <w:rFonts w:ascii="Times New Roman" w:hAnsi="Times New Roman" w:cs="Times New Roman"/>
          <w:color w:val="auto"/>
        </w:rPr>
        <w:t xml:space="preserve"> While gender remains an important aspect of elder abuse,</w:t>
      </w:r>
      <w:r w:rsidRPr="00532994">
        <w:rPr>
          <w:rStyle w:val="None"/>
          <w:rFonts w:ascii="Times New Roman" w:eastAsia="Times New Roman" w:hAnsi="Times New Roman" w:cs="Times New Roman"/>
          <w:color w:val="auto"/>
          <w:vertAlign w:val="superscript"/>
        </w:rPr>
        <w:footnoteReference w:id="8"/>
      </w:r>
      <w:r w:rsidRPr="00532994">
        <w:rPr>
          <w:rFonts w:ascii="Times New Roman" w:hAnsi="Times New Roman" w:cs="Times New Roman"/>
          <w:color w:val="auto"/>
        </w:rPr>
        <w:t xml:space="preserve"> it does not adequately account for other factors. Second, ageism is a dominant contributing factor of elder abuse</w:t>
      </w:r>
      <w:r w:rsidRPr="00532994">
        <w:rPr>
          <w:rStyle w:val="None"/>
          <w:rFonts w:ascii="Times New Roman" w:eastAsia="Times New Roman" w:hAnsi="Times New Roman" w:cs="Times New Roman"/>
          <w:color w:val="auto"/>
          <w:vertAlign w:val="superscript"/>
        </w:rPr>
        <w:footnoteReference w:id="9"/>
      </w:r>
      <w:r w:rsidRPr="00532994">
        <w:rPr>
          <w:rFonts w:ascii="Times New Roman" w:hAnsi="Times New Roman" w:cs="Times New Roman"/>
          <w:color w:val="auto"/>
        </w:rPr>
        <w:t xml:space="preserve"> which may not be as relevant to other forms of family and domestic violence. Third, a strategy targeting elder abuse would also promote greater awareness of the issue with clients, staff and the community.</w:t>
      </w:r>
      <w:r w:rsidR="00FB3CA6" w:rsidRPr="00FB3CA6">
        <w:rPr>
          <w:rFonts w:ascii="Times New Roman" w:hAnsi="Times New Roman" w:cs="Times New Roman"/>
          <w:color w:val="auto"/>
        </w:rPr>
        <w:t xml:space="preserve"> </w:t>
      </w:r>
      <w:r w:rsidR="00FB3CA6" w:rsidRPr="00532994">
        <w:rPr>
          <w:rFonts w:ascii="Times New Roman" w:hAnsi="Times New Roman" w:cs="Times New Roman"/>
          <w:color w:val="auto"/>
        </w:rPr>
        <w:t>It is essential that the mode of communication and content of information is tailored to those suffering elder abuse, in order to encourage self-disclosure.</w:t>
      </w:r>
    </w:p>
    <w:p w:rsidR="00363AB3" w:rsidRPr="00F471DF" w:rsidRDefault="00F471DF" w:rsidP="00F471DF">
      <w:pPr>
        <w:rPr>
          <w:rFonts w:ascii="Times New Roman" w:eastAsia="Arial Unicode MS" w:hAnsi="Times New Roman" w:cs="Times New Roman"/>
          <w:sz w:val="22"/>
          <w:szCs w:val="22"/>
          <w:lang w:val="en-US" w:eastAsia="en-AU"/>
        </w:rPr>
      </w:pPr>
      <w:r>
        <w:rPr>
          <w:rFonts w:ascii="Times New Roman" w:hAnsi="Times New Roman" w:cs="Times New Roman"/>
        </w:rPr>
        <w:br w:type="page"/>
      </w:r>
    </w:p>
    <w:tbl>
      <w:tblPr>
        <w:tblStyle w:val="TableGrid"/>
        <w:tblW w:w="5000" w:type="pct"/>
        <w:tblLook w:val="04A0"/>
      </w:tblPr>
      <w:tblGrid>
        <w:gridCol w:w="9236"/>
      </w:tblGrid>
      <w:tr w:rsidR="00C3029A" w:rsidRPr="00532994" w:rsidTr="003F7C50">
        <w:tc>
          <w:tcPr>
            <w:tcW w:w="5000" w:type="pct"/>
            <w:tcBorders>
              <w:top w:val="single" w:sz="4" w:space="0" w:color="auto"/>
              <w:left w:val="single" w:sz="4" w:space="0" w:color="auto"/>
              <w:bottom w:val="single" w:sz="4" w:space="0" w:color="auto"/>
              <w:right w:val="single" w:sz="4" w:space="0" w:color="auto"/>
            </w:tcBorders>
            <w:hideMark/>
          </w:tcPr>
          <w:p w:rsidR="00C3029A" w:rsidRPr="00532994" w:rsidRDefault="00C3029A" w:rsidP="003444E8">
            <w:pPr>
              <w:pStyle w:val="BodyA"/>
              <w:spacing w:line="360" w:lineRule="auto"/>
              <w:rPr>
                <w:rFonts w:ascii="Times New Roman" w:hAnsi="Times New Roman" w:cs="Times New Roman"/>
                <w:color w:val="auto"/>
                <w:lang w:eastAsia="en-US"/>
              </w:rPr>
            </w:pPr>
            <w:r w:rsidRPr="00532994">
              <w:rPr>
                <w:rFonts w:ascii="Times New Roman" w:hAnsi="Times New Roman" w:cs="Times New Roman"/>
                <w:b/>
                <w:bCs/>
                <w:color w:val="auto"/>
                <w:szCs w:val="24"/>
                <w:lang w:eastAsia="en-US"/>
              </w:rPr>
              <w:lastRenderedPageBreak/>
              <w:t>Question 6</w:t>
            </w:r>
            <w:r w:rsidRPr="00532994">
              <w:rPr>
                <w:rFonts w:ascii="Times New Roman" w:hAnsi="Times New Roman" w:cs="Times New Roman"/>
                <w:bCs/>
                <w:color w:val="auto"/>
                <w:szCs w:val="24"/>
                <w:lang w:eastAsia="en-US"/>
              </w:rPr>
              <w:tab/>
            </w:r>
            <w:r w:rsidRPr="00532994">
              <w:rPr>
                <w:rFonts w:ascii="Times New Roman" w:hAnsi="Times New Roman" w:cs="Times New Roman"/>
                <w:bCs/>
                <w:color w:val="auto"/>
                <w:szCs w:val="24"/>
                <w:lang w:eastAsia="en-US"/>
              </w:rPr>
              <w:tab/>
              <w:t>What changes should be made to laws and legal frameworks relating to social security correspondence or payment nominees to improve safeguards against elder abuse?</w:t>
            </w:r>
          </w:p>
        </w:tc>
      </w:tr>
    </w:tbl>
    <w:p w:rsidR="00C3029A" w:rsidRPr="00532994" w:rsidRDefault="00C3029A" w:rsidP="003444E8">
      <w:pPr>
        <w:pStyle w:val="BodyA"/>
        <w:spacing w:line="360" w:lineRule="auto"/>
        <w:jc w:val="both"/>
        <w:rPr>
          <w:rFonts w:ascii="Times New Roman" w:eastAsia="Times New Roman" w:hAnsi="Times New Roman" w:cs="Times New Roman"/>
          <w:color w:val="auto"/>
        </w:rPr>
      </w:pPr>
    </w:p>
    <w:p w:rsidR="00C3029A" w:rsidRPr="00532994" w:rsidRDefault="00C3029A" w:rsidP="003444E8">
      <w:pPr>
        <w:pStyle w:val="BodyA"/>
        <w:spacing w:line="360" w:lineRule="auto"/>
        <w:jc w:val="both"/>
        <w:rPr>
          <w:rFonts w:ascii="Times New Roman" w:eastAsia="Times New Roman" w:hAnsi="Times New Roman" w:cs="Times New Roman"/>
          <w:color w:val="auto"/>
        </w:rPr>
      </w:pPr>
      <w:r w:rsidRPr="00532994">
        <w:rPr>
          <w:rFonts w:ascii="Times New Roman" w:hAnsi="Times New Roman" w:cs="Times New Roman"/>
          <w:color w:val="auto"/>
        </w:rPr>
        <w:t>Appointing a nominee requires written consent of the principal.</w:t>
      </w:r>
      <w:r w:rsidRPr="00532994">
        <w:rPr>
          <w:rStyle w:val="None"/>
          <w:rFonts w:ascii="Times New Roman" w:eastAsia="Times New Roman" w:hAnsi="Times New Roman" w:cs="Times New Roman"/>
          <w:color w:val="auto"/>
          <w:vertAlign w:val="superscript"/>
        </w:rPr>
        <w:footnoteReference w:id="10"/>
      </w:r>
      <w:r w:rsidRPr="00532994">
        <w:rPr>
          <w:rFonts w:ascii="Times New Roman" w:hAnsi="Times New Roman" w:cs="Times New Roman"/>
          <w:color w:val="auto"/>
        </w:rPr>
        <w:t xml:space="preserve"> Where a person ‘is not capable, for example, due to an intellectual/physical constraint’ a nominee may be appointed on their ‘behalf’ if ‘the delegate is fully satisfied that the nominee is required and will act in the principal’s best interests’.</w:t>
      </w:r>
      <w:r w:rsidRPr="00532994">
        <w:rPr>
          <w:rStyle w:val="None"/>
          <w:rFonts w:ascii="Times New Roman" w:eastAsia="Times New Roman" w:hAnsi="Times New Roman" w:cs="Times New Roman"/>
          <w:color w:val="auto"/>
          <w:vertAlign w:val="superscript"/>
        </w:rPr>
        <w:footnoteReference w:id="11"/>
      </w:r>
      <w:r w:rsidRPr="00532994">
        <w:rPr>
          <w:rFonts w:ascii="Times New Roman" w:hAnsi="Times New Roman" w:cs="Times New Roman"/>
          <w:color w:val="auto"/>
        </w:rPr>
        <w:t xml:space="preserve"> Safeguards currently exist that require ‘any question of the principal’s capacity to consent’ to be investigated and any decision that a principal is incapable must be supported by ‘sufficient evidence’.</w:t>
      </w:r>
      <w:r w:rsidRPr="00532994">
        <w:rPr>
          <w:rStyle w:val="None"/>
          <w:rFonts w:ascii="Times New Roman" w:eastAsia="Times New Roman" w:hAnsi="Times New Roman" w:cs="Times New Roman"/>
          <w:color w:val="auto"/>
          <w:vertAlign w:val="superscript"/>
        </w:rPr>
        <w:footnoteReference w:id="12"/>
      </w:r>
      <w:r w:rsidR="00AE5A69">
        <w:rPr>
          <w:rFonts w:ascii="Times New Roman" w:hAnsi="Times New Roman" w:cs="Times New Roman"/>
          <w:color w:val="auto"/>
        </w:rPr>
        <w:t xml:space="preserve"> </w:t>
      </w:r>
    </w:p>
    <w:p w:rsidR="00C3029A" w:rsidRPr="00532994" w:rsidRDefault="00C3029A" w:rsidP="003444E8">
      <w:pPr>
        <w:pStyle w:val="BodyA"/>
        <w:spacing w:line="360" w:lineRule="auto"/>
        <w:jc w:val="both"/>
        <w:rPr>
          <w:rFonts w:ascii="Times New Roman" w:eastAsia="Times New Roman" w:hAnsi="Times New Roman" w:cs="Times New Roman"/>
          <w:color w:val="auto"/>
        </w:rPr>
      </w:pPr>
    </w:p>
    <w:p w:rsidR="00C3029A" w:rsidRPr="00532994" w:rsidRDefault="00C3029A" w:rsidP="003444E8">
      <w:pPr>
        <w:pStyle w:val="BodyA"/>
        <w:spacing w:line="360" w:lineRule="auto"/>
        <w:jc w:val="both"/>
        <w:rPr>
          <w:rFonts w:ascii="Times New Roman" w:eastAsia="Times New Roman" w:hAnsi="Times New Roman" w:cs="Times New Roman"/>
          <w:color w:val="auto"/>
        </w:rPr>
      </w:pPr>
      <w:r w:rsidRPr="00532994">
        <w:rPr>
          <w:rFonts w:ascii="Times New Roman" w:hAnsi="Times New Roman" w:cs="Times New Roman"/>
          <w:color w:val="auto"/>
        </w:rPr>
        <w:t xml:space="preserve">These measures offer protection regarding the validity of appointment of nominees to people that may have diminished decision-making capacity. However, there is a lack of safeguards once a nominee has been appointed as the person’s diminished capacity also reduces their ability to monitor the performance of their nominee and to alert </w:t>
      </w:r>
      <w:proofErr w:type="spellStart"/>
      <w:r w:rsidRPr="00532994">
        <w:rPr>
          <w:rFonts w:ascii="Times New Roman" w:hAnsi="Times New Roman" w:cs="Times New Roman"/>
          <w:color w:val="auto"/>
        </w:rPr>
        <w:t>Centrelink</w:t>
      </w:r>
      <w:proofErr w:type="spellEnd"/>
      <w:r w:rsidRPr="00532994">
        <w:rPr>
          <w:rFonts w:ascii="Times New Roman" w:hAnsi="Times New Roman" w:cs="Times New Roman"/>
          <w:color w:val="auto"/>
        </w:rPr>
        <w:t xml:space="preserve"> to any abuse by their nominee. Further, the perpetrator is likely to be the only other party with knowledge of the abuse, which makes it hard for authorities to uncover the abuse.</w:t>
      </w:r>
      <w:r w:rsidRPr="00532994">
        <w:rPr>
          <w:rStyle w:val="None"/>
          <w:rFonts w:ascii="Times New Roman" w:eastAsia="Times New Roman" w:hAnsi="Times New Roman" w:cs="Times New Roman"/>
          <w:color w:val="auto"/>
          <w:vertAlign w:val="superscript"/>
        </w:rPr>
        <w:footnoteReference w:id="13"/>
      </w:r>
      <w:r w:rsidRPr="00532994">
        <w:rPr>
          <w:rFonts w:ascii="Times New Roman" w:hAnsi="Times New Roman" w:cs="Times New Roman"/>
          <w:color w:val="auto"/>
        </w:rPr>
        <w:t xml:space="preserve"> </w:t>
      </w:r>
    </w:p>
    <w:p w:rsidR="00C3029A" w:rsidRPr="00532994" w:rsidRDefault="00C3029A" w:rsidP="003444E8">
      <w:pPr>
        <w:pStyle w:val="BodyA"/>
        <w:spacing w:line="360" w:lineRule="auto"/>
        <w:jc w:val="both"/>
        <w:rPr>
          <w:rFonts w:ascii="Times New Roman" w:eastAsia="Times New Roman" w:hAnsi="Times New Roman" w:cs="Times New Roman"/>
          <w:color w:val="auto"/>
        </w:rPr>
      </w:pPr>
    </w:p>
    <w:p w:rsidR="00C3029A" w:rsidRPr="00532994" w:rsidRDefault="00C3029A" w:rsidP="003444E8">
      <w:pPr>
        <w:pStyle w:val="BodyA"/>
        <w:spacing w:line="360" w:lineRule="auto"/>
        <w:jc w:val="both"/>
        <w:rPr>
          <w:rFonts w:ascii="Times New Roman" w:hAnsi="Times New Roman" w:cs="Times New Roman"/>
          <w:color w:val="auto"/>
        </w:rPr>
      </w:pPr>
      <w:r w:rsidRPr="00532994">
        <w:rPr>
          <w:rFonts w:ascii="Times New Roman" w:hAnsi="Times New Roman" w:cs="Times New Roman"/>
          <w:color w:val="auto"/>
        </w:rPr>
        <w:t>Safeguards are required to provide ongoing processes for preventing, identifying and responding to abuse, especially when a nominee has been appointed for a person who could not give their consent. First, there should be greater scrutiny of the suitability of potential nominees by performing background checks on the person’s character and financial history.</w:t>
      </w:r>
      <w:r w:rsidRPr="00532994">
        <w:rPr>
          <w:rStyle w:val="None"/>
          <w:rFonts w:ascii="Times New Roman" w:eastAsia="Times New Roman" w:hAnsi="Times New Roman" w:cs="Times New Roman"/>
          <w:color w:val="auto"/>
          <w:vertAlign w:val="superscript"/>
        </w:rPr>
        <w:footnoteReference w:id="14"/>
      </w:r>
      <w:r w:rsidRPr="00532994">
        <w:rPr>
          <w:rFonts w:ascii="Times New Roman" w:hAnsi="Times New Roman" w:cs="Times New Roman"/>
          <w:color w:val="auto"/>
        </w:rPr>
        <w:t xml:space="preserve"> Second, there should be regular reviews of a nominee’s performance. Currently, payment nominees are required to keep records of expenditures of the principal’s payments</w:t>
      </w:r>
      <w:r w:rsidRPr="00532994">
        <w:rPr>
          <w:rStyle w:val="None"/>
          <w:rFonts w:ascii="Times New Roman" w:eastAsia="Times New Roman" w:hAnsi="Times New Roman" w:cs="Times New Roman"/>
          <w:color w:val="auto"/>
          <w:vertAlign w:val="superscript"/>
        </w:rPr>
        <w:footnoteReference w:id="15"/>
      </w:r>
      <w:r w:rsidRPr="00532994">
        <w:rPr>
          <w:rFonts w:ascii="Times New Roman" w:hAnsi="Times New Roman" w:cs="Times New Roman"/>
          <w:color w:val="auto"/>
        </w:rPr>
        <w:t xml:space="preserve"> which are reviewed when it is ‘deemed necessary’.</w:t>
      </w:r>
      <w:r w:rsidRPr="00532994">
        <w:rPr>
          <w:rStyle w:val="None"/>
          <w:rFonts w:ascii="Times New Roman" w:eastAsia="Times New Roman" w:hAnsi="Times New Roman" w:cs="Times New Roman"/>
          <w:color w:val="auto"/>
          <w:vertAlign w:val="superscript"/>
        </w:rPr>
        <w:footnoteReference w:id="16"/>
      </w:r>
      <w:r w:rsidRPr="00532994">
        <w:rPr>
          <w:rFonts w:ascii="Times New Roman" w:hAnsi="Times New Roman" w:cs="Times New Roman"/>
          <w:color w:val="auto"/>
        </w:rPr>
        <w:t xml:space="preserve"> </w:t>
      </w:r>
    </w:p>
    <w:p w:rsidR="00C3029A" w:rsidRPr="00532994" w:rsidRDefault="00C3029A" w:rsidP="003444E8">
      <w:pPr>
        <w:pStyle w:val="BodyA"/>
        <w:spacing w:line="360" w:lineRule="auto"/>
        <w:jc w:val="both"/>
        <w:rPr>
          <w:rFonts w:ascii="Times New Roman" w:hAnsi="Times New Roman" w:cs="Times New Roman"/>
          <w:color w:val="auto"/>
        </w:rPr>
      </w:pPr>
    </w:p>
    <w:p w:rsidR="00C3029A" w:rsidRPr="00532994" w:rsidRDefault="00C3029A" w:rsidP="003444E8">
      <w:pPr>
        <w:pStyle w:val="BodyA"/>
        <w:spacing w:line="360" w:lineRule="auto"/>
        <w:jc w:val="both"/>
        <w:rPr>
          <w:rFonts w:ascii="Times New Roman" w:eastAsia="Times New Roman" w:hAnsi="Times New Roman" w:cs="Times New Roman"/>
          <w:color w:val="auto"/>
        </w:rPr>
      </w:pPr>
      <w:r w:rsidRPr="00532994">
        <w:rPr>
          <w:rFonts w:ascii="Times New Roman" w:hAnsi="Times New Roman" w:cs="Times New Roman"/>
          <w:color w:val="auto"/>
        </w:rPr>
        <w:t xml:space="preserve">Third, responses to abuse can be strengthened. Currently, the </w:t>
      </w:r>
      <w:r w:rsidRPr="00532994">
        <w:rPr>
          <w:rStyle w:val="None"/>
          <w:rFonts w:ascii="Times New Roman" w:hAnsi="Times New Roman" w:cs="Times New Roman"/>
          <w:i/>
          <w:iCs/>
          <w:color w:val="auto"/>
        </w:rPr>
        <w:t xml:space="preserve">Guide to Social Security Law </w:t>
      </w:r>
      <w:r w:rsidRPr="00532994">
        <w:rPr>
          <w:rFonts w:ascii="Times New Roman" w:hAnsi="Times New Roman" w:cs="Times New Roman"/>
          <w:color w:val="auto"/>
        </w:rPr>
        <w:t>provides that allegations of misuse must be referred to social workers.</w:t>
      </w:r>
      <w:r w:rsidRPr="00532994">
        <w:rPr>
          <w:rStyle w:val="None"/>
          <w:rFonts w:ascii="Times New Roman" w:eastAsia="Times New Roman" w:hAnsi="Times New Roman" w:cs="Times New Roman"/>
          <w:color w:val="auto"/>
          <w:vertAlign w:val="superscript"/>
        </w:rPr>
        <w:footnoteReference w:id="17"/>
      </w:r>
      <w:r w:rsidRPr="00532994">
        <w:rPr>
          <w:rFonts w:ascii="Times New Roman" w:hAnsi="Times New Roman" w:cs="Times New Roman"/>
          <w:color w:val="auto"/>
        </w:rPr>
        <w:t xml:space="preserve"> Nominee arrangements may be suspended or revoked ‘where a delegate decides that a nominee appointment is not in the principal’s best interests’ or payments may be redirected.</w:t>
      </w:r>
      <w:r w:rsidRPr="00532994">
        <w:rPr>
          <w:rStyle w:val="None"/>
          <w:rFonts w:ascii="Times New Roman" w:eastAsia="Times New Roman" w:hAnsi="Times New Roman" w:cs="Times New Roman"/>
          <w:color w:val="auto"/>
          <w:vertAlign w:val="superscript"/>
        </w:rPr>
        <w:footnoteReference w:id="18"/>
      </w:r>
      <w:r w:rsidRPr="00532994">
        <w:rPr>
          <w:rFonts w:ascii="Times New Roman" w:hAnsi="Times New Roman" w:cs="Times New Roman"/>
          <w:color w:val="auto"/>
        </w:rPr>
        <w:t xml:space="preserve"> There could be more severe consequences for nominees who abuse their position such as liability for misused funds and additional penalties. </w:t>
      </w:r>
    </w:p>
    <w:p w:rsidR="00C3029A" w:rsidRPr="00532994" w:rsidRDefault="00C3029A" w:rsidP="003444E8">
      <w:pPr>
        <w:pStyle w:val="BodyA"/>
        <w:spacing w:line="360" w:lineRule="auto"/>
        <w:jc w:val="both"/>
        <w:rPr>
          <w:rFonts w:ascii="Times New Roman" w:eastAsia="Times New Roman" w:hAnsi="Times New Roman" w:cs="Times New Roman"/>
          <w:color w:val="auto"/>
        </w:rPr>
      </w:pPr>
    </w:p>
    <w:tbl>
      <w:tblPr>
        <w:tblStyle w:val="TableGrid"/>
        <w:tblW w:w="5000" w:type="pct"/>
        <w:tblLook w:val="04A0"/>
      </w:tblPr>
      <w:tblGrid>
        <w:gridCol w:w="9236"/>
      </w:tblGrid>
      <w:tr w:rsidR="00C3029A" w:rsidRPr="00532994" w:rsidTr="003F7C50">
        <w:tc>
          <w:tcPr>
            <w:tcW w:w="5000" w:type="pct"/>
            <w:tcBorders>
              <w:top w:val="single" w:sz="4" w:space="0" w:color="auto"/>
              <w:left w:val="single" w:sz="4" w:space="0" w:color="auto"/>
              <w:bottom w:val="single" w:sz="4" w:space="0" w:color="auto"/>
              <w:right w:val="single" w:sz="4" w:space="0" w:color="auto"/>
            </w:tcBorders>
            <w:hideMark/>
          </w:tcPr>
          <w:p w:rsidR="00C3029A" w:rsidRPr="00532994" w:rsidRDefault="00C3029A" w:rsidP="003444E8">
            <w:pPr>
              <w:pStyle w:val="Body"/>
              <w:spacing w:line="360" w:lineRule="auto"/>
              <w:rPr>
                <w:rFonts w:cs="Times New Roman"/>
                <w:color w:val="auto"/>
                <w:lang w:eastAsia="en-US"/>
              </w:rPr>
            </w:pPr>
            <w:r w:rsidRPr="00532994">
              <w:rPr>
                <w:rStyle w:val="None"/>
                <w:rFonts w:cs="Times New Roman"/>
                <w:b/>
                <w:bCs/>
                <w:color w:val="auto"/>
                <w:sz w:val="22"/>
                <w:lang w:eastAsia="en-US"/>
              </w:rPr>
              <w:t>Question 8</w:t>
            </w:r>
            <w:r w:rsidRPr="00532994">
              <w:rPr>
                <w:rStyle w:val="None"/>
                <w:rFonts w:cs="Times New Roman"/>
                <w:bCs/>
                <w:color w:val="auto"/>
                <w:sz w:val="22"/>
                <w:lang w:eastAsia="en-US"/>
              </w:rPr>
              <w:tab/>
            </w:r>
            <w:r w:rsidRPr="00532994">
              <w:rPr>
                <w:rStyle w:val="None"/>
                <w:rFonts w:cs="Times New Roman"/>
                <w:bCs/>
                <w:color w:val="auto"/>
                <w:sz w:val="22"/>
                <w:lang w:eastAsia="en-US"/>
              </w:rPr>
              <w:tab/>
              <w:t>What role is there for income management in providing protections or safeguards against elder abuse?</w:t>
            </w:r>
          </w:p>
        </w:tc>
      </w:tr>
    </w:tbl>
    <w:p w:rsidR="00C3029A" w:rsidRPr="00532994" w:rsidRDefault="00C3029A" w:rsidP="003444E8">
      <w:pPr>
        <w:pStyle w:val="Body"/>
        <w:spacing w:line="360" w:lineRule="auto"/>
        <w:jc w:val="both"/>
        <w:rPr>
          <w:rStyle w:val="None"/>
          <w:rFonts w:cs="Times New Roman"/>
          <w:color w:val="auto"/>
          <w:sz w:val="22"/>
          <w:szCs w:val="22"/>
        </w:rPr>
      </w:pPr>
    </w:p>
    <w:p w:rsidR="00C3029A" w:rsidRPr="00532994" w:rsidRDefault="00C3029A" w:rsidP="003444E8">
      <w:pPr>
        <w:pStyle w:val="Body"/>
        <w:spacing w:line="360" w:lineRule="auto"/>
        <w:jc w:val="both"/>
        <w:rPr>
          <w:rStyle w:val="None"/>
          <w:rFonts w:cs="Times New Roman"/>
          <w:color w:val="auto"/>
          <w:sz w:val="22"/>
          <w:szCs w:val="22"/>
        </w:rPr>
      </w:pPr>
      <w:r w:rsidRPr="00532994">
        <w:rPr>
          <w:rStyle w:val="None"/>
          <w:rFonts w:cs="Times New Roman"/>
          <w:color w:val="auto"/>
          <w:sz w:val="22"/>
          <w:szCs w:val="22"/>
        </w:rPr>
        <w:t>Income management could arguably be used to ensure payments to the elderly are being spent on their essential needs and cannot be misused by others, thereby offering a safeguard against financial exploitation and neglect. We posit that the reasons against using income management as a safeguard against family violence also apply in the context of elder abuse.</w:t>
      </w:r>
    </w:p>
    <w:p w:rsidR="00C3029A" w:rsidRPr="00532994" w:rsidRDefault="00C3029A" w:rsidP="003444E8">
      <w:pPr>
        <w:pStyle w:val="Body"/>
        <w:spacing w:line="360" w:lineRule="auto"/>
        <w:jc w:val="both"/>
        <w:rPr>
          <w:rStyle w:val="None"/>
          <w:rFonts w:cs="Times New Roman"/>
          <w:color w:val="auto"/>
          <w:sz w:val="22"/>
          <w:szCs w:val="22"/>
        </w:rPr>
      </w:pPr>
    </w:p>
    <w:p w:rsidR="00C3029A" w:rsidRPr="00532994" w:rsidRDefault="00C3029A" w:rsidP="003444E8">
      <w:pPr>
        <w:pStyle w:val="Body"/>
        <w:spacing w:line="360" w:lineRule="auto"/>
        <w:jc w:val="both"/>
        <w:rPr>
          <w:rFonts w:cs="Times New Roman"/>
          <w:color w:val="auto"/>
        </w:rPr>
      </w:pPr>
      <w:r w:rsidRPr="00532994">
        <w:rPr>
          <w:rFonts w:cs="Times New Roman"/>
          <w:color w:val="auto"/>
          <w:sz w:val="22"/>
          <w:szCs w:val="22"/>
        </w:rPr>
        <w:t>First, i</w:t>
      </w:r>
      <w:r w:rsidRPr="00532994">
        <w:rPr>
          <w:rStyle w:val="None"/>
          <w:rFonts w:cs="Times New Roman"/>
          <w:color w:val="auto"/>
          <w:sz w:val="22"/>
          <w:szCs w:val="22"/>
        </w:rPr>
        <w:t xml:space="preserve">ncome management aims to modify the </w:t>
      </w:r>
      <w:proofErr w:type="spellStart"/>
      <w:r w:rsidRPr="00532994">
        <w:rPr>
          <w:rStyle w:val="None"/>
          <w:rFonts w:cs="Times New Roman"/>
          <w:color w:val="auto"/>
          <w:sz w:val="22"/>
          <w:szCs w:val="22"/>
        </w:rPr>
        <w:t>behaviour</w:t>
      </w:r>
      <w:proofErr w:type="spellEnd"/>
      <w:r w:rsidRPr="00532994">
        <w:rPr>
          <w:rStyle w:val="None"/>
          <w:rFonts w:cs="Times New Roman"/>
          <w:color w:val="auto"/>
          <w:sz w:val="22"/>
          <w:szCs w:val="22"/>
        </w:rPr>
        <w:t xml:space="preserve"> of those receiving welfare payments and is not designed as a safeguard against abuse per se. Income management ensures </w:t>
      </w:r>
      <w:r w:rsidRPr="00532994">
        <w:rPr>
          <w:rFonts w:cs="Times New Roman"/>
          <w:color w:val="auto"/>
          <w:sz w:val="22"/>
          <w:szCs w:val="22"/>
        </w:rPr>
        <w:t xml:space="preserve">social security </w:t>
      </w:r>
      <w:r w:rsidRPr="00532994">
        <w:rPr>
          <w:rFonts w:cs="Times New Roman"/>
          <w:color w:val="auto"/>
          <w:sz w:val="22"/>
          <w:szCs w:val="22"/>
          <w:lang w:val="de-DE"/>
        </w:rPr>
        <w:t>‘</w:t>
      </w:r>
      <w:r w:rsidRPr="00532994">
        <w:rPr>
          <w:rFonts w:cs="Times New Roman"/>
          <w:color w:val="auto"/>
          <w:sz w:val="22"/>
          <w:szCs w:val="22"/>
        </w:rPr>
        <w:t>payments cannot be spent on excluded items, comprising alcohol, tobacco, pornography or gambling goods and services ... [but] is available to be spent on necessities, including food, housing, utilities, clothing and medical care.’</w:t>
      </w:r>
      <w:r w:rsidRPr="00532994">
        <w:rPr>
          <w:rStyle w:val="None"/>
          <w:rFonts w:cs="Times New Roman"/>
          <w:color w:val="auto"/>
          <w:sz w:val="22"/>
          <w:szCs w:val="22"/>
          <w:vertAlign w:val="superscript"/>
        </w:rPr>
        <w:footnoteReference w:id="19"/>
      </w:r>
      <w:r w:rsidRPr="00532994">
        <w:rPr>
          <w:rFonts w:cs="Times New Roman"/>
          <w:color w:val="auto"/>
          <w:sz w:val="22"/>
          <w:szCs w:val="22"/>
        </w:rPr>
        <w:t xml:space="preserve"> It aims to encourage disengaged youth, long-term welfare recipients and other ‘vulnerable’ people.</w:t>
      </w:r>
      <w:r w:rsidRPr="00532994">
        <w:rPr>
          <w:rStyle w:val="None"/>
          <w:rFonts w:cs="Times New Roman"/>
          <w:color w:val="auto"/>
          <w:sz w:val="22"/>
          <w:szCs w:val="22"/>
          <w:vertAlign w:val="superscript"/>
        </w:rPr>
        <w:footnoteReference w:id="20"/>
      </w:r>
      <w:r w:rsidRPr="00532994">
        <w:rPr>
          <w:rFonts w:cs="Times New Roman"/>
          <w:color w:val="auto"/>
          <w:sz w:val="22"/>
          <w:szCs w:val="22"/>
        </w:rPr>
        <w:t xml:space="preserve"> </w:t>
      </w:r>
    </w:p>
    <w:p w:rsidR="00C3029A" w:rsidRPr="00532994" w:rsidRDefault="00C3029A" w:rsidP="003444E8">
      <w:pPr>
        <w:pStyle w:val="Body"/>
        <w:spacing w:line="360" w:lineRule="auto"/>
        <w:jc w:val="both"/>
        <w:rPr>
          <w:rFonts w:cs="Times New Roman"/>
          <w:color w:val="auto"/>
          <w:sz w:val="22"/>
          <w:szCs w:val="22"/>
        </w:rPr>
      </w:pPr>
    </w:p>
    <w:p w:rsidR="00C3029A" w:rsidRPr="00532994" w:rsidRDefault="00C3029A" w:rsidP="003444E8">
      <w:pPr>
        <w:pStyle w:val="Body"/>
        <w:spacing w:line="360" w:lineRule="auto"/>
        <w:jc w:val="both"/>
        <w:rPr>
          <w:rFonts w:cs="Times New Roman"/>
          <w:color w:val="auto"/>
          <w:sz w:val="22"/>
          <w:szCs w:val="22"/>
        </w:rPr>
      </w:pPr>
      <w:r w:rsidRPr="00532994">
        <w:rPr>
          <w:rFonts w:cs="Times New Roman"/>
          <w:color w:val="auto"/>
          <w:sz w:val="22"/>
          <w:szCs w:val="22"/>
        </w:rPr>
        <w:t>Second, as a safeguard for elder abuse, income management cannot be justified because of its significant interference with a person’s agency, especially where it is compulsorily imposed.</w:t>
      </w:r>
      <w:r w:rsidRPr="00532994">
        <w:rPr>
          <w:rStyle w:val="None"/>
          <w:rFonts w:cs="Times New Roman"/>
          <w:b/>
          <w:bCs/>
          <w:color w:val="auto"/>
          <w:sz w:val="22"/>
          <w:szCs w:val="22"/>
        </w:rPr>
        <w:t xml:space="preserve"> </w:t>
      </w:r>
      <w:r w:rsidRPr="00532994">
        <w:rPr>
          <w:rFonts w:cs="Times New Roman"/>
          <w:color w:val="auto"/>
          <w:sz w:val="22"/>
          <w:szCs w:val="22"/>
        </w:rPr>
        <w:t xml:space="preserve">The ARLC’s Family Violence Inquiry identified a number of reasons why income management is not </w:t>
      </w:r>
      <w:r w:rsidRPr="00532994">
        <w:rPr>
          <w:rFonts w:cs="Times New Roman"/>
          <w:color w:val="auto"/>
          <w:sz w:val="22"/>
          <w:szCs w:val="22"/>
          <w:lang w:val="de-DE"/>
        </w:rPr>
        <w:t>‘</w:t>
      </w:r>
      <w:r w:rsidRPr="00532994">
        <w:rPr>
          <w:rFonts w:cs="Times New Roman"/>
          <w:color w:val="auto"/>
          <w:sz w:val="22"/>
          <w:szCs w:val="22"/>
        </w:rPr>
        <w:t>an appropriate response to improve the safety of victims of family violence’</w:t>
      </w:r>
      <w:r w:rsidRPr="00532994">
        <w:rPr>
          <w:rStyle w:val="None"/>
          <w:rFonts w:cs="Times New Roman"/>
          <w:color w:val="auto"/>
          <w:sz w:val="22"/>
          <w:szCs w:val="22"/>
          <w:vertAlign w:val="superscript"/>
        </w:rPr>
        <w:footnoteReference w:id="21"/>
      </w:r>
      <w:r w:rsidRPr="00532994">
        <w:rPr>
          <w:rFonts w:cs="Times New Roman"/>
          <w:color w:val="auto"/>
          <w:sz w:val="22"/>
          <w:szCs w:val="22"/>
        </w:rPr>
        <w:t xml:space="preserve"> including its </w:t>
      </w:r>
      <w:r w:rsidRPr="00532994">
        <w:rPr>
          <w:rStyle w:val="None"/>
          <w:rFonts w:cs="Times New Roman"/>
          <w:color w:val="auto"/>
          <w:sz w:val="22"/>
          <w:szCs w:val="22"/>
          <w:lang w:val="de-DE"/>
        </w:rPr>
        <w:t>‘</w:t>
      </w:r>
      <w:r w:rsidRPr="00532994">
        <w:rPr>
          <w:rStyle w:val="None"/>
          <w:rFonts w:cs="Times New Roman"/>
          <w:color w:val="auto"/>
          <w:sz w:val="22"/>
          <w:szCs w:val="22"/>
        </w:rPr>
        <w:t>disempowering effect’</w:t>
      </w:r>
      <w:r w:rsidRPr="00532994">
        <w:rPr>
          <w:rStyle w:val="None"/>
          <w:rFonts w:cs="Times New Roman"/>
          <w:color w:val="auto"/>
          <w:sz w:val="22"/>
          <w:szCs w:val="22"/>
          <w:vertAlign w:val="superscript"/>
        </w:rPr>
        <w:footnoteReference w:id="22"/>
      </w:r>
      <w:r w:rsidR="00185C0C" w:rsidRPr="00532994">
        <w:rPr>
          <w:rStyle w:val="None"/>
          <w:rFonts w:cs="Times New Roman"/>
          <w:color w:val="auto"/>
          <w:sz w:val="22"/>
          <w:szCs w:val="22"/>
        </w:rPr>
        <w:t xml:space="preserve"> and </w:t>
      </w:r>
      <w:r w:rsidRPr="00532994">
        <w:rPr>
          <w:rStyle w:val="None"/>
          <w:rFonts w:cs="Times New Roman"/>
          <w:color w:val="auto"/>
          <w:sz w:val="22"/>
          <w:szCs w:val="22"/>
          <w:lang w:val="de-DE"/>
        </w:rPr>
        <w:t>the view that it penalises victims by changing their welfare payments</w:t>
      </w:r>
      <w:r w:rsidRPr="00532994">
        <w:rPr>
          <w:rStyle w:val="None"/>
          <w:rFonts w:cs="Times New Roman"/>
          <w:color w:val="auto"/>
          <w:sz w:val="22"/>
          <w:szCs w:val="22"/>
        </w:rPr>
        <w:t>.</w:t>
      </w:r>
      <w:r w:rsidRPr="00532994">
        <w:rPr>
          <w:rStyle w:val="None"/>
          <w:rFonts w:cs="Times New Roman"/>
          <w:color w:val="auto"/>
          <w:sz w:val="22"/>
          <w:szCs w:val="22"/>
          <w:vertAlign w:val="superscript"/>
        </w:rPr>
        <w:footnoteReference w:id="23"/>
      </w:r>
      <w:r w:rsidRPr="00532994">
        <w:rPr>
          <w:rStyle w:val="None"/>
          <w:rFonts w:cs="Times New Roman"/>
          <w:color w:val="auto"/>
          <w:sz w:val="22"/>
          <w:szCs w:val="22"/>
        </w:rPr>
        <w:t xml:space="preserve"> Further, it fails to </w:t>
      </w:r>
      <w:r w:rsidRPr="00532994">
        <w:rPr>
          <w:rFonts w:cs="Times New Roman"/>
          <w:color w:val="auto"/>
          <w:sz w:val="22"/>
          <w:szCs w:val="22"/>
        </w:rPr>
        <w:t xml:space="preserve">address </w:t>
      </w:r>
      <w:r w:rsidRPr="00532994">
        <w:rPr>
          <w:rFonts w:cs="Times New Roman"/>
          <w:color w:val="auto"/>
          <w:sz w:val="22"/>
          <w:szCs w:val="22"/>
          <w:lang w:val="de-DE"/>
        </w:rPr>
        <w:t>‘</w:t>
      </w:r>
      <w:r w:rsidRPr="00532994">
        <w:rPr>
          <w:rFonts w:cs="Times New Roman"/>
          <w:color w:val="auto"/>
          <w:sz w:val="22"/>
          <w:szCs w:val="22"/>
        </w:rPr>
        <w:t>the complex needs for … safety and protection’</w:t>
      </w:r>
      <w:r w:rsidRPr="00532994">
        <w:rPr>
          <w:rStyle w:val="None"/>
          <w:rFonts w:cs="Times New Roman"/>
          <w:color w:val="auto"/>
          <w:sz w:val="22"/>
          <w:szCs w:val="22"/>
          <w:vertAlign w:val="superscript"/>
        </w:rPr>
        <w:footnoteReference w:id="24"/>
      </w:r>
      <w:r w:rsidRPr="00532994">
        <w:rPr>
          <w:rFonts w:cs="Times New Roman"/>
          <w:color w:val="auto"/>
          <w:sz w:val="22"/>
          <w:szCs w:val="22"/>
        </w:rPr>
        <w:t xml:space="preserve"> facing victims while exacerbating safety concerns as </w:t>
      </w:r>
      <w:r w:rsidRPr="00532994">
        <w:rPr>
          <w:rFonts w:cs="Times New Roman"/>
          <w:color w:val="auto"/>
          <w:sz w:val="22"/>
          <w:szCs w:val="22"/>
          <w:lang w:val="de-DE"/>
        </w:rPr>
        <w:t>‘</w:t>
      </w:r>
      <w:r w:rsidRPr="00532994">
        <w:rPr>
          <w:rFonts w:cs="Times New Roman"/>
          <w:color w:val="auto"/>
          <w:sz w:val="22"/>
          <w:szCs w:val="22"/>
        </w:rPr>
        <w:t>the perpetrator may blame the victim for being income managed’.</w:t>
      </w:r>
      <w:r w:rsidRPr="00532994">
        <w:rPr>
          <w:rStyle w:val="None"/>
          <w:rFonts w:cs="Times New Roman"/>
          <w:color w:val="auto"/>
          <w:sz w:val="22"/>
          <w:szCs w:val="22"/>
          <w:vertAlign w:val="superscript"/>
        </w:rPr>
        <w:footnoteReference w:id="25"/>
      </w:r>
      <w:r w:rsidRPr="00532994">
        <w:rPr>
          <w:rFonts w:cs="Times New Roman"/>
          <w:color w:val="auto"/>
          <w:sz w:val="22"/>
          <w:szCs w:val="22"/>
        </w:rPr>
        <w:t xml:space="preserve"> </w:t>
      </w:r>
    </w:p>
    <w:p w:rsidR="00CE2CF2" w:rsidRDefault="00CE2CF2" w:rsidP="00AE5A69">
      <w:pPr>
        <w:pStyle w:val="Body"/>
        <w:spacing w:line="360" w:lineRule="auto"/>
        <w:rPr>
          <w:rFonts w:cs="Times New Roman"/>
          <w:color w:val="auto"/>
          <w:sz w:val="22"/>
          <w:szCs w:val="22"/>
        </w:rPr>
      </w:pPr>
    </w:p>
    <w:p w:rsidR="00C3029A" w:rsidRPr="00AE5A69" w:rsidRDefault="00C3029A" w:rsidP="00AE5A69">
      <w:pPr>
        <w:pStyle w:val="Body"/>
        <w:spacing w:line="360" w:lineRule="auto"/>
        <w:rPr>
          <w:rFonts w:cs="Times New Roman"/>
          <w:color w:val="auto"/>
        </w:rPr>
      </w:pPr>
      <w:r w:rsidRPr="00532994">
        <w:rPr>
          <w:rFonts w:cs="Times New Roman"/>
          <w:color w:val="auto"/>
          <w:sz w:val="22"/>
          <w:szCs w:val="22"/>
        </w:rPr>
        <w:t>Similarly, those at risk of elder abuse require appropriate support,</w:t>
      </w:r>
      <w:r w:rsidRPr="00532994">
        <w:rPr>
          <w:rStyle w:val="None"/>
          <w:rFonts w:cs="Times New Roman"/>
          <w:color w:val="auto"/>
          <w:sz w:val="22"/>
          <w:szCs w:val="22"/>
          <w:vertAlign w:val="superscript"/>
        </w:rPr>
        <w:footnoteReference w:id="26"/>
      </w:r>
      <w:r w:rsidRPr="00532994">
        <w:rPr>
          <w:rFonts w:cs="Times New Roman"/>
          <w:color w:val="auto"/>
          <w:sz w:val="22"/>
          <w:szCs w:val="22"/>
        </w:rPr>
        <w:t xml:space="preserve"> not necessarily </w:t>
      </w:r>
      <w:r w:rsidRPr="00532994">
        <w:rPr>
          <w:rFonts w:cs="Times New Roman"/>
          <w:color w:val="auto"/>
          <w:sz w:val="22"/>
          <w:szCs w:val="22"/>
          <w:lang w:val="de-DE"/>
        </w:rPr>
        <w:t>‘</w:t>
      </w:r>
      <w:r w:rsidRPr="00532994">
        <w:rPr>
          <w:rFonts w:cs="Times New Roman"/>
          <w:color w:val="auto"/>
          <w:sz w:val="22"/>
          <w:szCs w:val="22"/>
        </w:rPr>
        <w:t>help’ to manage money.</w:t>
      </w:r>
      <w:r w:rsidRPr="00532994">
        <w:rPr>
          <w:rStyle w:val="None"/>
          <w:rFonts w:cs="Times New Roman"/>
          <w:color w:val="auto"/>
          <w:sz w:val="22"/>
          <w:szCs w:val="22"/>
          <w:vertAlign w:val="superscript"/>
        </w:rPr>
        <w:footnoteReference w:id="27"/>
      </w:r>
      <w:r w:rsidRPr="00532994">
        <w:rPr>
          <w:rFonts w:cs="Times New Roman"/>
          <w:color w:val="auto"/>
          <w:sz w:val="22"/>
          <w:szCs w:val="22"/>
        </w:rPr>
        <w:t xml:space="preserve"> Better</w:t>
      </w:r>
      <w:r w:rsidRPr="00532994">
        <w:rPr>
          <w:rStyle w:val="None"/>
          <w:rFonts w:cs="Times New Roman"/>
          <w:b/>
          <w:bCs/>
          <w:color w:val="auto"/>
          <w:sz w:val="22"/>
          <w:szCs w:val="22"/>
        </w:rPr>
        <w:t xml:space="preserve"> </w:t>
      </w:r>
      <w:r w:rsidRPr="00532994">
        <w:rPr>
          <w:rFonts w:cs="Times New Roman"/>
          <w:color w:val="auto"/>
          <w:sz w:val="22"/>
          <w:szCs w:val="22"/>
        </w:rPr>
        <w:t>safeguards against elder abuse are required, rather than imposing additional burdens on victims.</w:t>
      </w:r>
      <w:r w:rsidRPr="00532994">
        <w:rPr>
          <w:rStyle w:val="None"/>
          <w:rFonts w:cs="Times New Roman"/>
          <w:color w:val="auto"/>
          <w:sz w:val="22"/>
          <w:szCs w:val="22"/>
        </w:rPr>
        <w:t xml:space="preserve"> </w:t>
      </w:r>
      <w:r w:rsidRPr="00532994">
        <w:rPr>
          <w:rFonts w:cs="Times New Roman"/>
          <w:color w:val="auto"/>
          <w:sz w:val="48"/>
          <w:szCs w:val="32"/>
        </w:rPr>
        <w:br w:type="page"/>
      </w:r>
    </w:p>
    <w:p w:rsidR="00FF5BE5" w:rsidRPr="00532994" w:rsidRDefault="00FF5BE5" w:rsidP="003444E8">
      <w:pPr>
        <w:spacing w:line="360" w:lineRule="auto"/>
        <w:jc w:val="center"/>
        <w:rPr>
          <w:rFonts w:ascii="Times New Roman" w:hAnsi="Times New Roman" w:cs="Times New Roman"/>
          <w:sz w:val="48"/>
          <w:szCs w:val="32"/>
        </w:rPr>
      </w:pPr>
      <w:r w:rsidRPr="00532994">
        <w:rPr>
          <w:rFonts w:ascii="Times New Roman" w:hAnsi="Times New Roman" w:cs="Times New Roman"/>
          <w:sz w:val="48"/>
          <w:szCs w:val="32"/>
        </w:rPr>
        <w:lastRenderedPageBreak/>
        <w:t>Aged Care</w:t>
      </w:r>
    </w:p>
    <w:p w:rsidR="00FF5BE5" w:rsidRPr="00532994" w:rsidRDefault="00FF5BE5" w:rsidP="003444E8">
      <w:pPr>
        <w:spacing w:line="360" w:lineRule="auto"/>
        <w:jc w:val="center"/>
        <w:rPr>
          <w:rFonts w:ascii="Times New Roman" w:hAnsi="Times New Roman" w:cs="Times New Roman"/>
          <w:sz w:val="22"/>
          <w:szCs w:val="32"/>
        </w:rPr>
      </w:pPr>
    </w:p>
    <w:tbl>
      <w:tblPr>
        <w:tblStyle w:val="TableGrid"/>
        <w:tblW w:w="0" w:type="auto"/>
        <w:tblLook w:val="04A0"/>
      </w:tblPr>
      <w:tblGrid>
        <w:gridCol w:w="9236"/>
      </w:tblGrid>
      <w:tr w:rsidR="00FF5BE5" w:rsidRPr="00532994" w:rsidTr="003444E8">
        <w:tc>
          <w:tcPr>
            <w:tcW w:w="9245" w:type="dxa"/>
            <w:shd w:val="clear" w:color="auto" w:fill="auto"/>
          </w:tcPr>
          <w:p w:rsidR="00FF5BE5" w:rsidRPr="00532994" w:rsidRDefault="00FF5BE5" w:rsidP="003444E8">
            <w:pPr>
              <w:spacing w:line="360" w:lineRule="auto"/>
              <w:jc w:val="both"/>
              <w:rPr>
                <w:rFonts w:ascii="Times New Roman" w:eastAsia="Times New Roman" w:hAnsi="Times New Roman" w:cs="Times New Roman"/>
                <w:sz w:val="22"/>
              </w:rPr>
            </w:pPr>
            <w:r w:rsidRPr="00532994">
              <w:rPr>
                <w:rFonts w:ascii="Times New Roman" w:hAnsi="Times New Roman" w:cs="Times New Roman"/>
                <w:b/>
                <w:sz w:val="22"/>
              </w:rPr>
              <w:t>Question 13</w:t>
            </w:r>
            <w:r w:rsidRPr="00532994">
              <w:rPr>
                <w:rFonts w:ascii="Times New Roman" w:hAnsi="Times New Roman" w:cs="Times New Roman"/>
                <w:b/>
                <w:sz w:val="22"/>
              </w:rPr>
              <w:tab/>
            </w:r>
            <w:r w:rsidRPr="00532994">
              <w:rPr>
                <w:rFonts w:ascii="Times New Roman" w:hAnsi="Times New Roman" w:cs="Times New Roman"/>
                <w:sz w:val="22"/>
              </w:rPr>
              <w:tab/>
              <w:t>What evidence exists of elder abuse committed in aged care, including in residential, home and flexible</w:t>
            </w:r>
            <w:r w:rsidRPr="00532994">
              <w:rPr>
                <w:rFonts w:ascii="Times New Roman" w:hAnsi="Times New Roman" w:cs="Times New Roman"/>
                <w:sz w:val="22"/>
                <w:shd w:val="clear" w:color="auto" w:fill="F4FBFF"/>
              </w:rPr>
              <w:t xml:space="preserve"> </w:t>
            </w:r>
            <w:r w:rsidRPr="00532994">
              <w:rPr>
                <w:rFonts w:ascii="Times New Roman" w:hAnsi="Times New Roman" w:cs="Times New Roman"/>
                <w:sz w:val="22"/>
              </w:rPr>
              <w:t>care settings?</w:t>
            </w:r>
          </w:p>
        </w:tc>
      </w:tr>
    </w:tbl>
    <w:p w:rsidR="00FF5BE5" w:rsidRPr="00532994" w:rsidRDefault="00FF5BE5" w:rsidP="003444E8">
      <w:pPr>
        <w:spacing w:line="360" w:lineRule="auto"/>
        <w:rPr>
          <w:rFonts w:ascii="Times New Roman" w:hAnsi="Times New Roman" w:cs="Times New Roman"/>
          <w:b/>
          <w:sz w:val="22"/>
          <w:shd w:val="clear" w:color="auto" w:fill="F4FBFF"/>
        </w:rPr>
      </w:pPr>
    </w:p>
    <w:p w:rsidR="00FF5BE5" w:rsidRPr="00532994" w:rsidRDefault="00FF5BE5" w:rsidP="003444E8">
      <w:pPr>
        <w:spacing w:line="360" w:lineRule="auto"/>
        <w:jc w:val="center"/>
        <w:rPr>
          <w:rFonts w:ascii="Times New Roman" w:hAnsi="Times New Roman" w:cs="Times New Roman"/>
          <w:b/>
          <w:shd w:val="clear" w:color="auto" w:fill="F4FBFF"/>
        </w:rPr>
      </w:pPr>
      <w:r w:rsidRPr="00532994">
        <w:rPr>
          <w:rFonts w:ascii="Times New Roman" w:hAnsi="Times New Roman" w:cs="Times New Roman"/>
          <w:b/>
        </w:rPr>
        <w:t>A</w:t>
      </w:r>
      <w:r w:rsidRPr="00532994">
        <w:rPr>
          <w:rFonts w:ascii="Times New Roman" w:hAnsi="Times New Roman" w:cs="Times New Roman"/>
          <w:b/>
        </w:rPr>
        <w:tab/>
        <w:t>Defining Elder Abuse</w:t>
      </w:r>
    </w:p>
    <w:p w:rsidR="00FF5BE5" w:rsidRPr="00532994" w:rsidRDefault="00FF5BE5" w:rsidP="003444E8">
      <w:pPr>
        <w:spacing w:line="360" w:lineRule="auto"/>
        <w:jc w:val="center"/>
        <w:rPr>
          <w:rFonts w:ascii="Times New Roman" w:hAnsi="Times New Roman" w:cs="Times New Roman"/>
          <w:b/>
          <w:sz w:val="22"/>
        </w:rPr>
      </w:pPr>
    </w:p>
    <w:p w:rsidR="00FF5BE5" w:rsidRPr="00532994" w:rsidRDefault="00FF5BE5" w:rsidP="003444E8">
      <w:pPr>
        <w:spacing w:line="360" w:lineRule="auto"/>
        <w:jc w:val="both"/>
        <w:rPr>
          <w:rFonts w:ascii="Times New Roman" w:hAnsi="Times New Roman" w:cs="Times New Roman"/>
          <w:sz w:val="22"/>
        </w:rPr>
      </w:pPr>
      <w:r w:rsidRPr="00532994">
        <w:rPr>
          <w:rFonts w:ascii="Times New Roman" w:eastAsia="Times New Roman" w:hAnsi="Times New Roman" w:cs="Times New Roman"/>
          <w:sz w:val="22"/>
        </w:rPr>
        <w:t>The first issue that arises in assessing evidence of elder abuse committed in aged care, both in residential and institutional settings, is defining elder abuse in such settings. One general</w:t>
      </w:r>
      <w:r w:rsidR="00985CA3">
        <w:rPr>
          <w:rFonts w:ascii="Times New Roman" w:eastAsia="Times New Roman" w:hAnsi="Times New Roman" w:cs="Times New Roman"/>
          <w:sz w:val="22"/>
        </w:rPr>
        <w:t>ly</w:t>
      </w:r>
      <w:r w:rsidRPr="00532994">
        <w:rPr>
          <w:rFonts w:ascii="Times New Roman" w:eastAsia="Times New Roman" w:hAnsi="Times New Roman" w:cs="Times New Roman"/>
          <w:sz w:val="22"/>
        </w:rPr>
        <w:t xml:space="preserve"> accepted definition of elder abuse is intentional or unintentional acts or omissions, which can be physical, psychological and financial in nature, that result in the ‘unnecessary suffering, injury or pain, the loss or violation of human rights, and a decreased quality of life for the older person’.</w:t>
      </w:r>
      <w:r w:rsidRPr="00532994">
        <w:rPr>
          <w:rFonts w:ascii="Times New Roman" w:eastAsia="Times New Roman" w:hAnsi="Times New Roman" w:cs="Times New Roman"/>
          <w:sz w:val="22"/>
          <w:vertAlign w:val="superscript"/>
        </w:rPr>
        <w:footnoteReference w:id="28"/>
      </w:r>
      <w:r w:rsidRPr="00532994">
        <w:rPr>
          <w:rFonts w:ascii="Times New Roman" w:eastAsia="Times New Roman" w:hAnsi="Times New Roman" w:cs="Times New Roman"/>
          <w:sz w:val="22"/>
        </w:rPr>
        <w:t xml:space="preserve"> The World Health Organisation, influenced by the work of governments and international bodies, has broadened the definition to: </w:t>
      </w:r>
    </w:p>
    <w:p w:rsidR="00FF5BE5" w:rsidRPr="00532994" w:rsidRDefault="00FF5BE5" w:rsidP="003444E8">
      <w:pPr>
        <w:spacing w:line="360" w:lineRule="auto"/>
        <w:jc w:val="both"/>
        <w:rPr>
          <w:rFonts w:ascii="Times New Roman" w:hAnsi="Times New Roman" w:cs="Times New Roman"/>
          <w:sz w:val="22"/>
        </w:rPr>
      </w:pPr>
    </w:p>
    <w:p w:rsidR="00FF5BE5" w:rsidRPr="00532994" w:rsidRDefault="00FF5BE5" w:rsidP="003444E8">
      <w:pPr>
        <w:spacing w:line="360" w:lineRule="auto"/>
        <w:ind w:left="567"/>
        <w:jc w:val="both"/>
        <w:rPr>
          <w:rFonts w:ascii="Times New Roman" w:hAnsi="Times New Roman" w:cs="Times New Roman"/>
          <w:sz w:val="20"/>
        </w:rPr>
      </w:pPr>
      <w:proofErr w:type="gramStart"/>
      <w:r w:rsidRPr="00532994">
        <w:rPr>
          <w:rFonts w:ascii="Times New Roman" w:eastAsia="Times New Roman" w:hAnsi="Times New Roman" w:cs="Times New Roman"/>
          <w:sz w:val="20"/>
        </w:rPr>
        <w:t>a</w:t>
      </w:r>
      <w:proofErr w:type="gramEnd"/>
      <w:r w:rsidRPr="00532994">
        <w:rPr>
          <w:rFonts w:ascii="Times New Roman" w:eastAsia="Times New Roman" w:hAnsi="Times New Roman" w:cs="Times New Roman"/>
          <w:sz w:val="20"/>
        </w:rPr>
        <w:t xml:space="preserve"> single or repeated act, or lack of appropriate action, occurring within any relationship where there is an expectation of trust which causes harm or distress to an older person. This type of violence constitutes a violation of human rights and includes physical, sexual, psychological, emotional, financial and material abuse; abandonment; neglect and serious loss of dignity and respect.</w:t>
      </w:r>
      <w:r w:rsidRPr="00532994">
        <w:rPr>
          <w:rFonts w:ascii="Times New Roman" w:eastAsia="Times New Roman" w:hAnsi="Times New Roman" w:cs="Times New Roman"/>
          <w:sz w:val="20"/>
          <w:vertAlign w:val="superscript"/>
        </w:rPr>
        <w:footnoteReference w:id="29"/>
      </w:r>
      <w:r w:rsidRPr="00532994">
        <w:rPr>
          <w:rFonts w:ascii="Times New Roman" w:eastAsia="Times New Roman" w:hAnsi="Times New Roman" w:cs="Times New Roman"/>
          <w:sz w:val="20"/>
        </w:rPr>
        <w:t xml:space="preserve"> </w:t>
      </w:r>
    </w:p>
    <w:p w:rsidR="00FF5BE5" w:rsidRPr="00532994" w:rsidRDefault="00FF5BE5" w:rsidP="003444E8">
      <w:pPr>
        <w:spacing w:line="360" w:lineRule="auto"/>
        <w:ind w:left="720"/>
        <w:jc w:val="both"/>
        <w:rPr>
          <w:rFonts w:ascii="Times New Roman" w:hAnsi="Times New Roman" w:cs="Times New Roman"/>
          <w:sz w:val="22"/>
        </w:rPr>
      </w:pPr>
    </w:p>
    <w:p w:rsidR="00FF5BE5" w:rsidRPr="00532994" w:rsidRDefault="00FF5BE5" w:rsidP="003444E8">
      <w:pPr>
        <w:spacing w:line="360" w:lineRule="auto"/>
        <w:jc w:val="both"/>
        <w:rPr>
          <w:rFonts w:ascii="Times New Roman" w:eastAsia="Times New Roman" w:hAnsi="Times New Roman" w:cs="Times New Roman"/>
          <w:sz w:val="22"/>
        </w:rPr>
      </w:pPr>
      <w:r w:rsidRPr="00532994">
        <w:rPr>
          <w:rFonts w:ascii="Times New Roman" w:eastAsia="Times New Roman" w:hAnsi="Times New Roman" w:cs="Times New Roman"/>
          <w:sz w:val="22"/>
        </w:rPr>
        <w:t>Such a broad definition places age and the experience of ageing at the forefront in identifying instances of elder abuse, and, as the South Australian Aged Rights Advocacy Service observes, covers a variety of practices beyond those regulated by the criminal law.</w:t>
      </w:r>
      <w:r w:rsidRPr="00532994">
        <w:rPr>
          <w:rFonts w:ascii="Times New Roman" w:eastAsia="Times New Roman" w:hAnsi="Times New Roman" w:cs="Times New Roman"/>
          <w:sz w:val="22"/>
          <w:vertAlign w:val="superscript"/>
        </w:rPr>
        <w:footnoteReference w:id="30"/>
      </w:r>
      <w:r w:rsidR="00AE5A69">
        <w:rPr>
          <w:rFonts w:ascii="Times New Roman" w:eastAsia="Times New Roman" w:hAnsi="Times New Roman" w:cs="Times New Roman"/>
          <w:sz w:val="22"/>
        </w:rPr>
        <w:t xml:space="preserve"> </w:t>
      </w:r>
    </w:p>
    <w:p w:rsidR="00FF5BE5" w:rsidRPr="00532994" w:rsidRDefault="00FF5BE5" w:rsidP="003444E8">
      <w:pPr>
        <w:spacing w:line="360" w:lineRule="auto"/>
        <w:jc w:val="both"/>
        <w:rPr>
          <w:rFonts w:ascii="Times New Roman" w:eastAsia="Times New Roman" w:hAnsi="Times New Roman" w:cs="Times New Roman"/>
          <w:sz w:val="22"/>
        </w:rPr>
      </w:pPr>
    </w:p>
    <w:p w:rsidR="00FF5BE5" w:rsidRPr="00532994" w:rsidRDefault="00FF5BE5" w:rsidP="003444E8">
      <w:pPr>
        <w:spacing w:line="360" w:lineRule="auto"/>
        <w:jc w:val="center"/>
        <w:rPr>
          <w:rFonts w:ascii="Times New Roman" w:eastAsia="Times New Roman" w:hAnsi="Times New Roman" w:cs="Times New Roman"/>
          <w:b/>
        </w:rPr>
      </w:pPr>
      <w:r w:rsidRPr="00532994">
        <w:rPr>
          <w:rFonts w:ascii="Times New Roman" w:eastAsia="Times New Roman" w:hAnsi="Times New Roman" w:cs="Times New Roman"/>
          <w:b/>
        </w:rPr>
        <w:t>B</w:t>
      </w:r>
      <w:r w:rsidRPr="00532994">
        <w:rPr>
          <w:rFonts w:ascii="Times New Roman" w:eastAsia="Times New Roman" w:hAnsi="Times New Roman" w:cs="Times New Roman"/>
          <w:b/>
        </w:rPr>
        <w:tab/>
        <w:t>Expanding the Definition of ‘Reportable Assaults’</w:t>
      </w:r>
    </w:p>
    <w:p w:rsidR="00FF5BE5" w:rsidRPr="00532994" w:rsidRDefault="00FF5BE5" w:rsidP="003444E8">
      <w:pPr>
        <w:spacing w:line="360" w:lineRule="auto"/>
        <w:jc w:val="both"/>
        <w:rPr>
          <w:rFonts w:ascii="Times New Roman" w:eastAsia="Times New Roman" w:hAnsi="Times New Roman" w:cs="Times New Roman"/>
          <w:sz w:val="22"/>
        </w:rPr>
      </w:pPr>
    </w:p>
    <w:p w:rsidR="00FF5BE5" w:rsidRPr="00532994" w:rsidRDefault="00FF5BE5" w:rsidP="003444E8">
      <w:pPr>
        <w:spacing w:line="360" w:lineRule="auto"/>
        <w:jc w:val="both"/>
        <w:rPr>
          <w:rFonts w:ascii="Times New Roman" w:eastAsia="Times New Roman" w:hAnsi="Times New Roman" w:cs="Times New Roman"/>
          <w:sz w:val="22"/>
        </w:rPr>
      </w:pPr>
      <w:r w:rsidRPr="00532994">
        <w:rPr>
          <w:rFonts w:ascii="Times New Roman" w:hAnsi="Times New Roman" w:cs="Times New Roman"/>
          <w:sz w:val="22"/>
        </w:rPr>
        <w:t xml:space="preserve">In the Australian context, the aged care sector is regulated by the </w:t>
      </w:r>
      <w:r w:rsidRPr="00532994">
        <w:rPr>
          <w:rFonts w:ascii="Times New Roman" w:hAnsi="Times New Roman" w:cs="Times New Roman"/>
          <w:i/>
          <w:sz w:val="22"/>
        </w:rPr>
        <w:t xml:space="preserve">Aged Care Act 1997 </w:t>
      </w:r>
      <w:r w:rsidRPr="00532994">
        <w:rPr>
          <w:rFonts w:ascii="Times New Roman" w:hAnsi="Times New Roman" w:cs="Times New Roman"/>
          <w:sz w:val="22"/>
        </w:rPr>
        <w:t>(</w:t>
      </w:r>
      <w:proofErr w:type="spellStart"/>
      <w:r w:rsidRPr="00532994">
        <w:rPr>
          <w:rFonts w:ascii="Times New Roman" w:hAnsi="Times New Roman" w:cs="Times New Roman"/>
          <w:sz w:val="22"/>
        </w:rPr>
        <w:t>Cth</w:t>
      </w:r>
      <w:proofErr w:type="spellEnd"/>
      <w:r w:rsidRPr="00532994">
        <w:rPr>
          <w:rFonts w:ascii="Times New Roman" w:hAnsi="Times New Roman" w:cs="Times New Roman"/>
          <w:sz w:val="22"/>
        </w:rPr>
        <w:t>). The Act prescribes responsibilities to approved service providers in institutional, home and flexible care settings.</w:t>
      </w:r>
      <w:r w:rsidRPr="00532994">
        <w:rPr>
          <w:rFonts w:ascii="Times New Roman" w:hAnsi="Times New Roman" w:cs="Times New Roman"/>
          <w:b/>
          <w:sz w:val="22"/>
        </w:rPr>
        <w:t xml:space="preserve"> </w:t>
      </w:r>
      <w:r w:rsidRPr="00532994">
        <w:rPr>
          <w:rFonts w:ascii="Times New Roman" w:eastAsia="Times New Roman" w:hAnsi="Times New Roman" w:cs="Times New Roman"/>
          <w:sz w:val="22"/>
        </w:rPr>
        <w:t xml:space="preserve">It recognises elder abuse on principally two levels. The first is in residential care settings </w:t>
      </w:r>
      <w:r w:rsidRPr="00532994">
        <w:rPr>
          <w:rFonts w:ascii="Times New Roman" w:eastAsia="Times New Roman" w:hAnsi="Times New Roman" w:cs="Times New Roman"/>
          <w:sz w:val="22"/>
        </w:rPr>
        <w:lastRenderedPageBreak/>
        <w:t>explicitly through ‘reportable assaults’ in section 63-1AA. The second is through a list of obligations owed by aged care providers.</w:t>
      </w:r>
      <w:r w:rsidRPr="00532994">
        <w:rPr>
          <w:rStyle w:val="FootnoteReference"/>
          <w:rFonts w:ascii="Times New Roman" w:eastAsia="Times New Roman" w:hAnsi="Times New Roman" w:cs="Times New Roman"/>
          <w:sz w:val="22"/>
        </w:rPr>
        <w:footnoteReference w:id="31"/>
      </w:r>
      <w:r w:rsidRPr="00532994">
        <w:rPr>
          <w:rFonts w:ascii="Times New Roman" w:eastAsia="Times New Roman" w:hAnsi="Times New Roman" w:cs="Times New Roman"/>
          <w:sz w:val="22"/>
        </w:rPr>
        <w:t xml:space="preserve"> </w:t>
      </w:r>
    </w:p>
    <w:p w:rsidR="00FF5BE5" w:rsidRPr="00532994" w:rsidRDefault="00FF5BE5" w:rsidP="003444E8">
      <w:pPr>
        <w:spacing w:line="360" w:lineRule="auto"/>
        <w:jc w:val="both"/>
        <w:rPr>
          <w:rFonts w:ascii="Times New Roman" w:eastAsia="Times New Roman" w:hAnsi="Times New Roman" w:cs="Times New Roman"/>
          <w:sz w:val="22"/>
        </w:rPr>
      </w:pPr>
    </w:p>
    <w:p w:rsidR="00FF5BE5" w:rsidRPr="00532994" w:rsidRDefault="00FF5BE5" w:rsidP="003444E8">
      <w:pPr>
        <w:spacing w:line="360" w:lineRule="auto"/>
        <w:jc w:val="both"/>
        <w:rPr>
          <w:rFonts w:ascii="Times New Roman" w:hAnsi="Times New Roman" w:cs="Times New Roman"/>
          <w:sz w:val="22"/>
        </w:rPr>
      </w:pPr>
      <w:r w:rsidRPr="00532994">
        <w:rPr>
          <w:rFonts w:ascii="Times New Roman" w:eastAsia="Times New Roman" w:hAnsi="Times New Roman" w:cs="Times New Roman"/>
          <w:sz w:val="22"/>
        </w:rPr>
        <w:t xml:space="preserve">Reportable assaults are defined in the Act as: </w:t>
      </w:r>
    </w:p>
    <w:p w:rsidR="00FF5BE5" w:rsidRPr="00532994" w:rsidRDefault="00FF5BE5" w:rsidP="003444E8">
      <w:pPr>
        <w:spacing w:line="360" w:lineRule="auto"/>
        <w:jc w:val="both"/>
        <w:rPr>
          <w:rFonts w:ascii="Times New Roman" w:hAnsi="Times New Roman" w:cs="Times New Roman"/>
          <w:sz w:val="22"/>
        </w:rPr>
      </w:pPr>
    </w:p>
    <w:p w:rsidR="00FF5BE5" w:rsidRPr="00532994" w:rsidRDefault="00FF5BE5" w:rsidP="0069737C">
      <w:pPr>
        <w:spacing w:line="360" w:lineRule="auto"/>
        <w:ind w:left="567" w:right="-52"/>
        <w:jc w:val="both"/>
        <w:rPr>
          <w:rFonts w:ascii="Times New Roman" w:hAnsi="Times New Roman" w:cs="Times New Roman"/>
          <w:sz w:val="20"/>
        </w:rPr>
      </w:pPr>
      <w:r w:rsidRPr="00532994">
        <w:rPr>
          <w:rFonts w:ascii="Times New Roman" w:eastAsia="Times New Roman" w:hAnsi="Times New Roman" w:cs="Times New Roman"/>
          <w:sz w:val="20"/>
        </w:rPr>
        <w:t>unlawful sexual contact, unreasonable use of force, or assault specified in the Accountability Principles and constituting an offence against a law of the Commonwealth or a State or Territory, that is inflicted on a person when:</w:t>
      </w:r>
    </w:p>
    <w:p w:rsidR="00FF5BE5" w:rsidRPr="00532994" w:rsidRDefault="00FF5BE5" w:rsidP="0069737C">
      <w:pPr>
        <w:pStyle w:val="ListParagraph"/>
        <w:numPr>
          <w:ilvl w:val="0"/>
          <w:numId w:val="12"/>
        </w:numPr>
        <w:spacing w:line="360" w:lineRule="auto"/>
        <w:ind w:left="1134" w:right="-52" w:hanging="567"/>
        <w:jc w:val="both"/>
        <w:rPr>
          <w:rFonts w:ascii="Times New Roman" w:eastAsia="Times New Roman" w:hAnsi="Times New Roman" w:cs="Times New Roman"/>
          <w:sz w:val="20"/>
        </w:rPr>
      </w:pPr>
      <w:r w:rsidRPr="00532994">
        <w:rPr>
          <w:rFonts w:ascii="Times New Roman" w:eastAsia="Times New Roman" w:hAnsi="Times New Roman" w:cs="Times New Roman"/>
          <w:sz w:val="20"/>
        </w:rPr>
        <w:t>the person is receiving residential care in respect of which the provider is approved; and</w:t>
      </w:r>
    </w:p>
    <w:p w:rsidR="00FF5BE5" w:rsidRPr="00532994" w:rsidRDefault="00FF5BE5" w:rsidP="0069737C">
      <w:pPr>
        <w:pStyle w:val="ListParagraph"/>
        <w:numPr>
          <w:ilvl w:val="0"/>
          <w:numId w:val="12"/>
        </w:numPr>
        <w:spacing w:line="360" w:lineRule="auto"/>
        <w:ind w:left="1134" w:right="-52" w:hanging="567"/>
        <w:jc w:val="both"/>
        <w:rPr>
          <w:rFonts w:ascii="Times New Roman" w:eastAsia="Times New Roman" w:hAnsi="Times New Roman" w:cs="Times New Roman"/>
          <w:sz w:val="20"/>
        </w:rPr>
      </w:pPr>
      <w:r w:rsidRPr="00532994">
        <w:rPr>
          <w:rFonts w:ascii="Times New Roman" w:eastAsia="Times New Roman" w:hAnsi="Times New Roman" w:cs="Times New Roman"/>
          <w:sz w:val="20"/>
        </w:rPr>
        <w:t>either:</w:t>
      </w:r>
    </w:p>
    <w:p w:rsidR="00FF5BE5" w:rsidRPr="00532994" w:rsidRDefault="00FF5BE5" w:rsidP="0069737C">
      <w:pPr>
        <w:pStyle w:val="ListParagraph"/>
        <w:numPr>
          <w:ilvl w:val="0"/>
          <w:numId w:val="13"/>
        </w:numPr>
        <w:spacing w:line="360" w:lineRule="auto"/>
        <w:ind w:left="1701" w:right="-52" w:hanging="567"/>
        <w:jc w:val="both"/>
        <w:rPr>
          <w:rFonts w:ascii="Times New Roman" w:hAnsi="Times New Roman" w:cs="Times New Roman"/>
          <w:sz w:val="20"/>
        </w:rPr>
      </w:pPr>
      <w:r w:rsidRPr="00532994">
        <w:rPr>
          <w:rFonts w:ascii="Times New Roman" w:eastAsia="Times New Roman" w:hAnsi="Times New Roman" w:cs="Times New Roman"/>
          <w:sz w:val="20"/>
        </w:rPr>
        <w:t>subsidy is payable for provision of the care to the person; or</w:t>
      </w:r>
    </w:p>
    <w:p w:rsidR="00FF5BE5" w:rsidRPr="00532994" w:rsidRDefault="00FF5BE5" w:rsidP="0069737C">
      <w:pPr>
        <w:pStyle w:val="ListParagraph"/>
        <w:numPr>
          <w:ilvl w:val="0"/>
          <w:numId w:val="13"/>
        </w:numPr>
        <w:spacing w:line="360" w:lineRule="auto"/>
        <w:ind w:left="1701" w:right="-52" w:hanging="567"/>
        <w:jc w:val="both"/>
        <w:rPr>
          <w:rFonts w:ascii="Times New Roman" w:hAnsi="Times New Roman" w:cs="Times New Roman"/>
          <w:sz w:val="20"/>
        </w:rPr>
      </w:pPr>
      <w:proofErr w:type="gramStart"/>
      <w:r w:rsidRPr="00532994">
        <w:rPr>
          <w:rFonts w:ascii="Times New Roman" w:eastAsia="Times New Roman" w:hAnsi="Times New Roman" w:cs="Times New Roman"/>
          <w:sz w:val="20"/>
        </w:rPr>
        <w:t>the</w:t>
      </w:r>
      <w:proofErr w:type="gramEnd"/>
      <w:r w:rsidRPr="00532994">
        <w:rPr>
          <w:rFonts w:ascii="Times New Roman" w:eastAsia="Times New Roman" w:hAnsi="Times New Roman" w:cs="Times New Roman"/>
          <w:sz w:val="20"/>
        </w:rPr>
        <w:t xml:space="preserve"> person is approved under Part 2.3 as the recipient of that type of residential care.</w:t>
      </w:r>
      <w:r w:rsidRPr="00532994">
        <w:rPr>
          <w:rFonts w:ascii="Times New Roman" w:hAnsi="Times New Roman" w:cs="Times New Roman"/>
          <w:sz w:val="20"/>
          <w:vertAlign w:val="superscript"/>
        </w:rPr>
        <w:footnoteReference w:id="32"/>
      </w:r>
    </w:p>
    <w:p w:rsidR="00FF5BE5" w:rsidRPr="00532994" w:rsidRDefault="00FF5BE5" w:rsidP="0069737C">
      <w:pPr>
        <w:spacing w:line="360" w:lineRule="auto"/>
        <w:ind w:left="2160" w:right="-52"/>
        <w:jc w:val="both"/>
        <w:rPr>
          <w:rFonts w:ascii="Times New Roman" w:hAnsi="Times New Roman" w:cs="Times New Roman"/>
          <w:sz w:val="22"/>
        </w:rPr>
      </w:pPr>
    </w:p>
    <w:p w:rsidR="00FF5BE5" w:rsidRPr="00532994" w:rsidRDefault="00FF5BE5" w:rsidP="0069737C">
      <w:pPr>
        <w:spacing w:line="360" w:lineRule="auto"/>
        <w:ind w:right="-52"/>
        <w:jc w:val="both"/>
        <w:rPr>
          <w:rFonts w:ascii="Times New Roman" w:eastAsia="Times New Roman" w:hAnsi="Times New Roman" w:cs="Times New Roman"/>
          <w:b/>
          <w:i/>
          <w:sz w:val="22"/>
        </w:rPr>
      </w:pPr>
      <w:r w:rsidRPr="00532994">
        <w:rPr>
          <w:rFonts w:ascii="Times New Roman" w:eastAsia="Times New Roman" w:hAnsi="Times New Roman" w:cs="Times New Roman"/>
          <w:b/>
          <w:sz w:val="22"/>
        </w:rPr>
        <w:t>1</w:t>
      </w:r>
      <w:r w:rsidRPr="00532994">
        <w:rPr>
          <w:rFonts w:ascii="Times New Roman" w:eastAsia="Times New Roman" w:hAnsi="Times New Roman" w:cs="Times New Roman"/>
          <w:b/>
          <w:sz w:val="22"/>
        </w:rPr>
        <w:tab/>
      </w:r>
      <w:r w:rsidRPr="00532994">
        <w:rPr>
          <w:rFonts w:ascii="Times New Roman" w:eastAsia="Times New Roman" w:hAnsi="Times New Roman" w:cs="Times New Roman"/>
          <w:b/>
          <w:i/>
          <w:sz w:val="22"/>
        </w:rPr>
        <w:t>Including Abuse of a Non-sexual or Non-physical Nature</w:t>
      </w:r>
      <w:r w:rsidRPr="00532994">
        <w:rPr>
          <w:rFonts w:ascii="Times New Roman" w:eastAsia="Times New Roman" w:hAnsi="Times New Roman" w:cs="Times New Roman"/>
          <w:b/>
          <w:sz w:val="22"/>
        </w:rPr>
        <w:tab/>
      </w:r>
    </w:p>
    <w:p w:rsidR="00FF5BE5" w:rsidRPr="00532994" w:rsidRDefault="00FF5BE5" w:rsidP="0069737C">
      <w:pPr>
        <w:spacing w:line="360" w:lineRule="auto"/>
        <w:ind w:right="-52"/>
        <w:jc w:val="both"/>
        <w:rPr>
          <w:rFonts w:ascii="Times New Roman" w:eastAsia="Times New Roman" w:hAnsi="Times New Roman" w:cs="Times New Roman"/>
          <w:sz w:val="22"/>
        </w:rPr>
      </w:pPr>
    </w:p>
    <w:p w:rsidR="00FF5BE5" w:rsidRPr="00532994" w:rsidRDefault="00FF5BE5" w:rsidP="0069737C">
      <w:pPr>
        <w:spacing w:line="360" w:lineRule="auto"/>
        <w:ind w:right="-52"/>
        <w:jc w:val="both"/>
        <w:rPr>
          <w:rFonts w:ascii="Times New Roman" w:eastAsia="Times New Roman" w:hAnsi="Times New Roman" w:cs="Times New Roman"/>
          <w:sz w:val="22"/>
        </w:rPr>
      </w:pPr>
      <w:r w:rsidRPr="00532994">
        <w:rPr>
          <w:rFonts w:ascii="Times New Roman" w:eastAsia="Times New Roman" w:hAnsi="Times New Roman" w:cs="Times New Roman"/>
          <w:sz w:val="22"/>
        </w:rPr>
        <w:t>Section 63-1AA only makes reporting a mandatory requirement for instances of abuse of a serious sexual or physical nature.</w:t>
      </w:r>
      <w:r w:rsidRPr="00532994">
        <w:rPr>
          <w:rStyle w:val="FootnoteReference"/>
          <w:rFonts w:ascii="Times New Roman" w:eastAsia="Times New Roman" w:hAnsi="Times New Roman" w:cs="Times New Roman"/>
          <w:sz w:val="22"/>
        </w:rPr>
        <w:footnoteReference w:id="33"/>
      </w:r>
      <w:r w:rsidRPr="00532994">
        <w:rPr>
          <w:rFonts w:ascii="Times New Roman" w:eastAsia="Times New Roman" w:hAnsi="Times New Roman" w:cs="Times New Roman"/>
          <w:sz w:val="22"/>
        </w:rPr>
        <w:t xml:space="preserve"> As stated earlier, globally accepted definitions of elder abuse recognise that it includes a host of practices which are detrimental to recipients of aged care. This includes financial abuse, differential treatment, wilful or unintentional neglect, poor practice, bullying and psychological abuse. We submit that the mandatory reporting obligation should be extended to the broader range of serious abuses of a non-sexual or non-physical nature. </w:t>
      </w:r>
    </w:p>
    <w:p w:rsidR="00FF5BE5" w:rsidRPr="00532994" w:rsidRDefault="00FF5BE5" w:rsidP="0069737C">
      <w:pPr>
        <w:spacing w:line="360" w:lineRule="auto"/>
        <w:ind w:right="-52"/>
        <w:jc w:val="both"/>
        <w:rPr>
          <w:rFonts w:ascii="Times New Roman" w:hAnsi="Times New Roman" w:cs="Times New Roman"/>
          <w:sz w:val="22"/>
        </w:rPr>
      </w:pPr>
    </w:p>
    <w:p w:rsidR="00FF5BE5" w:rsidRPr="00532994" w:rsidRDefault="00FF5BE5" w:rsidP="0069737C">
      <w:pPr>
        <w:spacing w:line="360" w:lineRule="auto"/>
        <w:ind w:right="-52"/>
        <w:jc w:val="both"/>
        <w:rPr>
          <w:rFonts w:ascii="Times New Roman" w:eastAsia="Times New Roman" w:hAnsi="Times New Roman" w:cs="Times New Roman"/>
          <w:b/>
          <w:i/>
          <w:sz w:val="22"/>
        </w:rPr>
      </w:pPr>
      <w:r w:rsidRPr="00532994">
        <w:rPr>
          <w:rFonts w:ascii="Times New Roman" w:eastAsia="Times New Roman" w:hAnsi="Times New Roman" w:cs="Times New Roman"/>
          <w:b/>
          <w:sz w:val="22"/>
        </w:rPr>
        <w:t>2</w:t>
      </w:r>
      <w:r w:rsidRPr="00532994">
        <w:rPr>
          <w:rFonts w:ascii="Times New Roman" w:eastAsia="Times New Roman" w:hAnsi="Times New Roman" w:cs="Times New Roman"/>
          <w:b/>
          <w:sz w:val="22"/>
        </w:rPr>
        <w:tab/>
      </w:r>
      <w:r w:rsidRPr="00532994">
        <w:rPr>
          <w:rFonts w:ascii="Times New Roman" w:eastAsia="Times New Roman" w:hAnsi="Times New Roman" w:cs="Times New Roman"/>
          <w:b/>
          <w:i/>
          <w:sz w:val="22"/>
        </w:rPr>
        <w:t>Including</w:t>
      </w:r>
      <w:r w:rsidRPr="00532994">
        <w:rPr>
          <w:rFonts w:ascii="Times New Roman" w:eastAsia="Times New Roman" w:hAnsi="Times New Roman" w:cs="Times New Roman"/>
          <w:i/>
          <w:sz w:val="22"/>
        </w:rPr>
        <w:t xml:space="preserve"> </w:t>
      </w:r>
      <w:r w:rsidRPr="00532994">
        <w:rPr>
          <w:rFonts w:ascii="Times New Roman" w:eastAsia="Times New Roman" w:hAnsi="Times New Roman" w:cs="Times New Roman"/>
          <w:b/>
          <w:i/>
          <w:sz w:val="22"/>
        </w:rPr>
        <w:t>Abuse</w:t>
      </w:r>
      <w:r w:rsidRPr="00532994">
        <w:rPr>
          <w:rFonts w:ascii="Times New Roman" w:eastAsia="Times New Roman" w:hAnsi="Times New Roman" w:cs="Times New Roman"/>
          <w:i/>
          <w:sz w:val="22"/>
        </w:rPr>
        <w:t xml:space="preserve"> </w:t>
      </w:r>
      <w:r w:rsidRPr="00532994">
        <w:rPr>
          <w:rFonts w:ascii="Times New Roman" w:eastAsia="Times New Roman" w:hAnsi="Times New Roman" w:cs="Times New Roman"/>
          <w:b/>
          <w:i/>
          <w:sz w:val="22"/>
        </w:rPr>
        <w:t>in Non-residential Settings</w:t>
      </w:r>
    </w:p>
    <w:p w:rsidR="00FF5BE5" w:rsidRPr="00532994" w:rsidRDefault="00FF5BE5" w:rsidP="0069737C">
      <w:pPr>
        <w:spacing w:line="360" w:lineRule="auto"/>
        <w:ind w:right="-52"/>
        <w:jc w:val="both"/>
        <w:rPr>
          <w:rFonts w:ascii="Times New Roman" w:eastAsia="Times New Roman" w:hAnsi="Times New Roman" w:cs="Times New Roman"/>
          <w:b/>
          <w:i/>
          <w:sz w:val="22"/>
        </w:rPr>
      </w:pPr>
    </w:p>
    <w:p w:rsidR="00D91AA7" w:rsidRPr="00532994" w:rsidRDefault="00FF5BE5" w:rsidP="0069737C">
      <w:pPr>
        <w:spacing w:line="360" w:lineRule="auto"/>
        <w:ind w:right="-52"/>
        <w:jc w:val="both"/>
        <w:rPr>
          <w:rFonts w:ascii="Times New Roman" w:hAnsi="Times New Roman" w:cs="Times New Roman"/>
          <w:sz w:val="48"/>
          <w:szCs w:val="48"/>
        </w:rPr>
      </w:pPr>
      <w:r w:rsidRPr="00532994">
        <w:rPr>
          <w:rFonts w:ascii="Times New Roman" w:eastAsia="Times New Roman" w:hAnsi="Times New Roman" w:cs="Times New Roman"/>
          <w:sz w:val="22"/>
        </w:rPr>
        <w:t>Secondly section 63-1AA deals with instances of assault in residential care. This effectively means that aged care providers in home based or flexible care settings are not subject to the mandatory reporting requirements. This is concerning</w:t>
      </w:r>
      <w:r w:rsidR="00AE5A69">
        <w:rPr>
          <w:rFonts w:ascii="Times New Roman" w:eastAsia="Times New Roman" w:hAnsi="Times New Roman" w:cs="Times New Roman"/>
          <w:b/>
          <w:sz w:val="22"/>
        </w:rPr>
        <w:t xml:space="preserve"> </w:t>
      </w:r>
      <w:r w:rsidRPr="00532994">
        <w:rPr>
          <w:rFonts w:ascii="Times New Roman" w:eastAsia="Times New Roman" w:hAnsi="Times New Roman" w:cs="Times New Roman"/>
          <w:sz w:val="22"/>
        </w:rPr>
        <w:t>as it drastically reduces the accountability of an entire subset of staff members, volunteers or key personnel of aged care providers that do not fall within residential care. We submit that there appears to be no principled reason for exempting home-based or flexible care providers from mandatory reporting obligations.</w:t>
      </w:r>
      <w:r w:rsidR="00D91AA7" w:rsidRPr="00532994">
        <w:rPr>
          <w:rFonts w:ascii="Times New Roman" w:hAnsi="Times New Roman" w:cs="Times New Roman"/>
          <w:sz w:val="48"/>
          <w:szCs w:val="48"/>
        </w:rPr>
        <w:br w:type="page"/>
      </w:r>
    </w:p>
    <w:p w:rsidR="000F1397" w:rsidRPr="00532994" w:rsidRDefault="00FF5BE5" w:rsidP="003444E8">
      <w:pPr>
        <w:spacing w:line="360" w:lineRule="auto"/>
        <w:jc w:val="center"/>
        <w:rPr>
          <w:rFonts w:ascii="Times New Roman" w:hAnsi="Times New Roman" w:cs="Times New Roman"/>
          <w:sz w:val="48"/>
          <w:szCs w:val="48"/>
        </w:rPr>
      </w:pPr>
      <w:r w:rsidRPr="00532994">
        <w:rPr>
          <w:rFonts w:ascii="Times New Roman" w:hAnsi="Times New Roman" w:cs="Times New Roman"/>
          <w:sz w:val="48"/>
          <w:szCs w:val="48"/>
        </w:rPr>
        <w:lastRenderedPageBreak/>
        <w:t>Financial Institutions</w:t>
      </w:r>
    </w:p>
    <w:p w:rsidR="00FF5BE5" w:rsidRPr="00532994" w:rsidRDefault="00FF5BE5" w:rsidP="003444E8">
      <w:pPr>
        <w:spacing w:line="360" w:lineRule="auto"/>
        <w:jc w:val="center"/>
        <w:rPr>
          <w:rFonts w:ascii="Times New Roman" w:hAnsi="Times New Roman" w:cs="Times New Roman"/>
          <w:sz w:val="22"/>
          <w:szCs w:val="48"/>
        </w:rPr>
      </w:pPr>
    </w:p>
    <w:tbl>
      <w:tblPr>
        <w:tblStyle w:val="TableGrid"/>
        <w:tblW w:w="0" w:type="auto"/>
        <w:tblLook w:val="04A0"/>
      </w:tblPr>
      <w:tblGrid>
        <w:gridCol w:w="9180"/>
      </w:tblGrid>
      <w:tr w:rsidR="00532994" w:rsidRPr="00532994" w:rsidTr="00A331BC">
        <w:tc>
          <w:tcPr>
            <w:tcW w:w="9180" w:type="dxa"/>
          </w:tcPr>
          <w:p w:rsidR="00FA53F1" w:rsidRPr="00532994" w:rsidRDefault="00FA53F1" w:rsidP="003444E8">
            <w:pPr>
              <w:spacing w:line="360" w:lineRule="auto"/>
              <w:rPr>
                <w:rFonts w:ascii="Times New Roman" w:hAnsi="Times New Roman" w:cs="Times New Roman"/>
                <w:sz w:val="22"/>
                <w:szCs w:val="48"/>
              </w:rPr>
            </w:pPr>
            <w:r w:rsidRPr="00532994">
              <w:rPr>
                <w:rFonts w:ascii="Times New Roman" w:hAnsi="Times New Roman" w:cs="Times New Roman"/>
                <w:b/>
                <w:bCs/>
                <w:sz w:val="22"/>
                <w:szCs w:val="48"/>
              </w:rPr>
              <w:t xml:space="preserve">Question 26 </w:t>
            </w:r>
            <w:r w:rsidRPr="00532994">
              <w:rPr>
                <w:rFonts w:ascii="Times New Roman" w:hAnsi="Times New Roman" w:cs="Times New Roman"/>
                <w:b/>
                <w:bCs/>
                <w:sz w:val="22"/>
                <w:szCs w:val="48"/>
              </w:rPr>
              <w:tab/>
            </w:r>
            <w:r w:rsidRPr="00532994">
              <w:rPr>
                <w:rFonts w:ascii="Times New Roman" w:hAnsi="Times New Roman" w:cs="Times New Roman"/>
                <w:b/>
                <w:bCs/>
                <w:sz w:val="22"/>
                <w:szCs w:val="48"/>
              </w:rPr>
              <w:tab/>
            </w:r>
            <w:r w:rsidRPr="00532994">
              <w:rPr>
                <w:rFonts w:ascii="Times New Roman" w:hAnsi="Times New Roman" w:cs="Times New Roman"/>
                <w:sz w:val="22"/>
                <w:szCs w:val="48"/>
              </w:rPr>
              <w:t xml:space="preserve">What changes should be made to the laws and legal frameworks relating to financial institutions to </w:t>
            </w:r>
            <w:proofErr w:type="gramStart"/>
            <w:r w:rsidRPr="00532994">
              <w:rPr>
                <w:rFonts w:ascii="Times New Roman" w:hAnsi="Times New Roman" w:cs="Times New Roman"/>
                <w:sz w:val="22"/>
                <w:szCs w:val="48"/>
              </w:rPr>
              <w:t>identify,</w:t>
            </w:r>
            <w:proofErr w:type="gramEnd"/>
            <w:r w:rsidRPr="00532994">
              <w:rPr>
                <w:rFonts w:ascii="Times New Roman" w:hAnsi="Times New Roman" w:cs="Times New Roman"/>
                <w:sz w:val="22"/>
                <w:szCs w:val="48"/>
              </w:rPr>
              <w:t xml:space="preserve"> improve safeguards against and respond to elder abuse? For example, should reporting requirements be imposed?</w:t>
            </w:r>
          </w:p>
        </w:tc>
      </w:tr>
    </w:tbl>
    <w:p w:rsidR="0034532B" w:rsidRPr="00532994" w:rsidRDefault="0034532B" w:rsidP="003444E8">
      <w:pPr>
        <w:spacing w:line="360" w:lineRule="auto"/>
        <w:rPr>
          <w:rFonts w:ascii="Times New Roman" w:hAnsi="Times New Roman" w:cs="Times New Roman"/>
          <w:sz w:val="22"/>
          <w:szCs w:val="48"/>
        </w:rPr>
      </w:pPr>
    </w:p>
    <w:p w:rsidR="00C463D3" w:rsidRPr="00532994" w:rsidRDefault="00FF5BE5" w:rsidP="003444E8">
      <w:pPr>
        <w:spacing w:line="360" w:lineRule="auto"/>
        <w:jc w:val="center"/>
        <w:rPr>
          <w:rFonts w:ascii="Times New Roman" w:hAnsi="Times New Roman" w:cs="Times New Roman"/>
          <w:b/>
          <w:szCs w:val="30"/>
        </w:rPr>
      </w:pPr>
      <w:proofErr w:type="gramStart"/>
      <w:r w:rsidRPr="00532994">
        <w:rPr>
          <w:rFonts w:ascii="Times New Roman" w:hAnsi="Times New Roman" w:cs="Times New Roman"/>
          <w:b/>
          <w:szCs w:val="30"/>
        </w:rPr>
        <w:t>A</w:t>
      </w:r>
      <w:r w:rsidR="00341C54" w:rsidRPr="00532994">
        <w:rPr>
          <w:rFonts w:ascii="Times New Roman" w:hAnsi="Times New Roman" w:cs="Times New Roman"/>
          <w:b/>
          <w:i/>
          <w:szCs w:val="30"/>
        </w:rPr>
        <w:tab/>
      </w:r>
      <w:r w:rsidR="00B21CBF" w:rsidRPr="00532994">
        <w:rPr>
          <w:rFonts w:ascii="Times New Roman" w:hAnsi="Times New Roman" w:cs="Times New Roman"/>
          <w:b/>
          <w:szCs w:val="30"/>
        </w:rPr>
        <w:t>What</w:t>
      </w:r>
      <w:proofErr w:type="gramEnd"/>
      <w:r w:rsidR="00B21CBF" w:rsidRPr="00532994">
        <w:rPr>
          <w:rFonts w:ascii="Times New Roman" w:hAnsi="Times New Roman" w:cs="Times New Roman"/>
          <w:b/>
          <w:szCs w:val="30"/>
        </w:rPr>
        <w:t xml:space="preserve"> I</w:t>
      </w:r>
      <w:r w:rsidR="009059B7" w:rsidRPr="00532994">
        <w:rPr>
          <w:rFonts w:ascii="Times New Roman" w:hAnsi="Times New Roman" w:cs="Times New Roman"/>
          <w:b/>
          <w:szCs w:val="30"/>
        </w:rPr>
        <w:t>s Financial Elder Abuse?</w:t>
      </w:r>
    </w:p>
    <w:p w:rsidR="00603284" w:rsidRPr="00532994" w:rsidRDefault="00603284" w:rsidP="003444E8">
      <w:pPr>
        <w:spacing w:line="360" w:lineRule="auto"/>
        <w:jc w:val="both"/>
        <w:rPr>
          <w:rFonts w:ascii="Times New Roman" w:hAnsi="Times New Roman" w:cs="Times New Roman"/>
          <w:i/>
          <w:sz w:val="22"/>
          <w:szCs w:val="30"/>
        </w:rPr>
      </w:pPr>
    </w:p>
    <w:p w:rsidR="009059B7" w:rsidRPr="00532994" w:rsidRDefault="009059B7" w:rsidP="003444E8">
      <w:pPr>
        <w:spacing w:line="360" w:lineRule="auto"/>
        <w:jc w:val="both"/>
        <w:rPr>
          <w:rFonts w:ascii="Times New Roman" w:hAnsi="Times New Roman" w:cs="Times New Roman"/>
          <w:sz w:val="22"/>
          <w:szCs w:val="22"/>
        </w:rPr>
      </w:pPr>
      <w:r w:rsidRPr="00532994">
        <w:rPr>
          <w:rFonts w:ascii="Times New Roman" w:hAnsi="Times New Roman" w:cs="Times New Roman"/>
          <w:sz w:val="22"/>
          <w:szCs w:val="22"/>
        </w:rPr>
        <w:t>There is no clear standard to follow in defining financial elder abuse.</w:t>
      </w:r>
    </w:p>
    <w:p w:rsidR="009059B7" w:rsidRPr="00532994" w:rsidRDefault="009059B7" w:rsidP="003444E8">
      <w:pPr>
        <w:spacing w:line="360" w:lineRule="auto"/>
        <w:jc w:val="both"/>
        <w:rPr>
          <w:rFonts w:ascii="Times New Roman" w:hAnsi="Times New Roman" w:cs="Times New Roman"/>
          <w:sz w:val="22"/>
          <w:szCs w:val="22"/>
        </w:rPr>
      </w:pPr>
    </w:p>
    <w:p w:rsidR="009059B7" w:rsidRPr="00532994" w:rsidRDefault="009059B7" w:rsidP="003444E8">
      <w:pPr>
        <w:spacing w:line="360" w:lineRule="auto"/>
        <w:jc w:val="both"/>
        <w:rPr>
          <w:rFonts w:ascii="Times New Roman" w:hAnsi="Times New Roman" w:cs="Times New Roman"/>
          <w:sz w:val="22"/>
          <w:szCs w:val="22"/>
          <w:vertAlign w:val="superscript"/>
        </w:rPr>
      </w:pPr>
      <w:r w:rsidRPr="00532994">
        <w:rPr>
          <w:rFonts w:ascii="Times New Roman" w:hAnsi="Times New Roman" w:cs="Times New Roman"/>
          <w:sz w:val="22"/>
          <w:szCs w:val="22"/>
        </w:rPr>
        <w:t>The World Health Organisation defines financial elder abuse as ‘the illegal or improper exploitation or use of funds or other resources of the older person’.</w:t>
      </w:r>
      <w:r w:rsidRPr="00532994">
        <w:rPr>
          <w:rFonts w:ascii="Times New Roman" w:hAnsi="Times New Roman" w:cs="Times New Roman"/>
          <w:sz w:val="22"/>
          <w:szCs w:val="22"/>
          <w:vertAlign w:val="superscript"/>
        </w:rPr>
        <w:t xml:space="preserve"> </w:t>
      </w:r>
      <w:r w:rsidRPr="00532994">
        <w:rPr>
          <w:rFonts w:ascii="Times New Roman" w:hAnsi="Times New Roman" w:cs="Times New Roman"/>
          <w:sz w:val="22"/>
          <w:szCs w:val="22"/>
          <w:vertAlign w:val="superscript"/>
        </w:rPr>
        <w:footnoteReference w:id="34"/>
      </w:r>
    </w:p>
    <w:p w:rsidR="009059B7" w:rsidRPr="00532994" w:rsidRDefault="009059B7" w:rsidP="003444E8">
      <w:pPr>
        <w:spacing w:line="360" w:lineRule="auto"/>
        <w:jc w:val="both"/>
        <w:rPr>
          <w:rFonts w:ascii="Times New Roman" w:hAnsi="Times New Roman" w:cs="Times New Roman"/>
          <w:sz w:val="22"/>
          <w:szCs w:val="22"/>
        </w:rPr>
      </w:pPr>
    </w:p>
    <w:p w:rsidR="009059B7" w:rsidRPr="00532994" w:rsidRDefault="009059B7" w:rsidP="003444E8">
      <w:pPr>
        <w:spacing w:line="360" w:lineRule="auto"/>
        <w:jc w:val="both"/>
        <w:rPr>
          <w:rFonts w:ascii="Times New Roman" w:hAnsi="Times New Roman" w:cs="Times New Roman"/>
          <w:sz w:val="22"/>
          <w:szCs w:val="22"/>
        </w:rPr>
      </w:pPr>
      <w:r w:rsidRPr="00532994">
        <w:rPr>
          <w:rFonts w:ascii="Times New Roman" w:hAnsi="Times New Roman" w:cs="Times New Roman"/>
          <w:sz w:val="22"/>
          <w:szCs w:val="22"/>
        </w:rPr>
        <w:t>The recent NSW Parliamentary Inquiry into Elder Abuse refined the definition of financial elder abuse as ‘the illegal use, improper use or mismanagement of an older person’s money, financial resources, property or assets without the person’s knowledge or consent’.</w:t>
      </w:r>
      <w:r w:rsidRPr="00532994">
        <w:rPr>
          <w:rFonts w:ascii="Times New Roman" w:hAnsi="Times New Roman" w:cs="Times New Roman"/>
          <w:sz w:val="22"/>
          <w:szCs w:val="22"/>
          <w:vertAlign w:val="superscript"/>
        </w:rPr>
        <w:footnoteReference w:id="35"/>
      </w:r>
      <w:r w:rsidRPr="00532994">
        <w:rPr>
          <w:rFonts w:ascii="Times New Roman" w:hAnsi="Times New Roman" w:cs="Times New Roman"/>
          <w:sz w:val="22"/>
          <w:szCs w:val="22"/>
        </w:rPr>
        <w:t xml:space="preserve"> Under this approach, elder financial abuse may be broadly divided into two categories:</w:t>
      </w:r>
      <w:r w:rsidRPr="00532994">
        <w:rPr>
          <w:rFonts w:ascii="Times New Roman" w:hAnsi="Times New Roman" w:cs="Times New Roman"/>
          <w:sz w:val="22"/>
          <w:szCs w:val="22"/>
          <w:vertAlign w:val="superscript"/>
        </w:rPr>
        <w:footnoteReference w:id="36"/>
      </w:r>
    </w:p>
    <w:p w:rsidR="009059B7" w:rsidRPr="00532994" w:rsidRDefault="009059B7" w:rsidP="003444E8">
      <w:pPr>
        <w:numPr>
          <w:ilvl w:val="0"/>
          <w:numId w:val="3"/>
        </w:numPr>
        <w:spacing w:line="360" w:lineRule="auto"/>
        <w:ind w:left="567" w:hanging="567"/>
        <w:jc w:val="both"/>
        <w:rPr>
          <w:rFonts w:ascii="Times New Roman" w:hAnsi="Times New Roman" w:cs="Times New Roman"/>
          <w:sz w:val="22"/>
          <w:szCs w:val="22"/>
        </w:rPr>
      </w:pPr>
      <w:r w:rsidRPr="00532994">
        <w:rPr>
          <w:rFonts w:ascii="Times New Roman" w:hAnsi="Times New Roman" w:cs="Times New Roman"/>
          <w:sz w:val="22"/>
          <w:szCs w:val="22"/>
        </w:rPr>
        <w:t>Theft or fraud (specifically fraudulent transfer of title and mortgage registration, and abuse of enduring power of attorney); and,</w:t>
      </w:r>
    </w:p>
    <w:p w:rsidR="009059B7" w:rsidRPr="00532994" w:rsidRDefault="009059B7" w:rsidP="003444E8">
      <w:pPr>
        <w:numPr>
          <w:ilvl w:val="0"/>
          <w:numId w:val="3"/>
        </w:numPr>
        <w:spacing w:line="360" w:lineRule="auto"/>
        <w:ind w:left="567" w:hanging="567"/>
        <w:jc w:val="both"/>
        <w:rPr>
          <w:rFonts w:ascii="Times New Roman" w:hAnsi="Times New Roman" w:cs="Times New Roman"/>
          <w:sz w:val="22"/>
          <w:szCs w:val="22"/>
        </w:rPr>
      </w:pPr>
      <w:r w:rsidRPr="00532994">
        <w:rPr>
          <w:rFonts w:ascii="Times New Roman" w:hAnsi="Times New Roman" w:cs="Times New Roman"/>
          <w:sz w:val="22"/>
          <w:szCs w:val="22"/>
        </w:rPr>
        <w:t>Loss of dwelling (specifically loans, guarantees and mortgages; gifts of assets including transfer of property, and granny flat arrangements).</w:t>
      </w:r>
    </w:p>
    <w:p w:rsidR="009059B7" w:rsidRPr="00532994" w:rsidRDefault="009059B7" w:rsidP="003444E8">
      <w:pPr>
        <w:spacing w:line="360" w:lineRule="auto"/>
        <w:jc w:val="both"/>
        <w:rPr>
          <w:rFonts w:ascii="Times New Roman" w:hAnsi="Times New Roman" w:cs="Times New Roman"/>
          <w:sz w:val="22"/>
          <w:szCs w:val="22"/>
        </w:rPr>
      </w:pPr>
    </w:p>
    <w:p w:rsidR="009059B7" w:rsidRPr="00532994" w:rsidRDefault="009059B7" w:rsidP="003444E8">
      <w:pPr>
        <w:spacing w:line="360" w:lineRule="auto"/>
        <w:jc w:val="both"/>
        <w:rPr>
          <w:rFonts w:ascii="Times New Roman" w:hAnsi="Times New Roman" w:cs="Times New Roman"/>
          <w:sz w:val="22"/>
          <w:szCs w:val="22"/>
        </w:rPr>
      </w:pPr>
      <w:r w:rsidRPr="00532994">
        <w:rPr>
          <w:rFonts w:ascii="Times New Roman" w:hAnsi="Times New Roman" w:cs="Times New Roman"/>
          <w:sz w:val="22"/>
          <w:szCs w:val="22"/>
        </w:rPr>
        <w:t>For the purposes of this submission, we will adopt the latter definition of financial elder abuse.</w:t>
      </w:r>
    </w:p>
    <w:p w:rsidR="009059B7" w:rsidRPr="00532994" w:rsidRDefault="009059B7" w:rsidP="003444E8">
      <w:pPr>
        <w:spacing w:line="360" w:lineRule="auto"/>
        <w:jc w:val="both"/>
        <w:rPr>
          <w:rFonts w:ascii="Times New Roman" w:hAnsi="Times New Roman" w:cs="Times New Roman"/>
          <w:sz w:val="22"/>
          <w:szCs w:val="22"/>
        </w:rPr>
      </w:pPr>
      <w:r w:rsidRPr="00532994">
        <w:rPr>
          <w:rFonts w:ascii="Times New Roman" w:hAnsi="Times New Roman" w:cs="Times New Roman"/>
          <w:sz w:val="22"/>
          <w:szCs w:val="22"/>
        </w:rPr>
        <w:t>Existing protective mechanisms or agencies relating to financial elder abuse in Australia are deficient; there is no specific legislation for dealing with the issue on either the State or Federal level</w:t>
      </w:r>
      <w:r w:rsidRPr="00532994">
        <w:rPr>
          <w:rFonts w:ascii="Times New Roman" w:hAnsi="Times New Roman" w:cs="Times New Roman"/>
          <w:sz w:val="22"/>
          <w:szCs w:val="22"/>
          <w:vertAlign w:val="superscript"/>
        </w:rPr>
        <w:footnoteReference w:id="37"/>
      </w:r>
      <w:r w:rsidRPr="00532994">
        <w:rPr>
          <w:rFonts w:ascii="Times New Roman" w:hAnsi="Times New Roman" w:cs="Times New Roman"/>
          <w:sz w:val="22"/>
          <w:szCs w:val="22"/>
        </w:rPr>
        <w:t xml:space="preserve"> and the level of policy attention has been long overdue.</w:t>
      </w:r>
    </w:p>
    <w:p w:rsidR="009059B7" w:rsidRPr="00532994" w:rsidRDefault="009059B7" w:rsidP="003444E8">
      <w:pPr>
        <w:spacing w:line="360" w:lineRule="auto"/>
        <w:jc w:val="both"/>
        <w:rPr>
          <w:rFonts w:ascii="Times New Roman" w:hAnsi="Times New Roman" w:cs="Times New Roman"/>
          <w:sz w:val="22"/>
          <w:szCs w:val="22"/>
        </w:rPr>
      </w:pPr>
    </w:p>
    <w:p w:rsidR="009059B7" w:rsidRPr="00532994" w:rsidRDefault="009059B7" w:rsidP="003444E8">
      <w:pPr>
        <w:spacing w:line="360" w:lineRule="auto"/>
        <w:jc w:val="both"/>
        <w:rPr>
          <w:rFonts w:ascii="Times New Roman" w:hAnsi="Times New Roman" w:cs="Times New Roman"/>
          <w:sz w:val="22"/>
          <w:szCs w:val="22"/>
        </w:rPr>
      </w:pPr>
      <w:r w:rsidRPr="00532994">
        <w:rPr>
          <w:rFonts w:ascii="Times New Roman" w:hAnsi="Times New Roman" w:cs="Times New Roman"/>
          <w:sz w:val="22"/>
          <w:szCs w:val="22"/>
        </w:rPr>
        <w:lastRenderedPageBreak/>
        <w:t>The absence of a national approach to managing financial elder abuse has resulted in various State and Territory protocols and guidelines on the issue of elder abuse generally with varying degrees of focus on financial abuse.</w:t>
      </w:r>
      <w:r w:rsidRPr="00532994">
        <w:rPr>
          <w:rFonts w:ascii="Times New Roman" w:hAnsi="Times New Roman" w:cs="Times New Roman"/>
          <w:sz w:val="22"/>
          <w:szCs w:val="22"/>
          <w:vertAlign w:val="superscript"/>
        </w:rPr>
        <w:footnoteReference w:id="38"/>
      </w:r>
    </w:p>
    <w:p w:rsidR="00BD4793" w:rsidRPr="00532994" w:rsidRDefault="00BD4793" w:rsidP="003444E8">
      <w:pPr>
        <w:spacing w:line="360" w:lineRule="auto"/>
        <w:jc w:val="both"/>
        <w:rPr>
          <w:rFonts w:ascii="Times New Roman" w:hAnsi="Times New Roman" w:cs="Times New Roman"/>
          <w:sz w:val="22"/>
          <w:szCs w:val="22"/>
        </w:rPr>
      </w:pPr>
    </w:p>
    <w:p w:rsidR="009059B7" w:rsidRPr="00532994" w:rsidRDefault="009059B7" w:rsidP="003444E8">
      <w:pPr>
        <w:spacing w:line="360" w:lineRule="auto"/>
        <w:jc w:val="both"/>
        <w:rPr>
          <w:rFonts w:ascii="Times New Roman" w:hAnsi="Times New Roman" w:cs="Times New Roman"/>
          <w:sz w:val="22"/>
          <w:szCs w:val="22"/>
        </w:rPr>
      </w:pPr>
      <w:r w:rsidRPr="00532994">
        <w:rPr>
          <w:rFonts w:ascii="Times New Roman" w:hAnsi="Times New Roman" w:cs="Times New Roman"/>
          <w:sz w:val="22"/>
          <w:szCs w:val="22"/>
        </w:rPr>
        <w:t>Challenges posed by this issue are three-fold:</w:t>
      </w:r>
      <w:r w:rsidRPr="00532994">
        <w:rPr>
          <w:rFonts w:ascii="Times New Roman" w:hAnsi="Times New Roman" w:cs="Times New Roman"/>
          <w:sz w:val="22"/>
          <w:szCs w:val="22"/>
          <w:vertAlign w:val="superscript"/>
        </w:rPr>
        <w:footnoteReference w:id="39"/>
      </w:r>
    </w:p>
    <w:p w:rsidR="009059B7" w:rsidRPr="00532994" w:rsidRDefault="009059B7" w:rsidP="003444E8">
      <w:pPr>
        <w:numPr>
          <w:ilvl w:val="0"/>
          <w:numId w:val="18"/>
        </w:numPr>
        <w:spacing w:line="360" w:lineRule="auto"/>
        <w:ind w:left="567" w:hanging="567"/>
        <w:jc w:val="both"/>
        <w:rPr>
          <w:rFonts w:ascii="Times New Roman" w:hAnsi="Times New Roman" w:cs="Times New Roman"/>
          <w:sz w:val="22"/>
          <w:szCs w:val="22"/>
        </w:rPr>
      </w:pPr>
      <w:r w:rsidRPr="00532994">
        <w:rPr>
          <w:rFonts w:ascii="Times New Roman" w:hAnsi="Times New Roman" w:cs="Times New Roman"/>
          <w:sz w:val="22"/>
          <w:szCs w:val="22"/>
        </w:rPr>
        <w:t>Inadequacy of responsible lending provisions (inconsistent implementation, non-consideration of social or medical circumstances);</w:t>
      </w:r>
    </w:p>
    <w:p w:rsidR="009059B7" w:rsidRPr="00532994" w:rsidRDefault="009059B7" w:rsidP="003444E8">
      <w:pPr>
        <w:numPr>
          <w:ilvl w:val="0"/>
          <w:numId w:val="18"/>
        </w:numPr>
        <w:spacing w:line="360" w:lineRule="auto"/>
        <w:ind w:left="567" w:hanging="567"/>
        <w:jc w:val="both"/>
        <w:rPr>
          <w:rFonts w:ascii="Times New Roman" w:hAnsi="Times New Roman" w:cs="Times New Roman"/>
          <w:sz w:val="22"/>
          <w:szCs w:val="22"/>
        </w:rPr>
      </w:pPr>
      <w:r w:rsidRPr="00532994">
        <w:rPr>
          <w:rFonts w:ascii="Times New Roman" w:hAnsi="Times New Roman" w:cs="Times New Roman"/>
          <w:sz w:val="22"/>
          <w:szCs w:val="22"/>
        </w:rPr>
        <w:t>Increased risk of exposure to unconscionable conduct (inherent social and psychological pressures particularly in commercial contexts); and,</w:t>
      </w:r>
    </w:p>
    <w:p w:rsidR="009059B7" w:rsidRPr="00532994" w:rsidRDefault="009059B7" w:rsidP="003444E8">
      <w:pPr>
        <w:numPr>
          <w:ilvl w:val="0"/>
          <w:numId w:val="18"/>
        </w:numPr>
        <w:spacing w:line="360" w:lineRule="auto"/>
        <w:ind w:left="567" w:hanging="567"/>
        <w:jc w:val="both"/>
        <w:rPr>
          <w:rFonts w:ascii="Times New Roman" w:hAnsi="Times New Roman" w:cs="Times New Roman"/>
          <w:sz w:val="22"/>
          <w:szCs w:val="22"/>
        </w:rPr>
      </w:pPr>
      <w:r w:rsidRPr="00532994">
        <w:rPr>
          <w:rFonts w:ascii="Times New Roman" w:hAnsi="Times New Roman" w:cs="Times New Roman"/>
          <w:sz w:val="22"/>
          <w:szCs w:val="22"/>
        </w:rPr>
        <w:t>Victims’ reluctance to report cases of abuse, primarily due to associated psychological burdens of doing so</w:t>
      </w:r>
      <w:r w:rsidRPr="00532994">
        <w:rPr>
          <w:rFonts w:ascii="Times New Roman" w:hAnsi="Times New Roman" w:cs="Times New Roman"/>
          <w:sz w:val="22"/>
          <w:szCs w:val="22"/>
          <w:vertAlign w:val="superscript"/>
        </w:rPr>
        <w:footnoteReference w:id="40"/>
      </w:r>
      <w:r w:rsidRPr="00532994">
        <w:rPr>
          <w:rFonts w:ascii="Times New Roman" w:hAnsi="Times New Roman" w:cs="Times New Roman"/>
          <w:sz w:val="22"/>
          <w:szCs w:val="22"/>
        </w:rPr>
        <w:t xml:space="preserve"> compounded by the statistically high representation of under-reporting of financial abuse with 66% of financial abuse cases involving victim’s children as perpetrators.</w:t>
      </w:r>
      <w:r w:rsidRPr="00532994">
        <w:rPr>
          <w:rFonts w:ascii="Times New Roman" w:hAnsi="Times New Roman" w:cs="Times New Roman"/>
          <w:sz w:val="22"/>
          <w:szCs w:val="22"/>
          <w:vertAlign w:val="superscript"/>
        </w:rPr>
        <w:footnoteReference w:id="41"/>
      </w:r>
    </w:p>
    <w:p w:rsidR="009059B7" w:rsidRPr="00532994" w:rsidRDefault="009059B7" w:rsidP="003444E8">
      <w:pPr>
        <w:spacing w:line="360" w:lineRule="auto"/>
        <w:jc w:val="center"/>
        <w:rPr>
          <w:rFonts w:ascii="Times New Roman" w:hAnsi="Times New Roman" w:cs="Times New Roman"/>
          <w:sz w:val="22"/>
          <w:szCs w:val="48"/>
        </w:rPr>
      </w:pPr>
    </w:p>
    <w:p w:rsidR="009059B7" w:rsidRPr="00532994" w:rsidRDefault="00A6384D" w:rsidP="003444E8">
      <w:pPr>
        <w:spacing w:line="360" w:lineRule="auto"/>
        <w:jc w:val="center"/>
        <w:rPr>
          <w:rFonts w:ascii="Times New Roman" w:hAnsi="Times New Roman" w:cs="Times New Roman"/>
          <w:b/>
          <w:szCs w:val="30"/>
        </w:rPr>
      </w:pPr>
      <w:r w:rsidRPr="00532994">
        <w:rPr>
          <w:rFonts w:ascii="Times New Roman" w:hAnsi="Times New Roman" w:cs="Times New Roman"/>
          <w:b/>
          <w:szCs w:val="30"/>
        </w:rPr>
        <w:t>B</w:t>
      </w:r>
      <w:r w:rsidR="009059B7" w:rsidRPr="00532994">
        <w:rPr>
          <w:rFonts w:ascii="Times New Roman" w:hAnsi="Times New Roman" w:cs="Times New Roman"/>
          <w:b/>
          <w:szCs w:val="30"/>
        </w:rPr>
        <w:tab/>
      </w:r>
      <w:r w:rsidR="00372CE9" w:rsidRPr="00532994">
        <w:rPr>
          <w:rFonts w:ascii="Times New Roman" w:hAnsi="Times New Roman" w:cs="Times New Roman"/>
          <w:b/>
          <w:szCs w:val="30"/>
        </w:rPr>
        <w:t>Reform Options</w:t>
      </w:r>
    </w:p>
    <w:p w:rsidR="009059B7" w:rsidRPr="00532994" w:rsidRDefault="009059B7" w:rsidP="003444E8">
      <w:pPr>
        <w:spacing w:line="360" w:lineRule="auto"/>
        <w:jc w:val="both"/>
        <w:rPr>
          <w:rFonts w:ascii="Times New Roman" w:hAnsi="Times New Roman" w:cs="Times New Roman"/>
          <w:i/>
          <w:sz w:val="22"/>
          <w:szCs w:val="30"/>
        </w:rPr>
      </w:pPr>
    </w:p>
    <w:p w:rsidR="00372CE9" w:rsidRPr="00532994" w:rsidRDefault="00372CE9" w:rsidP="003444E8">
      <w:pPr>
        <w:spacing w:line="360" w:lineRule="auto"/>
        <w:jc w:val="both"/>
        <w:rPr>
          <w:rFonts w:ascii="Times New Roman" w:hAnsi="Times New Roman" w:cs="Times New Roman"/>
          <w:sz w:val="22"/>
          <w:szCs w:val="22"/>
        </w:rPr>
      </w:pPr>
      <w:r w:rsidRPr="00532994">
        <w:rPr>
          <w:rFonts w:ascii="Times New Roman" w:hAnsi="Times New Roman" w:cs="Times New Roman"/>
          <w:sz w:val="22"/>
          <w:szCs w:val="22"/>
        </w:rPr>
        <w:t>Five reform options with respect to financial elder abuse have been proposed or implemented around the world:</w:t>
      </w:r>
      <w:r w:rsidRPr="00532994">
        <w:rPr>
          <w:rFonts w:ascii="Times New Roman" w:hAnsi="Times New Roman" w:cs="Times New Roman"/>
          <w:sz w:val="22"/>
          <w:szCs w:val="22"/>
          <w:vertAlign w:val="superscript"/>
        </w:rPr>
        <w:footnoteReference w:id="42"/>
      </w:r>
    </w:p>
    <w:p w:rsidR="00372CE9" w:rsidRPr="00532994" w:rsidRDefault="00372CE9" w:rsidP="003444E8">
      <w:pPr>
        <w:numPr>
          <w:ilvl w:val="0"/>
          <w:numId w:val="19"/>
        </w:numPr>
        <w:spacing w:line="360" w:lineRule="auto"/>
        <w:ind w:left="567" w:hanging="567"/>
        <w:jc w:val="both"/>
        <w:rPr>
          <w:rFonts w:ascii="Times New Roman" w:hAnsi="Times New Roman" w:cs="Times New Roman"/>
          <w:sz w:val="22"/>
          <w:szCs w:val="22"/>
        </w:rPr>
      </w:pPr>
      <w:r w:rsidRPr="00532994">
        <w:rPr>
          <w:rFonts w:ascii="Times New Roman" w:hAnsi="Times New Roman" w:cs="Times New Roman"/>
          <w:sz w:val="22"/>
          <w:szCs w:val="22"/>
        </w:rPr>
        <w:t>Education and public awareness campaigns, including training for various professional groups that have contact with older people;</w:t>
      </w:r>
    </w:p>
    <w:p w:rsidR="00372CE9" w:rsidRPr="00532994" w:rsidRDefault="00372CE9" w:rsidP="003444E8">
      <w:pPr>
        <w:numPr>
          <w:ilvl w:val="0"/>
          <w:numId w:val="19"/>
        </w:numPr>
        <w:spacing w:line="360" w:lineRule="auto"/>
        <w:ind w:left="567" w:hanging="567"/>
        <w:jc w:val="both"/>
        <w:rPr>
          <w:rFonts w:ascii="Times New Roman" w:hAnsi="Times New Roman" w:cs="Times New Roman"/>
          <w:sz w:val="22"/>
          <w:szCs w:val="22"/>
        </w:rPr>
      </w:pPr>
      <w:r w:rsidRPr="00532994">
        <w:rPr>
          <w:rFonts w:ascii="Times New Roman" w:hAnsi="Times New Roman" w:cs="Times New Roman"/>
          <w:sz w:val="22"/>
          <w:szCs w:val="22"/>
        </w:rPr>
        <w:t>Community-based multidisciplinary teams that can investigate and manage financial elder abuse;</w:t>
      </w:r>
    </w:p>
    <w:p w:rsidR="00372CE9" w:rsidRPr="00532994" w:rsidRDefault="00372CE9" w:rsidP="003444E8">
      <w:pPr>
        <w:numPr>
          <w:ilvl w:val="0"/>
          <w:numId w:val="19"/>
        </w:numPr>
        <w:spacing w:line="360" w:lineRule="auto"/>
        <w:ind w:left="567" w:hanging="567"/>
        <w:jc w:val="both"/>
        <w:rPr>
          <w:rFonts w:ascii="Times New Roman" w:hAnsi="Times New Roman" w:cs="Times New Roman"/>
          <w:sz w:val="22"/>
          <w:szCs w:val="22"/>
        </w:rPr>
      </w:pPr>
      <w:r w:rsidRPr="00532994">
        <w:rPr>
          <w:rFonts w:ascii="Times New Roman" w:hAnsi="Times New Roman" w:cs="Times New Roman"/>
          <w:sz w:val="22"/>
          <w:szCs w:val="22"/>
        </w:rPr>
        <w:t>Management of older people’s financial affairs by independent workers (daily money managers);</w:t>
      </w:r>
    </w:p>
    <w:p w:rsidR="00372CE9" w:rsidRPr="00532994" w:rsidRDefault="00372CE9" w:rsidP="003444E8">
      <w:pPr>
        <w:numPr>
          <w:ilvl w:val="0"/>
          <w:numId w:val="19"/>
        </w:numPr>
        <w:spacing w:line="360" w:lineRule="auto"/>
        <w:ind w:left="567" w:hanging="567"/>
        <w:jc w:val="both"/>
        <w:rPr>
          <w:rFonts w:ascii="Times New Roman" w:hAnsi="Times New Roman" w:cs="Times New Roman"/>
          <w:sz w:val="22"/>
          <w:szCs w:val="22"/>
        </w:rPr>
      </w:pPr>
      <w:r w:rsidRPr="00532994">
        <w:rPr>
          <w:rFonts w:ascii="Times New Roman" w:hAnsi="Times New Roman" w:cs="Times New Roman"/>
          <w:sz w:val="22"/>
          <w:szCs w:val="22"/>
        </w:rPr>
        <w:t>Legislative reform of enduring powers of attorney; and,</w:t>
      </w:r>
    </w:p>
    <w:p w:rsidR="00372CE9" w:rsidRPr="00532994" w:rsidRDefault="00372CE9" w:rsidP="003444E8">
      <w:pPr>
        <w:numPr>
          <w:ilvl w:val="0"/>
          <w:numId w:val="19"/>
        </w:numPr>
        <w:spacing w:line="360" w:lineRule="auto"/>
        <w:ind w:left="567" w:hanging="567"/>
        <w:jc w:val="both"/>
        <w:rPr>
          <w:rFonts w:ascii="Times New Roman" w:hAnsi="Times New Roman" w:cs="Times New Roman"/>
          <w:sz w:val="22"/>
          <w:szCs w:val="22"/>
        </w:rPr>
      </w:pPr>
      <w:r w:rsidRPr="00532994">
        <w:rPr>
          <w:rFonts w:ascii="Times New Roman" w:hAnsi="Times New Roman" w:cs="Times New Roman"/>
          <w:sz w:val="22"/>
          <w:szCs w:val="22"/>
        </w:rPr>
        <w:t>Institutional reporting of suspected instances of financial elder abuse.</w:t>
      </w:r>
    </w:p>
    <w:p w:rsidR="00372CE9" w:rsidRPr="00532994" w:rsidRDefault="00372CE9" w:rsidP="003444E8">
      <w:pPr>
        <w:spacing w:line="360" w:lineRule="auto"/>
        <w:ind w:left="720"/>
        <w:jc w:val="both"/>
        <w:rPr>
          <w:rFonts w:ascii="Times New Roman" w:hAnsi="Times New Roman" w:cs="Times New Roman"/>
          <w:sz w:val="22"/>
          <w:szCs w:val="22"/>
        </w:rPr>
      </w:pPr>
    </w:p>
    <w:p w:rsidR="00372CE9" w:rsidRPr="00532994" w:rsidRDefault="00372CE9" w:rsidP="003444E8">
      <w:pPr>
        <w:spacing w:line="360" w:lineRule="auto"/>
        <w:jc w:val="both"/>
        <w:rPr>
          <w:rFonts w:ascii="Times New Roman" w:hAnsi="Times New Roman" w:cs="Times New Roman"/>
          <w:sz w:val="22"/>
          <w:szCs w:val="22"/>
        </w:rPr>
      </w:pPr>
      <w:r w:rsidRPr="00532994">
        <w:rPr>
          <w:rFonts w:ascii="Times New Roman" w:hAnsi="Times New Roman" w:cs="Times New Roman"/>
          <w:sz w:val="22"/>
          <w:szCs w:val="22"/>
        </w:rPr>
        <w:t xml:space="preserve">The significant role that financial institutions can play in addressing financial elder abuse is clearly evident and implementation of measures relating to financial institutions has been regarded as </w:t>
      </w:r>
      <w:r w:rsidRPr="00532994">
        <w:rPr>
          <w:rFonts w:ascii="Times New Roman" w:hAnsi="Times New Roman" w:cs="Times New Roman"/>
          <w:sz w:val="22"/>
          <w:szCs w:val="22"/>
        </w:rPr>
        <w:lastRenderedPageBreak/>
        <w:t>relevant.</w:t>
      </w:r>
      <w:r w:rsidRPr="00532994">
        <w:rPr>
          <w:rFonts w:ascii="Times New Roman" w:hAnsi="Times New Roman" w:cs="Times New Roman"/>
          <w:sz w:val="22"/>
          <w:szCs w:val="22"/>
          <w:vertAlign w:val="superscript"/>
        </w:rPr>
        <w:footnoteReference w:id="43"/>
      </w:r>
      <w:r w:rsidRPr="00532994">
        <w:rPr>
          <w:rFonts w:ascii="Times New Roman" w:hAnsi="Times New Roman" w:cs="Times New Roman"/>
          <w:sz w:val="22"/>
          <w:szCs w:val="22"/>
        </w:rPr>
        <w:t xml:space="preserve"> Banks have a role in protecting the financial assets of the elderly and vulnerable community members. However, a study of bank staff surveys in Australia indicate reluctance to become involved in family financial disputes even with suspicions of financial abuse due to the difficulty of ascertaining sufficient evidence.</w:t>
      </w:r>
      <w:r w:rsidRPr="00532994">
        <w:rPr>
          <w:rFonts w:ascii="Times New Roman" w:hAnsi="Times New Roman" w:cs="Times New Roman"/>
          <w:sz w:val="22"/>
          <w:szCs w:val="22"/>
          <w:vertAlign w:val="superscript"/>
        </w:rPr>
        <w:footnoteReference w:id="44"/>
      </w:r>
    </w:p>
    <w:p w:rsidR="00372CE9" w:rsidRPr="00532994" w:rsidRDefault="00372CE9" w:rsidP="003444E8">
      <w:pPr>
        <w:spacing w:line="360" w:lineRule="auto"/>
        <w:jc w:val="both"/>
        <w:rPr>
          <w:rFonts w:ascii="Times New Roman" w:hAnsi="Times New Roman" w:cs="Times New Roman"/>
          <w:sz w:val="22"/>
          <w:szCs w:val="22"/>
        </w:rPr>
      </w:pPr>
    </w:p>
    <w:p w:rsidR="00372CE9" w:rsidRPr="00532994" w:rsidRDefault="00372CE9" w:rsidP="003444E8">
      <w:pPr>
        <w:spacing w:line="360" w:lineRule="auto"/>
        <w:jc w:val="both"/>
        <w:rPr>
          <w:rFonts w:ascii="Times New Roman" w:hAnsi="Times New Roman" w:cs="Times New Roman"/>
          <w:sz w:val="22"/>
          <w:szCs w:val="22"/>
        </w:rPr>
      </w:pPr>
      <w:r w:rsidRPr="00532994">
        <w:rPr>
          <w:rFonts w:ascii="Times New Roman" w:hAnsi="Times New Roman" w:cs="Times New Roman"/>
          <w:sz w:val="22"/>
          <w:szCs w:val="22"/>
        </w:rPr>
        <w:t>This Issue Paper has identified potential roles for financial institutions with respect to financial elder abuse as at least involving raising awareness of the issue, and detecting and reporting of possible instances of abuse.</w:t>
      </w:r>
      <w:r w:rsidRPr="00532994">
        <w:rPr>
          <w:rFonts w:ascii="Times New Roman" w:hAnsi="Times New Roman" w:cs="Times New Roman"/>
          <w:sz w:val="22"/>
          <w:szCs w:val="22"/>
          <w:vertAlign w:val="superscript"/>
        </w:rPr>
        <w:footnoteReference w:id="45"/>
      </w:r>
    </w:p>
    <w:p w:rsidR="009059B7" w:rsidRPr="00532994" w:rsidRDefault="009059B7" w:rsidP="003444E8">
      <w:pPr>
        <w:spacing w:line="360" w:lineRule="auto"/>
        <w:jc w:val="both"/>
        <w:rPr>
          <w:rFonts w:ascii="Times New Roman" w:eastAsia="Calibri" w:hAnsi="Times New Roman" w:cs="Times New Roman"/>
          <w:sz w:val="22"/>
          <w:szCs w:val="22"/>
        </w:rPr>
      </w:pPr>
    </w:p>
    <w:p w:rsidR="009059B7" w:rsidRPr="00532994" w:rsidRDefault="00B21CBF" w:rsidP="003444E8">
      <w:pPr>
        <w:spacing w:line="360" w:lineRule="auto"/>
        <w:jc w:val="center"/>
        <w:rPr>
          <w:rFonts w:ascii="Times New Roman" w:eastAsia="Calibri" w:hAnsi="Times New Roman" w:cs="Times New Roman"/>
          <w:b/>
          <w:szCs w:val="22"/>
        </w:rPr>
      </w:pPr>
      <w:r w:rsidRPr="00532994">
        <w:rPr>
          <w:rFonts w:ascii="Times New Roman" w:eastAsia="Calibri" w:hAnsi="Times New Roman" w:cs="Times New Roman"/>
          <w:b/>
          <w:szCs w:val="22"/>
        </w:rPr>
        <w:t>C</w:t>
      </w:r>
      <w:r w:rsidR="009059B7" w:rsidRPr="00532994">
        <w:rPr>
          <w:rFonts w:ascii="Times New Roman" w:eastAsia="Calibri" w:hAnsi="Times New Roman" w:cs="Times New Roman"/>
          <w:b/>
          <w:szCs w:val="22"/>
        </w:rPr>
        <w:tab/>
      </w:r>
      <w:r w:rsidR="00372CE9" w:rsidRPr="00532994">
        <w:rPr>
          <w:rFonts w:ascii="Times New Roman" w:eastAsia="Calibri" w:hAnsi="Times New Roman" w:cs="Times New Roman"/>
          <w:b/>
          <w:szCs w:val="22"/>
        </w:rPr>
        <w:t>Recent NSW P</w:t>
      </w:r>
      <w:r w:rsidR="00BD4793" w:rsidRPr="00532994">
        <w:rPr>
          <w:rFonts w:ascii="Times New Roman" w:eastAsia="Calibri" w:hAnsi="Times New Roman" w:cs="Times New Roman"/>
          <w:b/>
          <w:szCs w:val="22"/>
        </w:rPr>
        <w:t xml:space="preserve">arliamentary Inquiry into Elder </w:t>
      </w:r>
      <w:r w:rsidR="00372CE9" w:rsidRPr="00532994">
        <w:rPr>
          <w:rFonts w:ascii="Times New Roman" w:eastAsia="Calibri" w:hAnsi="Times New Roman" w:cs="Times New Roman"/>
          <w:b/>
          <w:szCs w:val="22"/>
        </w:rPr>
        <w:t>Abuse</w:t>
      </w:r>
    </w:p>
    <w:p w:rsidR="009059B7" w:rsidRPr="00532994" w:rsidRDefault="009059B7" w:rsidP="003444E8">
      <w:pPr>
        <w:spacing w:line="360" w:lineRule="auto"/>
        <w:rPr>
          <w:rFonts w:ascii="Times New Roman" w:eastAsia="Calibri" w:hAnsi="Times New Roman" w:cs="Times New Roman"/>
          <w:sz w:val="22"/>
          <w:szCs w:val="22"/>
        </w:rPr>
      </w:pPr>
    </w:p>
    <w:p w:rsidR="00372CE9" w:rsidRPr="00532994" w:rsidRDefault="00372CE9" w:rsidP="003444E8">
      <w:pPr>
        <w:spacing w:line="360" w:lineRule="auto"/>
        <w:jc w:val="both"/>
        <w:rPr>
          <w:rFonts w:ascii="Times New Roman" w:eastAsia="Calibri" w:hAnsi="Times New Roman" w:cs="Times New Roman"/>
          <w:sz w:val="22"/>
          <w:szCs w:val="22"/>
        </w:rPr>
      </w:pPr>
      <w:r w:rsidRPr="00532994">
        <w:rPr>
          <w:rFonts w:ascii="Times New Roman" w:eastAsia="Calibri" w:hAnsi="Times New Roman" w:cs="Times New Roman"/>
          <w:sz w:val="22"/>
          <w:szCs w:val="22"/>
        </w:rPr>
        <w:t>The NSW Parliament has recently conducted an Inquiry into Elder Abuse. The recommendations and submissions put forward by various stakeholders made in that Inquiry are relevant for consideration for present purposes.</w:t>
      </w:r>
    </w:p>
    <w:p w:rsidR="00372CE9" w:rsidRPr="00532994" w:rsidRDefault="00372CE9" w:rsidP="003444E8">
      <w:pPr>
        <w:spacing w:line="360" w:lineRule="auto"/>
        <w:jc w:val="both"/>
        <w:rPr>
          <w:rFonts w:ascii="Times New Roman" w:eastAsia="Calibri" w:hAnsi="Times New Roman" w:cs="Times New Roman"/>
          <w:sz w:val="22"/>
          <w:szCs w:val="22"/>
        </w:rPr>
      </w:pPr>
    </w:p>
    <w:p w:rsidR="00372CE9" w:rsidRPr="00532994" w:rsidRDefault="00372CE9" w:rsidP="003444E8">
      <w:pPr>
        <w:spacing w:line="360" w:lineRule="auto"/>
        <w:jc w:val="both"/>
        <w:rPr>
          <w:rFonts w:ascii="Times New Roman" w:eastAsia="Calibri" w:hAnsi="Times New Roman" w:cs="Times New Roman"/>
          <w:sz w:val="22"/>
          <w:szCs w:val="22"/>
        </w:rPr>
      </w:pPr>
      <w:r w:rsidRPr="00532994">
        <w:rPr>
          <w:rFonts w:ascii="Times New Roman" w:eastAsia="Calibri" w:hAnsi="Times New Roman" w:cs="Times New Roman"/>
          <w:sz w:val="22"/>
          <w:szCs w:val="22"/>
        </w:rPr>
        <w:t>In summary, financial institutions were called upon to:</w:t>
      </w:r>
    </w:p>
    <w:p w:rsidR="00372CE9" w:rsidRPr="00532994" w:rsidRDefault="00372CE9" w:rsidP="003444E8">
      <w:pPr>
        <w:numPr>
          <w:ilvl w:val="0"/>
          <w:numId w:val="6"/>
        </w:numPr>
        <w:spacing w:line="360" w:lineRule="auto"/>
        <w:ind w:left="567" w:hanging="567"/>
        <w:jc w:val="both"/>
        <w:rPr>
          <w:rFonts w:ascii="Times New Roman" w:eastAsia="Calibri" w:hAnsi="Times New Roman" w:cs="Times New Roman"/>
          <w:sz w:val="22"/>
          <w:szCs w:val="22"/>
        </w:rPr>
      </w:pPr>
      <w:r w:rsidRPr="00532994">
        <w:rPr>
          <w:rFonts w:ascii="Times New Roman" w:eastAsia="Calibri" w:hAnsi="Times New Roman" w:cs="Times New Roman"/>
          <w:sz w:val="22"/>
          <w:szCs w:val="22"/>
        </w:rPr>
        <w:t>Improve staff awareness of potential for abuse and indicators prompting them to question appropriateness of certain transactions</w:t>
      </w:r>
      <w:r w:rsidRPr="00532994">
        <w:rPr>
          <w:rFonts w:ascii="Times New Roman" w:eastAsia="Calibri" w:hAnsi="Times New Roman" w:cs="Times New Roman"/>
          <w:sz w:val="22"/>
          <w:szCs w:val="22"/>
          <w:vertAlign w:val="superscript"/>
        </w:rPr>
        <w:footnoteReference w:id="46"/>
      </w:r>
      <w:r w:rsidRPr="00532994">
        <w:rPr>
          <w:rFonts w:ascii="Times New Roman" w:eastAsia="Calibri" w:hAnsi="Times New Roman" w:cs="Times New Roman"/>
          <w:sz w:val="22"/>
          <w:szCs w:val="22"/>
        </w:rPr>
        <w:t xml:space="preserve"> through mandatory staff training for identification of suspicious transactions;</w:t>
      </w:r>
      <w:r w:rsidRPr="00532994">
        <w:rPr>
          <w:rFonts w:ascii="Times New Roman" w:eastAsia="Calibri" w:hAnsi="Times New Roman" w:cs="Times New Roman"/>
          <w:sz w:val="22"/>
          <w:szCs w:val="22"/>
          <w:vertAlign w:val="superscript"/>
        </w:rPr>
        <w:footnoteReference w:id="47"/>
      </w:r>
      <w:r w:rsidRPr="00532994">
        <w:rPr>
          <w:rFonts w:ascii="Times New Roman" w:eastAsia="Calibri" w:hAnsi="Times New Roman" w:cs="Times New Roman"/>
          <w:sz w:val="22"/>
          <w:szCs w:val="22"/>
          <w:vertAlign w:val="superscript"/>
        </w:rPr>
        <w:t xml:space="preserve"> </w:t>
      </w:r>
    </w:p>
    <w:p w:rsidR="00372CE9" w:rsidRPr="00532994" w:rsidRDefault="00372CE9" w:rsidP="003444E8">
      <w:pPr>
        <w:numPr>
          <w:ilvl w:val="0"/>
          <w:numId w:val="6"/>
        </w:numPr>
        <w:spacing w:line="360" w:lineRule="auto"/>
        <w:ind w:left="567" w:hanging="567"/>
        <w:jc w:val="both"/>
        <w:rPr>
          <w:rFonts w:ascii="Times New Roman" w:eastAsia="Calibri" w:hAnsi="Times New Roman" w:cs="Times New Roman"/>
          <w:sz w:val="22"/>
          <w:szCs w:val="22"/>
        </w:rPr>
      </w:pPr>
      <w:r w:rsidRPr="00532994">
        <w:rPr>
          <w:rFonts w:ascii="Times New Roman" w:eastAsia="Calibri" w:hAnsi="Times New Roman" w:cs="Times New Roman"/>
          <w:sz w:val="22"/>
          <w:szCs w:val="22"/>
        </w:rPr>
        <w:t>Address reluctance by the banking industry to engage with research and consultation-based online tools developed by Capacity Australia despite a 2007 call by the Banking and Financial Services Ombudsman for development of national protocols and training programs for financial service providers;</w:t>
      </w:r>
      <w:r w:rsidRPr="00532994">
        <w:rPr>
          <w:rFonts w:ascii="Times New Roman" w:eastAsia="Calibri" w:hAnsi="Times New Roman" w:cs="Times New Roman"/>
          <w:sz w:val="22"/>
          <w:szCs w:val="22"/>
          <w:vertAlign w:val="superscript"/>
        </w:rPr>
        <w:footnoteReference w:id="48"/>
      </w:r>
    </w:p>
    <w:p w:rsidR="00372CE9" w:rsidRPr="00532994" w:rsidRDefault="00372CE9" w:rsidP="003444E8">
      <w:pPr>
        <w:numPr>
          <w:ilvl w:val="0"/>
          <w:numId w:val="6"/>
        </w:numPr>
        <w:spacing w:line="360" w:lineRule="auto"/>
        <w:ind w:left="567" w:hanging="567"/>
        <w:jc w:val="both"/>
        <w:rPr>
          <w:rFonts w:ascii="Times New Roman" w:eastAsia="Calibri" w:hAnsi="Times New Roman" w:cs="Times New Roman"/>
          <w:sz w:val="22"/>
          <w:szCs w:val="22"/>
        </w:rPr>
      </w:pPr>
      <w:r w:rsidRPr="00532994">
        <w:rPr>
          <w:rFonts w:ascii="Times New Roman" w:eastAsia="Calibri" w:hAnsi="Times New Roman" w:cs="Times New Roman"/>
          <w:sz w:val="22"/>
          <w:szCs w:val="22"/>
        </w:rPr>
        <w:t>Encourage banking and financial services institutions to actively provide consumer education on financial abuse;</w:t>
      </w:r>
      <w:r w:rsidRPr="00532994">
        <w:rPr>
          <w:rFonts w:ascii="Times New Roman" w:eastAsia="Calibri" w:hAnsi="Times New Roman" w:cs="Times New Roman"/>
          <w:sz w:val="22"/>
          <w:szCs w:val="22"/>
          <w:vertAlign w:val="superscript"/>
        </w:rPr>
        <w:footnoteReference w:id="49"/>
      </w:r>
    </w:p>
    <w:p w:rsidR="00372CE9" w:rsidRPr="00532994" w:rsidRDefault="00372CE9" w:rsidP="003444E8">
      <w:pPr>
        <w:numPr>
          <w:ilvl w:val="0"/>
          <w:numId w:val="6"/>
        </w:numPr>
        <w:spacing w:line="360" w:lineRule="auto"/>
        <w:ind w:left="567" w:hanging="567"/>
        <w:jc w:val="both"/>
        <w:rPr>
          <w:rFonts w:ascii="Times New Roman" w:eastAsia="Calibri" w:hAnsi="Times New Roman" w:cs="Times New Roman"/>
          <w:sz w:val="22"/>
          <w:szCs w:val="22"/>
        </w:rPr>
      </w:pPr>
      <w:r w:rsidRPr="00532994">
        <w:rPr>
          <w:rFonts w:ascii="Times New Roman" w:eastAsia="Calibri" w:hAnsi="Times New Roman" w:cs="Times New Roman"/>
          <w:sz w:val="22"/>
          <w:szCs w:val="22"/>
        </w:rPr>
        <w:lastRenderedPageBreak/>
        <w:t>Review ABA guidelines to increase adherence to responsible lending and implementation at bank branches, and mandatory training for banks to identify early signs of financial exploitation;</w:t>
      </w:r>
      <w:r w:rsidRPr="00532994">
        <w:rPr>
          <w:rFonts w:ascii="Times New Roman" w:eastAsia="Calibri" w:hAnsi="Times New Roman" w:cs="Times New Roman"/>
          <w:sz w:val="22"/>
          <w:szCs w:val="22"/>
          <w:vertAlign w:val="superscript"/>
        </w:rPr>
        <w:footnoteReference w:id="50"/>
      </w:r>
      <w:r w:rsidRPr="00532994">
        <w:rPr>
          <w:rFonts w:ascii="Times New Roman" w:eastAsia="Calibri" w:hAnsi="Times New Roman" w:cs="Times New Roman"/>
          <w:sz w:val="22"/>
          <w:szCs w:val="22"/>
        </w:rPr>
        <w:t xml:space="preserve"> and,</w:t>
      </w:r>
    </w:p>
    <w:p w:rsidR="00372CE9" w:rsidRPr="00532994" w:rsidRDefault="00372CE9" w:rsidP="003444E8">
      <w:pPr>
        <w:numPr>
          <w:ilvl w:val="0"/>
          <w:numId w:val="6"/>
        </w:numPr>
        <w:spacing w:line="360" w:lineRule="auto"/>
        <w:ind w:left="567" w:hanging="567"/>
        <w:jc w:val="both"/>
        <w:rPr>
          <w:rFonts w:ascii="Times New Roman" w:eastAsia="Calibri" w:hAnsi="Times New Roman" w:cs="Times New Roman"/>
          <w:sz w:val="22"/>
          <w:szCs w:val="22"/>
        </w:rPr>
      </w:pPr>
      <w:r w:rsidRPr="00532994">
        <w:rPr>
          <w:rFonts w:ascii="Times New Roman" w:eastAsia="Calibri" w:hAnsi="Times New Roman" w:cs="Times New Roman"/>
          <w:sz w:val="22"/>
          <w:szCs w:val="22"/>
        </w:rPr>
        <w:t>Develop national industry-wide protocols for reporting allegations of abuse.</w:t>
      </w:r>
      <w:r w:rsidRPr="00532994">
        <w:rPr>
          <w:rFonts w:ascii="Times New Roman" w:eastAsia="Calibri" w:hAnsi="Times New Roman" w:cs="Times New Roman"/>
          <w:sz w:val="22"/>
          <w:szCs w:val="22"/>
          <w:vertAlign w:val="superscript"/>
        </w:rPr>
        <w:footnoteReference w:id="51"/>
      </w:r>
    </w:p>
    <w:p w:rsidR="00372CE9" w:rsidRPr="00532994" w:rsidRDefault="00372CE9" w:rsidP="003444E8">
      <w:pPr>
        <w:spacing w:line="360" w:lineRule="auto"/>
        <w:ind w:left="720"/>
        <w:jc w:val="both"/>
        <w:rPr>
          <w:rFonts w:ascii="Times New Roman" w:eastAsia="Calibri" w:hAnsi="Times New Roman" w:cs="Times New Roman"/>
          <w:sz w:val="22"/>
          <w:szCs w:val="22"/>
        </w:rPr>
      </w:pPr>
    </w:p>
    <w:p w:rsidR="00372CE9" w:rsidRPr="00532994" w:rsidRDefault="00372CE9" w:rsidP="003444E8">
      <w:pPr>
        <w:spacing w:line="360" w:lineRule="auto"/>
        <w:jc w:val="both"/>
        <w:rPr>
          <w:rFonts w:ascii="Times New Roman" w:eastAsia="Calibri" w:hAnsi="Times New Roman" w:cs="Times New Roman"/>
          <w:sz w:val="22"/>
          <w:szCs w:val="22"/>
        </w:rPr>
      </w:pPr>
      <w:r w:rsidRPr="00532994">
        <w:rPr>
          <w:rFonts w:ascii="Times New Roman" w:eastAsia="Calibri" w:hAnsi="Times New Roman" w:cs="Times New Roman"/>
          <w:sz w:val="22"/>
          <w:szCs w:val="22"/>
        </w:rPr>
        <w:t>Although supportive of recommendations, the Australian Bankers’ Association (‘ABA’) raised the challenges banks face with respect to addressing financial elder abuse. Banks are limited in reporting potential instances of financial elder abuse due to concerns surrounding privacy laws, anti-discrimination laws (surrounding age as a discriminatory criterion), difficulty in identification and ascertainment of abuse (in distinguishing legitimate and exploitative transactions), and detrimental effects on third parties acting in good faith and the best interests of the older person.</w:t>
      </w:r>
      <w:r w:rsidRPr="00532994">
        <w:rPr>
          <w:rFonts w:ascii="Times New Roman" w:eastAsia="Calibri" w:hAnsi="Times New Roman" w:cs="Times New Roman"/>
          <w:sz w:val="22"/>
          <w:szCs w:val="22"/>
          <w:vertAlign w:val="superscript"/>
        </w:rPr>
        <w:footnoteReference w:id="52"/>
      </w:r>
    </w:p>
    <w:p w:rsidR="009059B7" w:rsidRPr="00532994" w:rsidRDefault="009059B7" w:rsidP="003444E8">
      <w:pPr>
        <w:spacing w:line="360" w:lineRule="auto"/>
        <w:rPr>
          <w:rFonts w:ascii="Times New Roman" w:hAnsi="Times New Roman" w:cs="Times New Roman"/>
          <w:sz w:val="22"/>
          <w:szCs w:val="48"/>
        </w:rPr>
      </w:pPr>
    </w:p>
    <w:p w:rsidR="009059B7" w:rsidRPr="00532994" w:rsidRDefault="00706298" w:rsidP="003444E8">
      <w:pPr>
        <w:spacing w:line="360" w:lineRule="auto"/>
        <w:jc w:val="center"/>
        <w:rPr>
          <w:rFonts w:ascii="Times New Roman" w:hAnsi="Times New Roman" w:cs="Times New Roman"/>
          <w:b/>
          <w:szCs w:val="30"/>
        </w:rPr>
      </w:pPr>
      <w:r w:rsidRPr="00532994">
        <w:rPr>
          <w:rFonts w:ascii="Times New Roman" w:hAnsi="Times New Roman" w:cs="Times New Roman"/>
          <w:b/>
          <w:szCs w:val="30"/>
        </w:rPr>
        <w:t>C</w:t>
      </w:r>
      <w:r w:rsidR="009059B7" w:rsidRPr="00532994">
        <w:rPr>
          <w:rFonts w:ascii="Times New Roman" w:hAnsi="Times New Roman" w:cs="Times New Roman"/>
          <w:b/>
          <w:i/>
          <w:szCs w:val="30"/>
        </w:rPr>
        <w:tab/>
      </w:r>
      <w:r w:rsidR="00372CE9" w:rsidRPr="00532994">
        <w:rPr>
          <w:rFonts w:ascii="Times New Roman" w:hAnsi="Times New Roman" w:cs="Times New Roman"/>
          <w:b/>
          <w:szCs w:val="30"/>
        </w:rPr>
        <w:t>Recommendations</w:t>
      </w:r>
    </w:p>
    <w:p w:rsidR="009059B7" w:rsidRPr="00532994" w:rsidRDefault="009059B7" w:rsidP="003444E8">
      <w:pPr>
        <w:spacing w:line="360" w:lineRule="auto"/>
        <w:jc w:val="both"/>
        <w:rPr>
          <w:rFonts w:ascii="Times New Roman" w:hAnsi="Times New Roman" w:cs="Times New Roman"/>
          <w:i/>
          <w:sz w:val="22"/>
          <w:szCs w:val="30"/>
        </w:rPr>
      </w:pPr>
    </w:p>
    <w:p w:rsidR="00372CE9" w:rsidRPr="00532994" w:rsidRDefault="00372CE9" w:rsidP="003444E8">
      <w:pPr>
        <w:spacing w:line="360" w:lineRule="auto"/>
        <w:jc w:val="both"/>
        <w:rPr>
          <w:rFonts w:ascii="Times New Roman" w:hAnsi="Times New Roman" w:cs="Times New Roman"/>
          <w:sz w:val="22"/>
          <w:szCs w:val="22"/>
        </w:rPr>
      </w:pPr>
      <w:r w:rsidRPr="00532994">
        <w:rPr>
          <w:rFonts w:ascii="Times New Roman" w:hAnsi="Times New Roman" w:cs="Times New Roman"/>
          <w:sz w:val="22"/>
          <w:szCs w:val="22"/>
        </w:rPr>
        <w:t>We propose three recommendations with respect to the role of financial institutions in addressing financial elder abuse:</w:t>
      </w:r>
    </w:p>
    <w:p w:rsidR="00372CE9" w:rsidRPr="00532994" w:rsidRDefault="00372CE9" w:rsidP="003444E8">
      <w:pPr>
        <w:pStyle w:val="ListParagraph"/>
        <w:numPr>
          <w:ilvl w:val="0"/>
          <w:numId w:val="20"/>
        </w:numPr>
        <w:spacing w:line="360" w:lineRule="auto"/>
        <w:ind w:left="567" w:hanging="567"/>
        <w:jc w:val="both"/>
        <w:rPr>
          <w:rFonts w:ascii="Times New Roman" w:hAnsi="Times New Roman" w:cs="Times New Roman"/>
          <w:sz w:val="22"/>
          <w:szCs w:val="22"/>
        </w:rPr>
      </w:pPr>
      <w:r w:rsidRPr="00532994">
        <w:rPr>
          <w:rFonts w:ascii="Times New Roman" w:hAnsi="Times New Roman" w:cs="Times New Roman"/>
          <w:sz w:val="22"/>
          <w:szCs w:val="22"/>
        </w:rPr>
        <w:t>promoting and facilitating consumer education and public awareness of financial elder abuse;</w:t>
      </w:r>
    </w:p>
    <w:p w:rsidR="00372CE9" w:rsidRPr="00532994" w:rsidRDefault="00372CE9" w:rsidP="003444E8">
      <w:pPr>
        <w:pStyle w:val="ListParagraph"/>
        <w:numPr>
          <w:ilvl w:val="0"/>
          <w:numId w:val="20"/>
        </w:numPr>
        <w:spacing w:line="360" w:lineRule="auto"/>
        <w:ind w:left="567" w:hanging="567"/>
        <w:jc w:val="both"/>
        <w:rPr>
          <w:rFonts w:ascii="Times New Roman" w:hAnsi="Times New Roman" w:cs="Times New Roman"/>
          <w:sz w:val="22"/>
          <w:szCs w:val="22"/>
        </w:rPr>
      </w:pPr>
      <w:r w:rsidRPr="00532994">
        <w:rPr>
          <w:rFonts w:ascii="Times New Roman" w:hAnsi="Times New Roman" w:cs="Times New Roman"/>
          <w:sz w:val="22"/>
          <w:szCs w:val="22"/>
        </w:rPr>
        <w:t xml:space="preserve">reviewing and improving industry standards, particularly the ABA </w:t>
      </w:r>
      <w:r w:rsidRPr="00532994">
        <w:rPr>
          <w:rFonts w:ascii="Times New Roman" w:hAnsi="Times New Roman" w:cs="Times New Roman"/>
          <w:i/>
          <w:sz w:val="22"/>
          <w:szCs w:val="22"/>
        </w:rPr>
        <w:t>Code of Banking Practice</w:t>
      </w:r>
      <w:r w:rsidRPr="00532994">
        <w:rPr>
          <w:rFonts w:ascii="Times New Roman" w:hAnsi="Times New Roman" w:cs="Times New Roman"/>
          <w:sz w:val="22"/>
          <w:szCs w:val="22"/>
        </w:rPr>
        <w:t>; and,</w:t>
      </w:r>
    </w:p>
    <w:p w:rsidR="00372CE9" w:rsidRPr="00532994" w:rsidRDefault="00372CE9" w:rsidP="003444E8">
      <w:pPr>
        <w:pStyle w:val="ListParagraph"/>
        <w:numPr>
          <w:ilvl w:val="0"/>
          <w:numId w:val="20"/>
        </w:numPr>
        <w:spacing w:line="360" w:lineRule="auto"/>
        <w:ind w:left="567" w:hanging="567"/>
        <w:jc w:val="both"/>
        <w:rPr>
          <w:rFonts w:ascii="Times New Roman" w:hAnsi="Times New Roman" w:cs="Times New Roman"/>
          <w:sz w:val="22"/>
          <w:szCs w:val="22"/>
        </w:rPr>
      </w:pPr>
      <w:proofErr w:type="gramStart"/>
      <w:r w:rsidRPr="00532994">
        <w:rPr>
          <w:rFonts w:ascii="Times New Roman" w:hAnsi="Times New Roman" w:cs="Times New Roman"/>
          <w:sz w:val="22"/>
          <w:szCs w:val="22"/>
        </w:rPr>
        <w:t>implementing</w:t>
      </w:r>
      <w:proofErr w:type="gramEnd"/>
      <w:r w:rsidRPr="00532994">
        <w:rPr>
          <w:rFonts w:ascii="Times New Roman" w:hAnsi="Times New Roman" w:cs="Times New Roman"/>
          <w:sz w:val="22"/>
          <w:szCs w:val="22"/>
        </w:rPr>
        <w:t xml:space="preserve"> a voluntary and self-regulated reporting scheme for financial elder abuse guided by government oversight.</w:t>
      </w:r>
    </w:p>
    <w:p w:rsidR="00347898" w:rsidRPr="00532994" w:rsidRDefault="00347898" w:rsidP="003444E8">
      <w:pPr>
        <w:spacing w:line="360" w:lineRule="auto"/>
        <w:jc w:val="both"/>
        <w:rPr>
          <w:rFonts w:ascii="Times New Roman" w:hAnsi="Times New Roman" w:cs="Times New Roman"/>
          <w:sz w:val="22"/>
          <w:szCs w:val="22"/>
        </w:rPr>
      </w:pPr>
    </w:p>
    <w:p w:rsidR="00347898" w:rsidRPr="006C340E" w:rsidRDefault="006C340E" w:rsidP="006C340E">
      <w:pPr>
        <w:spacing w:line="360" w:lineRule="auto"/>
        <w:rPr>
          <w:rFonts w:ascii="Times New Roman" w:hAnsi="Times New Roman" w:cs="Times New Roman"/>
          <w:b/>
          <w:i/>
          <w:sz w:val="22"/>
          <w:szCs w:val="22"/>
        </w:rPr>
      </w:pPr>
      <w:r w:rsidRPr="006C340E">
        <w:rPr>
          <w:rFonts w:ascii="Times New Roman" w:hAnsi="Times New Roman" w:cs="Times New Roman"/>
          <w:b/>
          <w:sz w:val="22"/>
          <w:szCs w:val="22"/>
        </w:rPr>
        <w:t>1</w:t>
      </w:r>
      <w:r w:rsidRPr="006C340E">
        <w:rPr>
          <w:rFonts w:ascii="Times New Roman" w:hAnsi="Times New Roman" w:cs="Times New Roman"/>
          <w:b/>
          <w:sz w:val="22"/>
          <w:szCs w:val="22"/>
        </w:rPr>
        <w:tab/>
      </w:r>
      <w:r w:rsidR="00347898" w:rsidRPr="006C340E">
        <w:rPr>
          <w:rFonts w:ascii="Times New Roman" w:hAnsi="Times New Roman" w:cs="Times New Roman"/>
          <w:b/>
          <w:sz w:val="22"/>
          <w:szCs w:val="22"/>
        </w:rPr>
        <w:t xml:space="preserve"> </w:t>
      </w:r>
      <w:r w:rsidR="00347898" w:rsidRPr="006C340E">
        <w:rPr>
          <w:rFonts w:ascii="Times New Roman" w:hAnsi="Times New Roman" w:cs="Times New Roman"/>
          <w:b/>
          <w:i/>
          <w:sz w:val="22"/>
          <w:szCs w:val="22"/>
        </w:rPr>
        <w:t>Promoting Consumer Education and Public Awareness</w:t>
      </w:r>
    </w:p>
    <w:p w:rsidR="00026444" w:rsidRPr="00532994" w:rsidRDefault="00026444" w:rsidP="003444E8">
      <w:pPr>
        <w:spacing w:line="360" w:lineRule="auto"/>
        <w:jc w:val="center"/>
        <w:rPr>
          <w:rFonts w:ascii="Times New Roman" w:hAnsi="Times New Roman" w:cs="Times New Roman"/>
          <w:b/>
          <w:szCs w:val="22"/>
        </w:rPr>
      </w:pPr>
    </w:p>
    <w:p w:rsidR="00347898" w:rsidRPr="00532994" w:rsidRDefault="00347898" w:rsidP="003444E8">
      <w:pPr>
        <w:spacing w:line="360" w:lineRule="auto"/>
        <w:jc w:val="both"/>
        <w:rPr>
          <w:rFonts w:ascii="Times New Roman" w:hAnsi="Times New Roman" w:cs="Times New Roman"/>
          <w:sz w:val="22"/>
          <w:szCs w:val="22"/>
        </w:rPr>
      </w:pPr>
      <w:r w:rsidRPr="00532994">
        <w:rPr>
          <w:rFonts w:ascii="Times New Roman" w:hAnsi="Times New Roman" w:cs="Times New Roman"/>
          <w:sz w:val="22"/>
          <w:szCs w:val="22"/>
        </w:rPr>
        <w:t>Education and public awareness campaigns are one of the most frequently recommended strategies for the prevention and management of financial elder abuse. These provide information on the nature and impact of financial abuse, who to contact to report suspected cases of abuse, and methods of preventative practices.</w:t>
      </w:r>
      <w:r w:rsidRPr="00532994">
        <w:rPr>
          <w:rFonts w:ascii="Times New Roman" w:hAnsi="Times New Roman" w:cs="Times New Roman"/>
          <w:sz w:val="22"/>
          <w:szCs w:val="22"/>
          <w:vertAlign w:val="superscript"/>
        </w:rPr>
        <w:footnoteReference w:id="53"/>
      </w:r>
      <w:r w:rsidRPr="00532994">
        <w:rPr>
          <w:rFonts w:ascii="Times New Roman" w:hAnsi="Times New Roman" w:cs="Times New Roman"/>
          <w:sz w:val="22"/>
          <w:szCs w:val="22"/>
        </w:rPr>
        <w:t xml:space="preserve"> Such schemes may also have a potential to induce a cultural change surrounding the topic.</w:t>
      </w:r>
    </w:p>
    <w:p w:rsidR="00BC51BB" w:rsidRPr="00532994" w:rsidRDefault="00BC51BB" w:rsidP="003444E8">
      <w:pPr>
        <w:spacing w:line="360" w:lineRule="auto"/>
        <w:jc w:val="both"/>
        <w:rPr>
          <w:rFonts w:ascii="Times New Roman" w:hAnsi="Times New Roman" w:cs="Times New Roman"/>
          <w:sz w:val="22"/>
          <w:szCs w:val="22"/>
        </w:rPr>
      </w:pPr>
    </w:p>
    <w:p w:rsidR="00347898" w:rsidRPr="00532994" w:rsidRDefault="00347898" w:rsidP="003444E8">
      <w:pPr>
        <w:spacing w:line="360" w:lineRule="auto"/>
        <w:jc w:val="both"/>
        <w:rPr>
          <w:rFonts w:ascii="Times New Roman" w:hAnsi="Times New Roman" w:cs="Times New Roman"/>
          <w:sz w:val="22"/>
          <w:szCs w:val="22"/>
        </w:rPr>
      </w:pPr>
      <w:r w:rsidRPr="00532994">
        <w:rPr>
          <w:rFonts w:ascii="Times New Roman" w:hAnsi="Times New Roman" w:cs="Times New Roman"/>
          <w:sz w:val="22"/>
          <w:szCs w:val="22"/>
        </w:rPr>
        <w:lastRenderedPageBreak/>
        <w:t>At present, Legal Aid NSW has produced several informational brochures and hosted sessions with seniors and community workers on the topic of elder financial abuse to raise awareness of this problematic social issue.</w:t>
      </w:r>
      <w:r w:rsidRPr="00532994">
        <w:rPr>
          <w:rFonts w:ascii="Times New Roman" w:hAnsi="Times New Roman" w:cs="Times New Roman"/>
          <w:sz w:val="22"/>
          <w:szCs w:val="22"/>
          <w:vertAlign w:val="superscript"/>
        </w:rPr>
        <w:footnoteReference w:id="54"/>
      </w:r>
    </w:p>
    <w:p w:rsidR="00BC51BB" w:rsidRPr="00532994" w:rsidRDefault="00BC51BB" w:rsidP="003444E8">
      <w:pPr>
        <w:spacing w:line="360" w:lineRule="auto"/>
        <w:jc w:val="both"/>
        <w:rPr>
          <w:rFonts w:ascii="Times New Roman" w:hAnsi="Times New Roman" w:cs="Times New Roman"/>
          <w:sz w:val="22"/>
          <w:szCs w:val="22"/>
        </w:rPr>
      </w:pPr>
    </w:p>
    <w:p w:rsidR="00347898" w:rsidRPr="00532994" w:rsidRDefault="00347898" w:rsidP="003444E8">
      <w:pPr>
        <w:spacing w:line="360" w:lineRule="auto"/>
        <w:jc w:val="both"/>
        <w:rPr>
          <w:rFonts w:ascii="Times New Roman" w:hAnsi="Times New Roman" w:cs="Times New Roman"/>
          <w:sz w:val="22"/>
          <w:szCs w:val="22"/>
        </w:rPr>
      </w:pPr>
      <w:r w:rsidRPr="00532994">
        <w:rPr>
          <w:rFonts w:ascii="Times New Roman" w:hAnsi="Times New Roman" w:cs="Times New Roman"/>
          <w:sz w:val="22"/>
          <w:szCs w:val="22"/>
        </w:rPr>
        <w:t>The NSW Parliamentary Inquiry into Elder Abuse called for the NSW Government fund NSW Elder Abuse Helpline and Resource Unit to conduct information sessions with financial institutions to raise awareness of financial elder abuse and promote online training tools for staff.</w:t>
      </w:r>
      <w:r w:rsidRPr="00532994">
        <w:rPr>
          <w:rFonts w:ascii="Times New Roman" w:hAnsi="Times New Roman" w:cs="Times New Roman"/>
          <w:sz w:val="22"/>
          <w:szCs w:val="22"/>
          <w:vertAlign w:val="superscript"/>
        </w:rPr>
        <w:footnoteReference w:id="55"/>
      </w:r>
      <w:r w:rsidRPr="00532994">
        <w:rPr>
          <w:rFonts w:ascii="Times New Roman" w:hAnsi="Times New Roman" w:cs="Times New Roman"/>
          <w:sz w:val="22"/>
          <w:szCs w:val="22"/>
        </w:rPr>
        <w:t xml:space="preserve"> In submissions to that Inquiry, the ABA has suggested that consumer education through consumer fact sheets, and cross-institutional research and awareness-raising should be one of the means of addressing financial abuse as a community problem.</w:t>
      </w:r>
      <w:r w:rsidRPr="00532994">
        <w:rPr>
          <w:rFonts w:ascii="Times New Roman" w:hAnsi="Times New Roman" w:cs="Times New Roman"/>
          <w:sz w:val="22"/>
          <w:szCs w:val="22"/>
          <w:vertAlign w:val="superscript"/>
        </w:rPr>
        <w:footnoteReference w:id="56"/>
      </w:r>
    </w:p>
    <w:p w:rsidR="00BC51BB" w:rsidRPr="00532994" w:rsidRDefault="00BC51BB" w:rsidP="003444E8">
      <w:pPr>
        <w:spacing w:line="360" w:lineRule="auto"/>
        <w:rPr>
          <w:rFonts w:ascii="Times New Roman" w:hAnsi="Times New Roman" w:cs="Times New Roman"/>
          <w:i/>
          <w:sz w:val="22"/>
          <w:szCs w:val="22"/>
        </w:rPr>
      </w:pPr>
    </w:p>
    <w:p w:rsidR="00347898" w:rsidRPr="00FE06BB" w:rsidRDefault="00347898" w:rsidP="003444E8">
      <w:pPr>
        <w:spacing w:line="360" w:lineRule="auto"/>
        <w:rPr>
          <w:rFonts w:ascii="Times New Roman" w:hAnsi="Times New Roman" w:cs="Times New Roman"/>
          <w:sz w:val="22"/>
          <w:szCs w:val="22"/>
        </w:rPr>
      </w:pPr>
      <w:r w:rsidRPr="00FE06BB">
        <w:rPr>
          <w:rFonts w:ascii="Times New Roman" w:hAnsi="Times New Roman" w:cs="Times New Roman"/>
          <w:sz w:val="22"/>
          <w:szCs w:val="22"/>
        </w:rPr>
        <w:t>We are of the opinion that these recommendations should be adopted on a national level.</w:t>
      </w:r>
    </w:p>
    <w:p w:rsidR="00BC51BB" w:rsidRPr="00532994" w:rsidRDefault="00BC51BB" w:rsidP="003444E8">
      <w:pPr>
        <w:spacing w:line="360" w:lineRule="auto"/>
        <w:jc w:val="both"/>
        <w:rPr>
          <w:rFonts w:ascii="Times New Roman" w:hAnsi="Times New Roman" w:cs="Times New Roman"/>
          <w:sz w:val="22"/>
          <w:szCs w:val="22"/>
        </w:rPr>
      </w:pPr>
    </w:p>
    <w:p w:rsidR="00347898" w:rsidRPr="00532994" w:rsidRDefault="00347898" w:rsidP="003444E8">
      <w:pPr>
        <w:spacing w:line="360" w:lineRule="auto"/>
        <w:jc w:val="both"/>
        <w:rPr>
          <w:rFonts w:ascii="Times New Roman" w:hAnsi="Times New Roman" w:cs="Times New Roman"/>
          <w:sz w:val="22"/>
          <w:szCs w:val="22"/>
        </w:rPr>
      </w:pPr>
      <w:r w:rsidRPr="00532994">
        <w:rPr>
          <w:rFonts w:ascii="Times New Roman" w:hAnsi="Times New Roman" w:cs="Times New Roman"/>
          <w:sz w:val="22"/>
          <w:szCs w:val="22"/>
        </w:rPr>
        <w:t>Additionally, the involvement of financial institutions in promoting consumer education and public awareness of financial elder abuse may tie in with the Financial Systems Inquiry’s Recommendation 23 (Facilitation of innovative disclosure) which called for the removal of regulatory limits to innovative product disclosure and communication with consumers, such as use of online communication tools, new media, self-assessment tools and videos.</w:t>
      </w:r>
      <w:r w:rsidRPr="00532994">
        <w:rPr>
          <w:rFonts w:ascii="Times New Roman" w:hAnsi="Times New Roman" w:cs="Times New Roman"/>
          <w:sz w:val="22"/>
          <w:szCs w:val="22"/>
          <w:vertAlign w:val="superscript"/>
        </w:rPr>
        <w:footnoteReference w:id="57"/>
      </w:r>
      <w:r w:rsidRPr="00532994">
        <w:rPr>
          <w:rFonts w:ascii="Times New Roman" w:hAnsi="Times New Roman" w:cs="Times New Roman"/>
          <w:sz w:val="22"/>
          <w:szCs w:val="22"/>
        </w:rPr>
        <w:t xml:space="preserve"> The Government has agreed to Recommendation 23 pending legislative action upon completion of ASIC and the industry’s efforts to promote innovative product disclosure in 2017.</w:t>
      </w:r>
      <w:r w:rsidRPr="00532994">
        <w:rPr>
          <w:rFonts w:ascii="Times New Roman" w:hAnsi="Times New Roman" w:cs="Times New Roman"/>
          <w:sz w:val="22"/>
          <w:szCs w:val="22"/>
          <w:vertAlign w:val="superscript"/>
        </w:rPr>
        <w:footnoteReference w:id="58"/>
      </w:r>
    </w:p>
    <w:p w:rsidR="00BC51BB" w:rsidRPr="00532994" w:rsidRDefault="00BC51BB" w:rsidP="003444E8">
      <w:pPr>
        <w:spacing w:line="360" w:lineRule="auto"/>
        <w:jc w:val="both"/>
        <w:rPr>
          <w:rFonts w:ascii="Times New Roman" w:hAnsi="Times New Roman" w:cs="Times New Roman"/>
          <w:sz w:val="22"/>
          <w:szCs w:val="22"/>
        </w:rPr>
      </w:pPr>
    </w:p>
    <w:p w:rsidR="00347898" w:rsidRPr="006C340E" w:rsidRDefault="006C340E" w:rsidP="006C340E">
      <w:pPr>
        <w:spacing w:line="360" w:lineRule="auto"/>
        <w:rPr>
          <w:rFonts w:ascii="Times New Roman" w:hAnsi="Times New Roman" w:cs="Times New Roman"/>
          <w:b/>
          <w:sz w:val="22"/>
          <w:szCs w:val="22"/>
        </w:rPr>
      </w:pPr>
      <w:r>
        <w:rPr>
          <w:rFonts w:ascii="Times New Roman" w:hAnsi="Times New Roman" w:cs="Times New Roman"/>
          <w:b/>
          <w:sz w:val="22"/>
          <w:szCs w:val="22"/>
        </w:rPr>
        <w:t>2</w:t>
      </w:r>
      <w:r>
        <w:rPr>
          <w:rFonts w:ascii="Times New Roman" w:hAnsi="Times New Roman" w:cs="Times New Roman"/>
          <w:b/>
          <w:sz w:val="22"/>
          <w:szCs w:val="22"/>
        </w:rPr>
        <w:tab/>
      </w:r>
      <w:r w:rsidR="00347898" w:rsidRPr="006C340E">
        <w:rPr>
          <w:rFonts w:ascii="Times New Roman" w:hAnsi="Times New Roman" w:cs="Times New Roman"/>
          <w:b/>
          <w:i/>
          <w:sz w:val="22"/>
          <w:szCs w:val="22"/>
        </w:rPr>
        <w:t>Strengthening Industry Standards: Staff Training and Development Programs</w:t>
      </w:r>
    </w:p>
    <w:p w:rsidR="00BC51BB" w:rsidRPr="00532994" w:rsidRDefault="00BC51BB" w:rsidP="003444E8">
      <w:pPr>
        <w:spacing w:line="360" w:lineRule="auto"/>
        <w:jc w:val="both"/>
        <w:rPr>
          <w:rFonts w:ascii="Times New Roman" w:hAnsi="Times New Roman" w:cs="Times New Roman"/>
          <w:i/>
          <w:sz w:val="22"/>
          <w:szCs w:val="22"/>
        </w:rPr>
      </w:pPr>
    </w:p>
    <w:p w:rsidR="00347898" w:rsidRPr="00532994" w:rsidRDefault="00347898" w:rsidP="003444E8">
      <w:pPr>
        <w:spacing w:line="360" w:lineRule="auto"/>
        <w:jc w:val="both"/>
        <w:rPr>
          <w:rFonts w:ascii="Times New Roman" w:hAnsi="Times New Roman" w:cs="Times New Roman"/>
          <w:sz w:val="22"/>
          <w:szCs w:val="22"/>
        </w:rPr>
      </w:pPr>
      <w:r w:rsidRPr="00532994">
        <w:rPr>
          <w:rFonts w:ascii="Times New Roman" w:hAnsi="Times New Roman" w:cs="Times New Roman"/>
          <w:sz w:val="22"/>
          <w:szCs w:val="22"/>
        </w:rPr>
        <w:t>The banking industry has developed the following guidelines on financial abuse generally – ‘Protecting vulnerable customers from potential financial abuse’, and ‘Responding to requests from a power of attorney or court-appointed administrator’.</w:t>
      </w:r>
      <w:r w:rsidRPr="00532994">
        <w:rPr>
          <w:rFonts w:ascii="Times New Roman" w:hAnsi="Times New Roman" w:cs="Times New Roman"/>
          <w:sz w:val="22"/>
          <w:szCs w:val="22"/>
          <w:vertAlign w:val="superscript"/>
        </w:rPr>
        <w:footnoteReference w:id="59"/>
      </w:r>
      <w:r w:rsidRPr="00532994">
        <w:rPr>
          <w:rFonts w:ascii="Times New Roman" w:hAnsi="Times New Roman" w:cs="Times New Roman"/>
          <w:sz w:val="22"/>
          <w:szCs w:val="22"/>
        </w:rPr>
        <w:t xml:space="preserve"> Additionally, the ABA has submitted that several banking product and services solutions (including joint accounts, authorised third party access, </w:t>
      </w:r>
      <w:r w:rsidRPr="00532994">
        <w:rPr>
          <w:rFonts w:ascii="Times New Roman" w:hAnsi="Times New Roman" w:cs="Times New Roman"/>
          <w:sz w:val="22"/>
          <w:szCs w:val="22"/>
        </w:rPr>
        <w:lastRenderedPageBreak/>
        <w:t>and customised account services for increased accessibility), and formal arrangements (including formal substituted and supported decision-making arrangements) may assist in protecting the interests of the elderly.</w:t>
      </w:r>
      <w:r w:rsidRPr="00532994">
        <w:rPr>
          <w:rFonts w:ascii="Times New Roman" w:hAnsi="Times New Roman" w:cs="Times New Roman"/>
          <w:sz w:val="22"/>
          <w:szCs w:val="22"/>
          <w:vertAlign w:val="superscript"/>
        </w:rPr>
        <w:footnoteReference w:id="60"/>
      </w:r>
    </w:p>
    <w:p w:rsidR="001725F3" w:rsidRPr="00532994" w:rsidRDefault="001725F3" w:rsidP="003444E8">
      <w:pPr>
        <w:spacing w:line="360" w:lineRule="auto"/>
        <w:jc w:val="both"/>
        <w:rPr>
          <w:rFonts w:ascii="Times New Roman" w:hAnsi="Times New Roman" w:cs="Times New Roman"/>
          <w:sz w:val="22"/>
          <w:szCs w:val="22"/>
        </w:rPr>
      </w:pPr>
    </w:p>
    <w:p w:rsidR="00347898" w:rsidRPr="00532994" w:rsidRDefault="00347898" w:rsidP="003444E8">
      <w:pPr>
        <w:spacing w:line="360" w:lineRule="auto"/>
        <w:jc w:val="both"/>
        <w:rPr>
          <w:rFonts w:ascii="Times New Roman" w:hAnsi="Times New Roman" w:cs="Times New Roman"/>
          <w:sz w:val="22"/>
          <w:szCs w:val="22"/>
        </w:rPr>
      </w:pPr>
      <w:r w:rsidRPr="00532994">
        <w:rPr>
          <w:rFonts w:ascii="Times New Roman" w:hAnsi="Times New Roman" w:cs="Times New Roman"/>
          <w:sz w:val="22"/>
          <w:szCs w:val="22"/>
        </w:rPr>
        <w:t>However, current frameworks are inadequate; industry guidelines ‘[are] not mandatory, [have] no legal force and [make] no binding obligations on individual banks’.</w:t>
      </w:r>
      <w:r w:rsidRPr="00532994">
        <w:rPr>
          <w:rFonts w:ascii="Times New Roman" w:hAnsi="Times New Roman" w:cs="Times New Roman"/>
          <w:sz w:val="22"/>
          <w:szCs w:val="22"/>
          <w:vertAlign w:val="superscript"/>
        </w:rPr>
        <w:footnoteReference w:id="61"/>
      </w:r>
      <w:r w:rsidRPr="00532994">
        <w:rPr>
          <w:rFonts w:ascii="Times New Roman" w:hAnsi="Times New Roman" w:cs="Times New Roman"/>
          <w:sz w:val="22"/>
          <w:szCs w:val="22"/>
        </w:rPr>
        <w:t xml:space="preserve"> The Law Society of NSW supports the House of Representatives Standing Committee on Legal and Constitutional Affairs’ report, ‘Older People and the Law’ in potentially implementing a national, industry-wide set of protocols for reporting alleged financial abuse and banking staff training program.</w:t>
      </w:r>
      <w:r w:rsidRPr="00532994">
        <w:rPr>
          <w:rFonts w:ascii="Times New Roman" w:hAnsi="Times New Roman" w:cs="Times New Roman"/>
          <w:sz w:val="22"/>
          <w:szCs w:val="22"/>
          <w:vertAlign w:val="superscript"/>
        </w:rPr>
        <w:footnoteReference w:id="62"/>
      </w:r>
    </w:p>
    <w:p w:rsidR="00BC51BB" w:rsidRPr="00FE06BB" w:rsidRDefault="00BC51BB" w:rsidP="003444E8">
      <w:pPr>
        <w:spacing w:line="360" w:lineRule="auto"/>
        <w:jc w:val="both"/>
        <w:rPr>
          <w:rFonts w:ascii="Times New Roman" w:hAnsi="Times New Roman" w:cs="Times New Roman"/>
          <w:sz w:val="22"/>
          <w:szCs w:val="22"/>
        </w:rPr>
      </w:pPr>
    </w:p>
    <w:p w:rsidR="00347898" w:rsidRPr="00FE06BB" w:rsidRDefault="00347898" w:rsidP="003444E8">
      <w:pPr>
        <w:spacing w:line="360" w:lineRule="auto"/>
        <w:jc w:val="both"/>
        <w:rPr>
          <w:rFonts w:ascii="Times New Roman" w:hAnsi="Times New Roman" w:cs="Times New Roman"/>
          <w:sz w:val="22"/>
          <w:szCs w:val="22"/>
        </w:rPr>
      </w:pPr>
      <w:r w:rsidRPr="00FE06BB">
        <w:rPr>
          <w:rFonts w:ascii="Times New Roman" w:hAnsi="Times New Roman" w:cs="Times New Roman"/>
          <w:sz w:val="22"/>
          <w:szCs w:val="22"/>
        </w:rPr>
        <w:t>We are of the opinion that these recommendations should be adopted on a national level.</w:t>
      </w:r>
    </w:p>
    <w:p w:rsidR="00055CE0" w:rsidRPr="00532994" w:rsidRDefault="00055CE0" w:rsidP="003444E8">
      <w:pPr>
        <w:spacing w:line="360" w:lineRule="auto"/>
        <w:jc w:val="both"/>
        <w:rPr>
          <w:rFonts w:ascii="Times New Roman" w:hAnsi="Times New Roman" w:cs="Times New Roman"/>
          <w:b/>
          <w:sz w:val="22"/>
          <w:szCs w:val="22"/>
        </w:rPr>
      </w:pPr>
    </w:p>
    <w:p w:rsidR="00347898" w:rsidRPr="00532994" w:rsidRDefault="00347898" w:rsidP="003444E8">
      <w:pPr>
        <w:spacing w:line="360" w:lineRule="auto"/>
        <w:jc w:val="both"/>
        <w:rPr>
          <w:rFonts w:ascii="Times New Roman" w:hAnsi="Times New Roman" w:cs="Times New Roman"/>
          <w:sz w:val="22"/>
          <w:szCs w:val="22"/>
        </w:rPr>
      </w:pPr>
      <w:r w:rsidRPr="00532994">
        <w:rPr>
          <w:rFonts w:ascii="Times New Roman" w:hAnsi="Times New Roman" w:cs="Times New Roman"/>
          <w:sz w:val="22"/>
          <w:szCs w:val="22"/>
        </w:rPr>
        <w:t>A model jurisdiction that such a proposed scheme may be based upon may be the US State of Washington where financial institutions are required to provide staff training on financial exploitation.</w:t>
      </w:r>
      <w:r w:rsidRPr="00532994">
        <w:rPr>
          <w:rFonts w:ascii="Times New Roman" w:hAnsi="Times New Roman" w:cs="Times New Roman"/>
          <w:sz w:val="22"/>
          <w:szCs w:val="22"/>
          <w:vertAlign w:val="superscript"/>
        </w:rPr>
        <w:footnoteReference w:id="63"/>
      </w:r>
    </w:p>
    <w:p w:rsidR="00BC51BB" w:rsidRPr="00532994" w:rsidRDefault="00BC51BB" w:rsidP="003444E8">
      <w:pPr>
        <w:spacing w:line="360" w:lineRule="auto"/>
        <w:jc w:val="both"/>
        <w:rPr>
          <w:rFonts w:ascii="Times New Roman" w:hAnsi="Times New Roman" w:cs="Times New Roman"/>
          <w:sz w:val="22"/>
          <w:szCs w:val="22"/>
        </w:rPr>
      </w:pPr>
    </w:p>
    <w:p w:rsidR="00BC51BB" w:rsidRPr="00532994" w:rsidRDefault="00347898" w:rsidP="003444E8">
      <w:pPr>
        <w:spacing w:line="360" w:lineRule="auto"/>
        <w:jc w:val="both"/>
        <w:rPr>
          <w:rFonts w:ascii="Times New Roman" w:hAnsi="Times New Roman" w:cs="Times New Roman"/>
          <w:sz w:val="22"/>
          <w:szCs w:val="22"/>
          <w:vertAlign w:val="superscript"/>
        </w:rPr>
      </w:pPr>
      <w:r w:rsidRPr="00532994">
        <w:rPr>
          <w:rFonts w:ascii="Times New Roman" w:hAnsi="Times New Roman" w:cs="Times New Roman"/>
          <w:sz w:val="22"/>
          <w:szCs w:val="22"/>
        </w:rPr>
        <w:t xml:space="preserve">The implementation of such a scheme may also further the operation of clause 7 of the ABA’s </w:t>
      </w:r>
      <w:r w:rsidRPr="00532994">
        <w:rPr>
          <w:rFonts w:ascii="Times New Roman" w:hAnsi="Times New Roman" w:cs="Times New Roman"/>
          <w:i/>
          <w:sz w:val="22"/>
          <w:szCs w:val="22"/>
        </w:rPr>
        <w:t>Code of Banking Practice</w:t>
      </w:r>
      <w:r w:rsidRPr="00532994">
        <w:rPr>
          <w:rFonts w:ascii="Times New Roman" w:hAnsi="Times New Roman" w:cs="Times New Roman"/>
          <w:sz w:val="22"/>
          <w:szCs w:val="22"/>
        </w:rPr>
        <w:t xml:space="preserve"> to recognise and address accessibility issues for older persons and customers with a disability to transaction services.</w:t>
      </w:r>
      <w:r w:rsidRPr="00532994">
        <w:rPr>
          <w:rFonts w:ascii="Times New Roman" w:hAnsi="Times New Roman" w:cs="Times New Roman"/>
          <w:sz w:val="22"/>
          <w:szCs w:val="22"/>
          <w:vertAlign w:val="superscript"/>
        </w:rPr>
        <w:footnoteReference w:id="64"/>
      </w:r>
      <w:r w:rsidRPr="00532994">
        <w:rPr>
          <w:rFonts w:ascii="Times New Roman" w:hAnsi="Times New Roman" w:cs="Times New Roman"/>
          <w:sz w:val="22"/>
          <w:szCs w:val="22"/>
        </w:rPr>
        <w:t xml:space="preserve"> Reform in this area also aligns with recommendations made by the Financial Systems Inquiry, namely, Recommendations 24 (to raise industry standards and build confidence and trust in the financial system),</w:t>
      </w:r>
      <w:r w:rsidRPr="00532994">
        <w:rPr>
          <w:rFonts w:ascii="Times New Roman" w:hAnsi="Times New Roman" w:cs="Times New Roman"/>
          <w:sz w:val="22"/>
          <w:szCs w:val="22"/>
          <w:vertAlign w:val="superscript"/>
        </w:rPr>
        <w:footnoteReference w:id="65"/>
      </w:r>
      <w:r w:rsidRPr="00532994">
        <w:rPr>
          <w:rFonts w:ascii="Times New Roman" w:hAnsi="Times New Roman" w:cs="Times New Roman"/>
          <w:sz w:val="22"/>
          <w:szCs w:val="22"/>
        </w:rPr>
        <w:t xml:space="preserve"> and 25 (to raise the competency of financial advice providers through training and certification).</w:t>
      </w:r>
      <w:r w:rsidRPr="00532994">
        <w:rPr>
          <w:rFonts w:ascii="Times New Roman" w:hAnsi="Times New Roman" w:cs="Times New Roman"/>
          <w:sz w:val="22"/>
          <w:szCs w:val="22"/>
          <w:vertAlign w:val="superscript"/>
        </w:rPr>
        <w:footnoteReference w:id="66"/>
      </w:r>
    </w:p>
    <w:p w:rsidR="00347898" w:rsidRPr="00532994" w:rsidRDefault="00347898" w:rsidP="003444E8">
      <w:pPr>
        <w:numPr>
          <w:ilvl w:val="0"/>
          <w:numId w:val="11"/>
        </w:numPr>
        <w:spacing w:line="360" w:lineRule="auto"/>
        <w:ind w:left="567" w:hanging="567"/>
        <w:jc w:val="both"/>
        <w:rPr>
          <w:rFonts w:ascii="Times New Roman" w:hAnsi="Times New Roman" w:cs="Times New Roman"/>
          <w:sz w:val="22"/>
          <w:szCs w:val="22"/>
        </w:rPr>
      </w:pPr>
      <w:r w:rsidRPr="00532994">
        <w:rPr>
          <w:rFonts w:ascii="Times New Roman" w:hAnsi="Times New Roman" w:cs="Times New Roman"/>
          <w:sz w:val="22"/>
          <w:szCs w:val="22"/>
        </w:rPr>
        <w:t>Recommendation 24 involved a standards development aspect which was directed towards reports of poor standards of conduct and professionalism in the provision of financial services.</w:t>
      </w:r>
      <w:r w:rsidRPr="00532994">
        <w:rPr>
          <w:rFonts w:ascii="Times New Roman" w:hAnsi="Times New Roman" w:cs="Times New Roman"/>
          <w:sz w:val="22"/>
          <w:szCs w:val="22"/>
          <w:vertAlign w:val="superscript"/>
        </w:rPr>
        <w:footnoteReference w:id="67"/>
      </w:r>
      <w:r w:rsidRPr="00532994">
        <w:rPr>
          <w:rFonts w:ascii="Times New Roman" w:hAnsi="Times New Roman" w:cs="Times New Roman"/>
          <w:sz w:val="22"/>
          <w:szCs w:val="22"/>
        </w:rPr>
        <w:t xml:space="preserve"> Although broadly agreed to by the Government,</w:t>
      </w:r>
      <w:r w:rsidRPr="00532994">
        <w:rPr>
          <w:rFonts w:ascii="Times New Roman" w:hAnsi="Times New Roman" w:cs="Times New Roman"/>
          <w:sz w:val="22"/>
          <w:szCs w:val="22"/>
          <w:vertAlign w:val="superscript"/>
        </w:rPr>
        <w:footnoteReference w:id="68"/>
      </w:r>
      <w:r w:rsidRPr="00532994">
        <w:rPr>
          <w:rFonts w:ascii="Times New Roman" w:hAnsi="Times New Roman" w:cs="Times New Roman"/>
          <w:sz w:val="22"/>
          <w:szCs w:val="22"/>
        </w:rPr>
        <w:t xml:space="preserve"> a different approach with respect to retail life insurance has been undertaken. This approach followed the industry’s proposed </w:t>
      </w:r>
      <w:r w:rsidRPr="00532994">
        <w:rPr>
          <w:rFonts w:ascii="Times New Roman" w:hAnsi="Times New Roman" w:cs="Times New Roman"/>
          <w:sz w:val="22"/>
          <w:szCs w:val="22"/>
        </w:rPr>
        <w:lastRenderedPageBreak/>
        <w:t>reforms as announced in 2015</w:t>
      </w:r>
      <w:r w:rsidRPr="00532994">
        <w:rPr>
          <w:rFonts w:ascii="Times New Roman" w:hAnsi="Times New Roman" w:cs="Times New Roman"/>
          <w:sz w:val="22"/>
          <w:szCs w:val="22"/>
          <w:vertAlign w:val="superscript"/>
        </w:rPr>
        <w:footnoteReference w:id="69"/>
      </w:r>
      <w:r w:rsidRPr="00532994">
        <w:rPr>
          <w:rFonts w:ascii="Times New Roman" w:hAnsi="Times New Roman" w:cs="Times New Roman"/>
          <w:sz w:val="22"/>
          <w:szCs w:val="22"/>
        </w:rPr>
        <w:t xml:space="preserve"> and made pursuant to ASIC’s 2014 report into retail life insurance.</w:t>
      </w:r>
      <w:r w:rsidRPr="00532994">
        <w:rPr>
          <w:rFonts w:ascii="Times New Roman" w:hAnsi="Times New Roman" w:cs="Times New Roman"/>
          <w:sz w:val="22"/>
          <w:szCs w:val="22"/>
          <w:vertAlign w:val="superscript"/>
        </w:rPr>
        <w:footnoteReference w:id="70"/>
      </w:r>
      <w:r w:rsidRPr="00532994">
        <w:rPr>
          <w:rFonts w:ascii="Times New Roman" w:hAnsi="Times New Roman" w:cs="Times New Roman"/>
          <w:sz w:val="22"/>
          <w:szCs w:val="22"/>
        </w:rPr>
        <w:t xml:space="preserve"> These reforms will be the subject of a </w:t>
      </w:r>
      <w:r w:rsidR="00985CA3">
        <w:rPr>
          <w:rFonts w:ascii="Times New Roman" w:hAnsi="Times New Roman" w:cs="Times New Roman"/>
          <w:sz w:val="22"/>
          <w:szCs w:val="22"/>
        </w:rPr>
        <w:t>g</w:t>
      </w:r>
      <w:r w:rsidRPr="00532994">
        <w:rPr>
          <w:rFonts w:ascii="Times New Roman" w:hAnsi="Times New Roman" w:cs="Times New Roman"/>
          <w:sz w:val="22"/>
          <w:szCs w:val="22"/>
        </w:rPr>
        <w:t>overnment review in 2018.</w:t>
      </w:r>
    </w:p>
    <w:p w:rsidR="00347898" w:rsidRPr="00532994" w:rsidRDefault="00347898" w:rsidP="003444E8">
      <w:pPr>
        <w:numPr>
          <w:ilvl w:val="0"/>
          <w:numId w:val="11"/>
        </w:numPr>
        <w:spacing w:line="360" w:lineRule="auto"/>
        <w:ind w:left="567" w:hanging="567"/>
        <w:jc w:val="both"/>
        <w:rPr>
          <w:rFonts w:ascii="Times New Roman" w:hAnsi="Times New Roman" w:cs="Times New Roman"/>
          <w:sz w:val="22"/>
          <w:szCs w:val="22"/>
        </w:rPr>
      </w:pPr>
      <w:r w:rsidRPr="00532994">
        <w:rPr>
          <w:rFonts w:ascii="Times New Roman" w:hAnsi="Times New Roman" w:cs="Times New Roman"/>
          <w:sz w:val="22"/>
          <w:szCs w:val="22"/>
        </w:rPr>
        <w:t>Recommendation 25 involved ongoing professional development – including technical and relationship skills, and compliance and ethical requirements.</w:t>
      </w:r>
      <w:r w:rsidRPr="00532994">
        <w:rPr>
          <w:rFonts w:ascii="Times New Roman" w:hAnsi="Times New Roman" w:cs="Times New Roman"/>
          <w:sz w:val="22"/>
          <w:szCs w:val="22"/>
          <w:vertAlign w:val="superscript"/>
        </w:rPr>
        <w:footnoteReference w:id="71"/>
      </w:r>
      <w:r w:rsidRPr="00532994">
        <w:rPr>
          <w:rFonts w:ascii="Times New Roman" w:hAnsi="Times New Roman" w:cs="Times New Roman"/>
          <w:sz w:val="22"/>
          <w:szCs w:val="22"/>
        </w:rPr>
        <w:t xml:space="preserve"> It has been agreed to and to be addressed in pending legislative action in raising professional standards of financial advisers recently closed for consultation.</w:t>
      </w:r>
      <w:r w:rsidRPr="00532994">
        <w:rPr>
          <w:rFonts w:ascii="Times New Roman" w:hAnsi="Times New Roman" w:cs="Times New Roman"/>
          <w:sz w:val="22"/>
          <w:szCs w:val="22"/>
          <w:vertAlign w:val="superscript"/>
        </w:rPr>
        <w:footnoteReference w:id="72"/>
      </w:r>
      <w:r w:rsidRPr="00532994">
        <w:rPr>
          <w:rFonts w:ascii="Times New Roman" w:hAnsi="Times New Roman" w:cs="Times New Roman"/>
          <w:sz w:val="22"/>
          <w:szCs w:val="22"/>
        </w:rPr>
        <w:t xml:space="preserve"> Educational courses on financial elder abuse may be incorporated into continuing professional </w:t>
      </w:r>
      <w:proofErr w:type="gramStart"/>
      <w:r w:rsidRPr="00532994">
        <w:rPr>
          <w:rFonts w:ascii="Times New Roman" w:hAnsi="Times New Roman" w:cs="Times New Roman"/>
          <w:sz w:val="22"/>
          <w:szCs w:val="22"/>
        </w:rPr>
        <w:t>development  scheme</w:t>
      </w:r>
      <w:proofErr w:type="gramEnd"/>
      <w:r w:rsidRPr="00532994">
        <w:rPr>
          <w:rFonts w:ascii="Times New Roman" w:hAnsi="Times New Roman" w:cs="Times New Roman"/>
          <w:sz w:val="22"/>
          <w:szCs w:val="22"/>
        </w:rPr>
        <w:t xml:space="preserve"> to be implemented under the proposed bill.</w:t>
      </w:r>
    </w:p>
    <w:p w:rsidR="006C340E" w:rsidRDefault="006C340E" w:rsidP="006C340E">
      <w:pPr>
        <w:spacing w:line="360" w:lineRule="auto"/>
        <w:rPr>
          <w:rFonts w:ascii="Times New Roman" w:hAnsi="Times New Roman" w:cs="Times New Roman"/>
          <w:sz w:val="22"/>
          <w:szCs w:val="22"/>
        </w:rPr>
      </w:pPr>
    </w:p>
    <w:p w:rsidR="00347898" w:rsidRPr="006C340E" w:rsidRDefault="006C340E" w:rsidP="006C340E">
      <w:pPr>
        <w:spacing w:line="360" w:lineRule="auto"/>
        <w:rPr>
          <w:rFonts w:ascii="Times New Roman" w:hAnsi="Times New Roman" w:cs="Times New Roman"/>
          <w:b/>
          <w:sz w:val="22"/>
          <w:szCs w:val="22"/>
        </w:rPr>
      </w:pPr>
      <w:r>
        <w:rPr>
          <w:rFonts w:ascii="Times New Roman" w:hAnsi="Times New Roman" w:cs="Times New Roman"/>
          <w:b/>
          <w:sz w:val="22"/>
          <w:szCs w:val="22"/>
        </w:rPr>
        <w:t>3</w:t>
      </w:r>
      <w:r>
        <w:rPr>
          <w:rFonts w:ascii="Times New Roman" w:hAnsi="Times New Roman" w:cs="Times New Roman"/>
          <w:b/>
          <w:sz w:val="22"/>
          <w:szCs w:val="22"/>
        </w:rPr>
        <w:tab/>
      </w:r>
      <w:r w:rsidR="00347898" w:rsidRPr="006C340E">
        <w:rPr>
          <w:rFonts w:ascii="Times New Roman" w:hAnsi="Times New Roman" w:cs="Times New Roman"/>
          <w:b/>
          <w:i/>
          <w:sz w:val="22"/>
          <w:szCs w:val="22"/>
        </w:rPr>
        <w:t>Institutional Reporting of Financial Elder Abuse</w:t>
      </w:r>
    </w:p>
    <w:p w:rsidR="00055CE0" w:rsidRPr="00532994" w:rsidRDefault="00055CE0" w:rsidP="003444E8">
      <w:pPr>
        <w:spacing w:line="360" w:lineRule="auto"/>
        <w:jc w:val="center"/>
        <w:rPr>
          <w:rFonts w:ascii="Times New Roman" w:hAnsi="Times New Roman" w:cs="Times New Roman"/>
          <w:b/>
          <w:szCs w:val="22"/>
        </w:rPr>
      </w:pPr>
    </w:p>
    <w:p w:rsidR="00347898" w:rsidRPr="00532994" w:rsidRDefault="00347898" w:rsidP="003444E8">
      <w:pPr>
        <w:spacing w:line="360" w:lineRule="auto"/>
        <w:jc w:val="both"/>
        <w:rPr>
          <w:rFonts w:ascii="Times New Roman" w:hAnsi="Times New Roman" w:cs="Times New Roman"/>
          <w:sz w:val="22"/>
          <w:szCs w:val="22"/>
        </w:rPr>
      </w:pPr>
      <w:r w:rsidRPr="00532994">
        <w:rPr>
          <w:rFonts w:ascii="Times New Roman" w:hAnsi="Times New Roman" w:cs="Times New Roman"/>
          <w:sz w:val="22"/>
          <w:szCs w:val="22"/>
        </w:rPr>
        <w:t xml:space="preserve">In Australia, neither statute nor policy guidelines (namely, the ABA’s </w:t>
      </w:r>
      <w:r w:rsidRPr="00532994">
        <w:rPr>
          <w:rFonts w:ascii="Times New Roman" w:hAnsi="Times New Roman" w:cs="Times New Roman"/>
          <w:i/>
          <w:sz w:val="22"/>
          <w:szCs w:val="22"/>
        </w:rPr>
        <w:t>Code of Banking Practice</w:t>
      </w:r>
      <w:r w:rsidRPr="00532994">
        <w:rPr>
          <w:rFonts w:ascii="Times New Roman" w:hAnsi="Times New Roman" w:cs="Times New Roman"/>
          <w:sz w:val="22"/>
          <w:szCs w:val="22"/>
        </w:rPr>
        <w:t>) require financial institutions to report suspected financial abuse.</w:t>
      </w:r>
      <w:r w:rsidRPr="00532994">
        <w:rPr>
          <w:rFonts w:ascii="Times New Roman" w:hAnsi="Times New Roman" w:cs="Times New Roman"/>
          <w:sz w:val="22"/>
          <w:szCs w:val="22"/>
          <w:vertAlign w:val="superscript"/>
        </w:rPr>
        <w:footnoteReference w:id="73"/>
      </w:r>
    </w:p>
    <w:p w:rsidR="00026444" w:rsidRPr="00532994" w:rsidRDefault="00026444" w:rsidP="003444E8">
      <w:pPr>
        <w:spacing w:line="360" w:lineRule="auto"/>
        <w:jc w:val="both"/>
        <w:rPr>
          <w:rFonts w:ascii="Times New Roman" w:hAnsi="Times New Roman" w:cs="Times New Roman"/>
          <w:sz w:val="22"/>
          <w:szCs w:val="22"/>
        </w:rPr>
      </w:pPr>
    </w:p>
    <w:p w:rsidR="00347898" w:rsidRPr="00532994" w:rsidRDefault="00347898" w:rsidP="003444E8">
      <w:pPr>
        <w:spacing w:line="360" w:lineRule="auto"/>
        <w:jc w:val="both"/>
        <w:rPr>
          <w:rFonts w:ascii="Times New Roman" w:hAnsi="Times New Roman" w:cs="Times New Roman"/>
          <w:sz w:val="22"/>
          <w:szCs w:val="22"/>
        </w:rPr>
      </w:pPr>
      <w:r w:rsidRPr="00532994">
        <w:rPr>
          <w:rFonts w:ascii="Times New Roman" w:hAnsi="Times New Roman" w:cs="Times New Roman"/>
          <w:sz w:val="22"/>
          <w:szCs w:val="22"/>
        </w:rPr>
        <w:t>The ABA has suggested that financial institutions are legally constrained or limited in their ability to report suspicions of financial abuse. Concerns raised include duties of agency, appointed decision-making, privacy, discrimination, confidentiality, defamation, and absence of institutional reporting frameworks.</w:t>
      </w:r>
      <w:r w:rsidRPr="00532994">
        <w:rPr>
          <w:rFonts w:ascii="Times New Roman" w:hAnsi="Times New Roman" w:cs="Times New Roman"/>
          <w:sz w:val="22"/>
          <w:szCs w:val="22"/>
          <w:vertAlign w:val="superscript"/>
        </w:rPr>
        <w:footnoteReference w:id="74"/>
      </w:r>
      <w:r w:rsidRPr="00532994">
        <w:rPr>
          <w:rFonts w:ascii="Times New Roman" w:hAnsi="Times New Roman" w:cs="Times New Roman"/>
          <w:sz w:val="22"/>
          <w:szCs w:val="22"/>
        </w:rPr>
        <w:t xml:space="preserve"> Nonetheless, the ABA has been supportive for a nationally consistent approach to elder abuse.</w:t>
      </w:r>
      <w:r w:rsidRPr="00532994">
        <w:rPr>
          <w:rFonts w:ascii="Times New Roman" w:hAnsi="Times New Roman" w:cs="Times New Roman"/>
          <w:sz w:val="22"/>
          <w:szCs w:val="22"/>
          <w:vertAlign w:val="superscript"/>
        </w:rPr>
        <w:footnoteReference w:id="75"/>
      </w:r>
    </w:p>
    <w:p w:rsidR="00BC51BB" w:rsidRPr="00532994" w:rsidRDefault="00BC51BB" w:rsidP="003444E8">
      <w:pPr>
        <w:spacing w:line="360" w:lineRule="auto"/>
        <w:jc w:val="both"/>
        <w:rPr>
          <w:rFonts w:ascii="Times New Roman" w:hAnsi="Times New Roman" w:cs="Times New Roman"/>
          <w:sz w:val="22"/>
          <w:szCs w:val="22"/>
        </w:rPr>
      </w:pPr>
    </w:p>
    <w:p w:rsidR="00347898" w:rsidRPr="00532994" w:rsidRDefault="00347898" w:rsidP="003444E8">
      <w:pPr>
        <w:spacing w:line="360" w:lineRule="auto"/>
        <w:jc w:val="both"/>
        <w:rPr>
          <w:rFonts w:ascii="Times New Roman" w:hAnsi="Times New Roman" w:cs="Times New Roman"/>
          <w:sz w:val="22"/>
          <w:szCs w:val="22"/>
        </w:rPr>
      </w:pPr>
      <w:r w:rsidRPr="00532994">
        <w:rPr>
          <w:rFonts w:ascii="Times New Roman" w:hAnsi="Times New Roman" w:cs="Times New Roman"/>
          <w:sz w:val="22"/>
          <w:szCs w:val="22"/>
        </w:rPr>
        <w:t>Thus, if institutional reporting of financial elder abuse were to be adopted, two further considerations should be made:</w:t>
      </w:r>
    </w:p>
    <w:p w:rsidR="00347898" w:rsidRPr="00532994" w:rsidRDefault="00347898" w:rsidP="003444E8">
      <w:pPr>
        <w:numPr>
          <w:ilvl w:val="0"/>
          <w:numId w:val="10"/>
        </w:numPr>
        <w:spacing w:line="360" w:lineRule="auto"/>
        <w:ind w:left="567" w:hanging="567"/>
        <w:jc w:val="both"/>
        <w:rPr>
          <w:rFonts w:ascii="Times New Roman" w:hAnsi="Times New Roman" w:cs="Times New Roman"/>
          <w:sz w:val="22"/>
          <w:szCs w:val="22"/>
        </w:rPr>
      </w:pPr>
      <w:r w:rsidRPr="00532994">
        <w:rPr>
          <w:rFonts w:ascii="Times New Roman" w:hAnsi="Times New Roman" w:cs="Times New Roman"/>
          <w:sz w:val="22"/>
          <w:szCs w:val="22"/>
        </w:rPr>
        <w:t>Should such reporting be mandatory or voluntary?</w:t>
      </w:r>
    </w:p>
    <w:p w:rsidR="00347898" w:rsidRPr="00532994" w:rsidRDefault="00347898" w:rsidP="003444E8">
      <w:pPr>
        <w:numPr>
          <w:ilvl w:val="0"/>
          <w:numId w:val="10"/>
        </w:numPr>
        <w:spacing w:line="360" w:lineRule="auto"/>
        <w:ind w:left="567" w:hanging="567"/>
        <w:jc w:val="both"/>
        <w:rPr>
          <w:rFonts w:ascii="Times New Roman" w:hAnsi="Times New Roman" w:cs="Times New Roman"/>
          <w:sz w:val="22"/>
          <w:szCs w:val="22"/>
        </w:rPr>
      </w:pPr>
      <w:r w:rsidRPr="00532994">
        <w:rPr>
          <w:rFonts w:ascii="Times New Roman" w:hAnsi="Times New Roman" w:cs="Times New Roman"/>
          <w:sz w:val="22"/>
          <w:szCs w:val="22"/>
        </w:rPr>
        <w:t>Furthermore, should such reporting be supported by industry self-regulation or government enforcement?</w:t>
      </w:r>
    </w:p>
    <w:p w:rsidR="00055CE0" w:rsidRPr="00532994" w:rsidRDefault="00055CE0" w:rsidP="003444E8">
      <w:pPr>
        <w:spacing w:line="360" w:lineRule="auto"/>
        <w:ind w:left="720"/>
        <w:jc w:val="both"/>
        <w:rPr>
          <w:rFonts w:ascii="Times New Roman" w:hAnsi="Times New Roman" w:cs="Times New Roman"/>
          <w:sz w:val="22"/>
          <w:szCs w:val="22"/>
        </w:rPr>
      </w:pPr>
    </w:p>
    <w:p w:rsidR="00C43340" w:rsidRDefault="00C43340" w:rsidP="003444E8">
      <w:pPr>
        <w:spacing w:line="360" w:lineRule="auto"/>
        <w:jc w:val="both"/>
        <w:rPr>
          <w:rFonts w:ascii="Times New Roman" w:hAnsi="Times New Roman" w:cs="Times New Roman"/>
          <w:sz w:val="22"/>
          <w:szCs w:val="22"/>
        </w:rPr>
      </w:pPr>
    </w:p>
    <w:p w:rsidR="00347898" w:rsidRPr="006C340E" w:rsidRDefault="006C340E" w:rsidP="003444E8">
      <w:pPr>
        <w:spacing w:line="360" w:lineRule="auto"/>
        <w:jc w:val="both"/>
        <w:rPr>
          <w:rFonts w:ascii="Times New Roman" w:hAnsi="Times New Roman" w:cs="Times New Roman"/>
          <w:i/>
          <w:sz w:val="22"/>
          <w:szCs w:val="22"/>
        </w:rPr>
      </w:pPr>
      <w:r>
        <w:rPr>
          <w:rFonts w:ascii="Times New Roman" w:hAnsi="Times New Roman" w:cs="Times New Roman"/>
          <w:sz w:val="22"/>
          <w:szCs w:val="22"/>
        </w:rPr>
        <w:lastRenderedPageBreak/>
        <w:t>(a)</w:t>
      </w:r>
      <w:r w:rsidR="00026444" w:rsidRPr="006C340E">
        <w:rPr>
          <w:rFonts w:ascii="Times New Roman" w:hAnsi="Times New Roman" w:cs="Times New Roman"/>
          <w:sz w:val="22"/>
          <w:szCs w:val="22"/>
        </w:rPr>
        <w:tab/>
      </w:r>
      <w:r w:rsidR="00347898" w:rsidRPr="006C340E">
        <w:rPr>
          <w:rFonts w:ascii="Times New Roman" w:hAnsi="Times New Roman" w:cs="Times New Roman"/>
          <w:sz w:val="22"/>
          <w:szCs w:val="22"/>
        </w:rPr>
        <w:t xml:space="preserve"> </w:t>
      </w:r>
      <w:r w:rsidR="00347898" w:rsidRPr="006C340E">
        <w:rPr>
          <w:rFonts w:ascii="Times New Roman" w:hAnsi="Times New Roman" w:cs="Times New Roman"/>
          <w:i/>
          <w:sz w:val="22"/>
          <w:szCs w:val="22"/>
        </w:rPr>
        <w:t>Should Reporting Be Mandatory or Voluntary?</w:t>
      </w:r>
    </w:p>
    <w:p w:rsidR="00026444" w:rsidRPr="00532994" w:rsidRDefault="00026444" w:rsidP="003444E8">
      <w:pPr>
        <w:spacing w:line="360" w:lineRule="auto"/>
        <w:jc w:val="both"/>
        <w:rPr>
          <w:rFonts w:ascii="Times New Roman" w:hAnsi="Times New Roman" w:cs="Times New Roman"/>
          <w:b/>
          <w:sz w:val="22"/>
          <w:szCs w:val="22"/>
        </w:rPr>
      </w:pPr>
    </w:p>
    <w:p w:rsidR="00BC51BB" w:rsidRPr="00532994" w:rsidRDefault="00347898" w:rsidP="003444E8">
      <w:pPr>
        <w:spacing w:line="360" w:lineRule="auto"/>
        <w:jc w:val="both"/>
        <w:rPr>
          <w:rFonts w:ascii="Times New Roman" w:hAnsi="Times New Roman" w:cs="Times New Roman"/>
          <w:sz w:val="22"/>
          <w:szCs w:val="22"/>
        </w:rPr>
      </w:pPr>
      <w:r w:rsidRPr="00532994">
        <w:rPr>
          <w:rFonts w:ascii="Times New Roman" w:hAnsi="Times New Roman" w:cs="Times New Roman"/>
          <w:sz w:val="22"/>
          <w:szCs w:val="22"/>
        </w:rPr>
        <w:t>With respect to the first consideration, mandatory reporting has not been endorsed in the Australian context. Key concerns include the difficulty in establishing the requisite evidence of abuse, absence of empirical support for the effectiveness of such a measure, and would have a potentially negligible impact and diverting resources away from addressing the issue, may enforce ageist stereotypes of older people.</w:t>
      </w:r>
      <w:r w:rsidRPr="00532994">
        <w:rPr>
          <w:rFonts w:ascii="Times New Roman" w:hAnsi="Times New Roman" w:cs="Times New Roman"/>
          <w:sz w:val="22"/>
          <w:szCs w:val="22"/>
          <w:vertAlign w:val="superscript"/>
        </w:rPr>
        <w:footnoteReference w:id="76"/>
      </w:r>
    </w:p>
    <w:p w:rsidR="00BC51BB" w:rsidRPr="00532994" w:rsidRDefault="00BC51BB" w:rsidP="003444E8">
      <w:pPr>
        <w:spacing w:line="360" w:lineRule="auto"/>
        <w:jc w:val="both"/>
        <w:rPr>
          <w:rFonts w:ascii="Times New Roman" w:hAnsi="Times New Roman" w:cs="Times New Roman"/>
          <w:sz w:val="22"/>
          <w:szCs w:val="22"/>
        </w:rPr>
      </w:pPr>
    </w:p>
    <w:p w:rsidR="00347898" w:rsidRPr="00532994" w:rsidRDefault="00347898" w:rsidP="003444E8">
      <w:pPr>
        <w:spacing w:line="360" w:lineRule="auto"/>
        <w:jc w:val="both"/>
        <w:rPr>
          <w:rFonts w:ascii="Times New Roman" w:hAnsi="Times New Roman" w:cs="Times New Roman"/>
          <w:sz w:val="22"/>
          <w:szCs w:val="22"/>
        </w:rPr>
      </w:pPr>
      <w:r w:rsidRPr="00532994">
        <w:rPr>
          <w:rFonts w:ascii="Times New Roman" w:hAnsi="Times New Roman" w:cs="Times New Roman"/>
          <w:sz w:val="22"/>
          <w:szCs w:val="22"/>
        </w:rPr>
        <w:t>In overseas jurisdictions, matters of suspected financial exploitation and abuse are predominantly reported on a voluntary basis. This is the case in:</w:t>
      </w:r>
    </w:p>
    <w:p w:rsidR="00347898" w:rsidRPr="00532994" w:rsidRDefault="00347898" w:rsidP="003444E8">
      <w:pPr>
        <w:numPr>
          <w:ilvl w:val="0"/>
          <w:numId w:val="8"/>
        </w:numPr>
        <w:spacing w:line="360" w:lineRule="auto"/>
        <w:ind w:left="567" w:hanging="567"/>
        <w:jc w:val="both"/>
        <w:rPr>
          <w:rFonts w:ascii="Times New Roman" w:hAnsi="Times New Roman" w:cs="Times New Roman"/>
          <w:sz w:val="22"/>
          <w:szCs w:val="22"/>
        </w:rPr>
      </w:pPr>
      <w:r w:rsidRPr="00532994">
        <w:rPr>
          <w:rFonts w:ascii="Times New Roman" w:hAnsi="Times New Roman" w:cs="Times New Roman"/>
          <w:sz w:val="22"/>
          <w:szCs w:val="22"/>
        </w:rPr>
        <w:t>US State of Washington where reports are made to police;</w:t>
      </w:r>
      <w:r w:rsidRPr="00532994">
        <w:rPr>
          <w:rFonts w:ascii="Times New Roman" w:hAnsi="Times New Roman" w:cs="Times New Roman"/>
          <w:sz w:val="22"/>
          <w:szCs w:val="22"/>
          <w:vertAlign w:val="superscript"/>
        </w:rPr>
        <w:footnoteReference w:id="77"/>
      </w:r>
    </w:p>
    <w:p w:rsidR="00347898" w:rsidRPr="00532994" w:rsidRDefault="00347898" w:rsidP="003444E8">
      <w:pPr>
        <w:numPr>
          <w:ilvl w:val="0"/>
          <w:numId w:val="8"/>
        </w:numPr>
        <w:spacing w:line="360" w:lineRule="auto"/>
        <w:ind w:left="567" w:hanging="567"/>
        <w:jc w:val="both"/>
        <w:rPr>
          <w:rFonts w:ascii="Times New Roman" w:hAnsi="Times New Roman" w:cs="Times New Roman"/>
          <w:sz w:val="22"/>
          <w:szCs w:val="22"/>
        </w:rPr>
      </w:pPr>
      <w:r w:rsidRPr="00532994">
        <w:rPr>
          <w:rFonts w:ascii="Times New Roman" w:hAnsi="Times New Roman" w:cs="Times New Roman"/>
          <w:sz w:val="22"/>
          <w:szCs w:val="22"/>
        </w:rPr>
        <w:t>Canadian provinces of British Columbia, to the Public Guardian and Trustee,</w:t>
      </w:r>
      <w:r w:rsidRPr="00532994">
        <w:rPr>
          <w:rFonts w:ascii="Times New Roman" w:hAnsi="Times New Roman" w:cs="Times New Roman"/>
          <w:sz w:val="22"/>
          <w:szCs w:val="22"/>
          <w:vertAlign w:val="superscript"/>
        </w:rPr>
        <w:footnoteReference w:id="78"/>
      </w:r>
      <w:r w:rsidRPr="00532994">
        <w:rPr>
          <w:rFonts w:ascii="Times New Roman" w:hAnsi="Times New Roman" w:cs="Times New Roman"/>
          <w:sz w:val="22"/>
          <w:szCs w:val="22"/>
        </w:rPr>
        <w:t xml:space="preserve"> and Nova Scotia, to the Office of the Public Trustee where the allegations relate to a client of the referee;</w:t>
      </w:r>
      <w:r w:rsidRPr="00532994">
        <w:rPr>
          <w:rFonts w:ascii="Times New Roman" w:hAnsi="Times New Roman" w:cs="Times New Roman"/>
          <w:sz w:val="22"/>
          <w:szCs w:val="22"/>
          <w:vertAlign w:val="superscript"/>
        </w:rPr>
        <w:footnoteReference w:id="79"/>
      </w:r>
      <w:r w:rsidRPr="00532994">
        <w:rPr>
          <w:rFonts w:ascii="Times New Roman" w:hAnsi="Times New Roman" w:cs="Times New Roman"/>
          <w:sz w:val="22"/>
          <w:szCs w:val="22"/>
        </w:rPr>
        <w:t xml:space="preserve"> and,</w:t>
      </w:r>
    </w:p>
    <w:p w:rsidR="00347898" w:rsidRPr="00532994" w:rsidRDefault="00347898" w:rsidP="003444E8">
      <w:pPr>
        <w:numPr>
          <w:ilvl w:val="0"/>
          <w:numId w:val="8"/>
        </w:numPr>
        <w:spacing w:line="360" w:lineRule="auto"/>
        <w:ind w:left="567" w:hanging="567"/>
        <w:jc w:val="both"/>
        <w:rPr>
          <w:rFonts w:ascii="Times New Roman" w:hAnsi="Times New Roman" w:cs="Times New Roman"/>
          <w:sz w:val="22"/>
          <w:szCs w:val="22"/>
        </w:rPr>
      </w:pPr>
      <w:proofErr w:type="gramStart"/>
      <w:r w:rsidRPr="00532994">
        <w:rPr>
          <w:rFonts w:ascii="Times New Roman" w:hAnsi="Times New Roman" w:cs="Times New Roman"/>
          <w:sz w:val="22"/>
          <w:szCs w:val="22"/>
        </w:rPr>
        <w:t>England,</w:t>
      </w:r>
      <w:r w:rsidRPr="00532994">
        <w:rPr>
          <w:rFonts w:ascii="Times New Roman" w:hAnsi="Times New Roman" w:cs="Times New Roman"/>
          <w:sz w:val="22"/>
          <w:szCs w:val="22"/>
          <w:vertAlign w:val="superscript"/>
        </w:rPr>
        <w:footnoteReference w:id="80"/>
      </w:r>
      <w:r w:rsidRPr="00532994">
        <w:rPr>
          <w:rFonts w:ascii="Times New Roman" w:hAnsi="Times New Roman" w:cs="Times New Roman"/>
          <w:sz w:val="22"/>
          <w:szCs w:val="22"/>
        </w:rPr>
        <w:t xml:space="preserve"> and Scotland by local councils making independent inquiries and investigations,</w:t>
      </w:r>
      <w:r w:rsidRPr="00532994">
        <w:rPr>
          <w:rFonts w:ascii="Times New Roman" w:hAnsi="Times New Roman" w:cs="Times New Roman"/>
          <w:sz w:val="22"/>
          <w:szCs w:val="22"/>
          <w:vertAlign w:val="superscript"/>
        </w:rPr>
        <w:footnoteReference w:id="81"/>
      </w:r>
      <w:proofErr w:type="gramEnd"/>
      <w:r w:rsidRPr="00532994">
        <w:rPr>
          <w:rFonts w:ascii="Times New Roman" w:hAnsi="Times New Roman" w:cs="Times New Roman"/>
          <w:sz w:val="22"/>
          <w:szCs w:val="22"/>
        </w:rPr>
        <w:t xml:space="preserve"> to the Office of the Public Guardian.</w:t>
      </w:r>
    </w:p>
    <w:p w:rsidR="00BC51BB" w:rsidRPr="00532994" w:rsidRDefault="00BC51BB" w:rsidP="003444E8">
      <w:pPr>
        <w:spacing w:line="360" w:lineRule="auto"/>
        <w:ind w:left="720"/>
        <w:jc w:val="both"/>
        <w:rPr>
          <w:rFonts w:ascii="Times New Roman" w:hAnsi="Times New Roman" w:cs="Times New Roman"/>
          <w:sz w:val="22"/>
          <w:szCs w:val="22"/>
        </w:rPr>
      </w:pPr>
    </w:p>
    <w:p w:rsidR="00347898" w:rsidRPr="00532994" w:rsidRDefault="00347898" w:rsidP="003444E8">
      <w:pPr>
        <w:spacing w:line="360" w:lineRule="auto"/>
        <w:jc w:val="both"/>
        <w:rPr>
          <w:rFonts w:ascii="Times New Roman" w:hAnsi="Times New Roman" w:cs="Times New Roman"/>
          <w:sz w:val="22"/>
          <w:szCs w:val="22"/>
        </w:rPr>
      </w:pPr>
      <w:r w:rsidRPr="00532994">
        <w:rPr>
          <w:rFonts w:ascii="Times New Roman" w:hAnsi="Times New Roman" w:cs="Times New Roman"/>
          <w:sz w:val="22"/>
          <w:szCs w:val="22"/>
        </w:rPr>
        <w:t>Domestically, similar governmental entities investigate referred complaints or allegations under State guardianship legislation:</w:t>
      </w:r>
    </w:p>
    <w:p w:rsidR="00347898" w:rsidRPr="00532994" w:rsidRDefault="00347898" w:rsidP="003444E8">
      <w:pPr>
        <w:numPr>
          <w:ilvl w:val="0"/>
          <w:numId w:val="9"/>
        </w:numPr>
        <w:spacing w:line="360" w:lineRule="auto"/>
        <w:ind w:left="567" w:hanging="567"/>
        <w:jc w:val="both"/>
        <w:rPr>
          <w:rFonts w:ascii="Times New Roman" w:hAnsi="Times New Roman" w:cs="Times New Roman"/>
          <w:i/>
          <w:sz w:val="22"/>
          <w:szCs w:val="22"/>
        </w:rPr>
      </w:pPr>
      <w:r w:rsidRPr="00532994">
        <w:rPr>
          <w:rFonts w:ascii="Times New Roman" w:hAnsi="Times New Roman" w:cs="Times New Roman"/>
          <w:sz w:val="22"/>
          <w:szCs w:val="22"/>
        </w:rPr>
        <w:t>Victoria and Western Australia, with the Office of the Public Advocate;</w:t>
      </w:r>
      <w:r w:rsidRPr="00532994">
        <w:rPr>
          <w:rFonts w:ascii="Times New Roman" w:hAnsi="Times New Roman" w:cs="Times New Roman"/>
          <w:sz w:val="22"/>
          <w:szCs w:val="22"/>
          <w:vertAlign w:val="superscript"/>
        </w:rPr>
        <w:footnoteReference w:id="82"/>
      </w:r>
      <w:r w:rsidRPr="00532994">
        <w:rPr>
          <w:rFonts w:ascii="Times New Roman" w:hAnsi="Times New Roman" w:cs="Times New Roman"/>
          <w:sz w:val="22"/>
          <w:szCs w:val="22"/>
        </w:rPr>
        <w:t xml:space="preserve"> and,</w:t>
      </w:r>
    </w:p>
    <w:p w:rsidR="00347898" w:rsidRPr="00532994" w:rsidRDefault="00347898" w:rsidP="003444E8">
      <w:pPr>
        <w:numPr>
          <w:ilvl w:val="0"/>
          <w:numId w:val="9"/>
        </w:numPr>
        <w:spacing w:line="360" w:lineRule="auto"/>
        <w:ind w:left="567" w:hanging="567"/>
        <w:jc w:val="both"/>
        <w:rPr>
          <w:rFonts w:ascii="Times New Roman" w:hAnsi="Times New Roman" w:cs="Times New Roman"/>
          <w:i/>
          <w:sz w:val="22"/>
          <w:szCs w:val="22"/>
        </w:rPr>
      </w:pPr>
      <w:r w:rsidRPr="00532994">
        <w:rPr>
          <w:rFonts w:ascii="Times New Roman" w:hAnsi="Times New Roman" w:cs="Times New Roman"/>
          <w:sz w:val="22"/>
          <w:szCs w:val="22"/>
        </w:rPr>
        <w:t>Queensland, with a similar officer known as the Adult Guardian.</w:t>
      </w:r>
      <w:r w:rsidRPr="00532994">
        <w:rPr>
          <w:rFonts w:ascii="Times New Roman" w:hAnsi="Times New Roman" w:cs="Times New Roman"/>
          <w:sz w:val="22"/>
          <w:szCs w:val="22"/>
          <w:vertAlign w:val="superscript"/>
        </w:rPr>
        <w:footnoteReference w:id="83"/>
      </w:r>
    </w:p>
    <w:p w:rsidR="00055CE0" w:rsidRPr="00532994" w:rsidRDefault="00055CE0" w:rsidP="003444E8">
      <w:pPr>
        <w:spacing w:line="360" w:lineRule="auto"/>
        <w:ind w:left="720"/>
        <w:jc w:val="both"/>
        <w:rPr>
          <w:rFonts w:ascii="Times New Roman" w:hAnsi="Times New Roman" w:cs="Times New Roman"/>
          <w:i/>
          <w:sz w:val="22"/>
          <w:szCs w:val="22"/>
        </w:rPr>
      </w:pPr>
    </w:p>
    <w:p w:rsidR="00347898" w:rsidRPr="006C340E" w:rsidRDefault="00347898" w:rsidP="003444E8">
      <w:pPr>
        <w:spacing w:line="360" w:lineRule="auto"/>
        <w:jc w:val="both"/>
        <w:rPr>
          <w:rFonts w:ascii="Times New Roman" w:hAnsi="Times New Roman" w:cs="Times New Roman"/>
          <w:sz w:val="22"/>
          <w:szCs w:val="22"/>
        </w:rPr>
      </w:pPr>
      <w:r w:rsidRPr="006C340E">
        <w:rPr>
          <w:rFonts w:ascii="Times New Roman" w:hAnsi="Times New Roman" w:cs="Times New Roman"/>
          <w:sz w:val="22"/>
          <w:szCs w:val="22"/>
        </w:rPr>
        <w:t>We are of the opinion that the institutional reporting of financial elder abuse should be made on a voluntary basis.</w:t>
      </w:r>
    </w:p>
    <w:p w:rsidR="00347898" w:rsidRPr="00532994" w:rsidRDefault="00347898" w:rsidP="003444E8">
      <w:pPr>
        <w:spacing w:line="360" w:lineRule="auto"/>
        <w:jc w:val="both"/>
        <w:rPr>
          <w:rFonts w:ascii="Times New Roman" w:hAnsi="Times New Roman" w:cs="Times New Roman"/>
          <w:b/>
          <w:sz w:val="22"/>
          <w:szCs w:val="22"/>
        </w:rPr>
      </w:pPr>
    </w:p>
    <w:p w:rsidR="00347898" w:rsidRPr="006C340E" w:rsidRDefault="006C340E" w:rsidP="003444E8">
      <w:pPr>
        <w:spacing w:line="360" w:lineRule="auto"/>
        <w:jc w:val="both"/>
        <w:rPr>
          <w:rFonts w:ascii="Times New Roman" w:hAnsi="Times New Roman" w:cs="Times New Roman"/>
          <w:i/>
          <w:sz w:val="22"/>
          <w:szCs w:val="22"/>
        </w:rPr>
      </w:pPr>
      <w:r w:rsidRPr="006C340E">
        <w:rPr>
          <w:rFonts w:ascii="Times New Roman" w:hAnsi="Times New Roman" w:cs="Times New Roman"/>
          <w:sz w:val="22"/>
          <w:szCs w:val="22"/>
        </w:rPr>
        <w:t>(b)</w:t>
      </w:r>
      <w:r w:rsidR="00026444" w:rsidRPr="006C340E">
        <w:rPr>
          <w:rFonts w:ascii="Times New Roman" w:hAnsi="Times New Roman" w:cs="Times New Roman"/>
          <w:sz w:val="22"/>
          <w:szCs w:val="22"/>
        </w:rPr>
        <w:tab/>
      </w:r>
      <w:r w:rsidR="00347898" w:rsidRPr="006C340E">
        <w:rPr>
          <w:rFonts w:ascii="Times New Roman" w:hAnsi="Times New Roman" w:cs="Times New Roman"/>
          <w:sz w:val="22"/>
          <w:szCs w:val="22"/>
        </w:rPr>
        <w:t xml:space="preserve"> </w:t>
      </w:r>
      <w:r w:rsidR="00347898" w:rsidRPr="006C340E">
        <w:rPr>
          <w:rFonts w:ascii="Times New Roman" w:hAnsi="Times New Roman" w:cs="Times New Roman"/>
          <w:i/>
          <w:sz w:val="22"/>
          <w:szCs w:val="22"/>
        </w:rPr>
        <w:t xml:space="preserve">Should Reporting Be Supported </w:t>
      </w:r>
      <w:r w:rsidR="00026444" w:rsidRPr="006C340E">
        <w:rPr>
          <w:rFonts w:ascii="Times New Roman" w:hAnsi="Times New Roman" w:cs="Times New Roman"/>
          <w:i/>
          <w:sz w:val="22"/>
          <w:szCs w:val="22"/>
        </w:rPr>
        <w:t>by</w:t>
      </w:r>
      <w:r w:rsidR="00347898" w:rsidRPr="006C340E">
        <w:rPr>
          <w:rFonts w:ascii="Times New Roman" w:hAnsi="Times New Roman" w:cs="Times New Roman"/>
          <w:i/>
          <w:sz w:val="22"/>
          <w:szCs w:val="22"/>
        </w:rPr>
        <w:t xml:space="preserve"> Self-Regulation or Government Intervention?</w:t>
      </w:r>
    </w:p>
    <w:p w:rsidR="00047BF8" w:rsidRPr="00532994" w:rsidRDefault="00047BF8" w:rsidP="003444E8">
      <w:pPr>
        <w:spacing w:line="360" w:lineRule="auto"/>
        <w:jc w:val="both"/>
        <w:rPr>
          <w:rFonts w:ascii="Times New Roman" w:hAnsi="Times New Roman" w:cs="Times New Roman"/>
          <w:sz w:val="22"/>
          <w:szCs w:val="22"/>
        </w:rPr>
      </w:pPr>
    </w:p>
    <w:p w:rsidR="00347898" w:rsidRPr="00532994" w:rsidRDefault="00347898" w:rsidP="003444E8">
      <w:pPr>
        <w:spacing w:line="360" w:lineRule="auto"/>
        <w:jc w:val="both"/>
        <w:rPr>
          <w:rFonts w:ascii="Times New Roman" w:hAnsi="Times New Roman" w:cs="Times New Roman"/>
          <w:sz w:val="22"/>
          <w:szCs w:val="22"/>
        </w:rPr>
      </w:pPr>
      <w:r w:rsidRPr="00532994">
        <w:rPr>
          <w:rFonts w:ascii="Times New Roman" w:hAnsi="Times New Roman" w:cs="Times New Roman"/>
          <w:sz w:val="22"/>
          <w:szCs w:val="22"/>
        </w:rPr>
        <w:t xml:space="preserve">The self-regulatory nature of the ABA’s </w:t>
      </w:r>
      <w:r w:rsidRPr="00532994">
        <w:rPr>
          <w:rFonts w:ascii="Times New Roman" w:hAnsi="Times New Roman" w:cs="Times New Roman"/>
          <w:i/>
          <w:sz w:val="22"/>
          <w:szCs w:val="22"/>
        </w:rPr>
        <w:t>Code of Banking Practice</w:t>
      </w:r>
      <w:r w:rsidRPr="00532994">
        <w:rPr>
          <w:rFonts w:ascii="Times New Roman" w:hAnsi="Times New Roman" w:cs="Times New Roman"/>
          <w:sz w:val="22"/>
          <w:szCs w:val="22"/>
        </w:rPr>
        <w:t xml:space="preserve"> remains relevant for at least four factors –the </w:t>
      </w:r>
      <w:r w:rsidRPr="00532994">
        <w:rPr>
          <w:rFonts w:ascii="Times New Roman" w:hAnsi="Times New Roman" w:cs="Times New Roman"/>
          <w:i/>
          <w:sz w:val="22"/>
          <w:szCs w:val="22"/>
        </w:rPr>
        <w:t>Code</w:t>
      </w:r>
      <w:r w:rsidRPr="00532994">
        <w:rPr>
          <w:rFonts w:ascii="Times New Roman" w:hAnsi="Times New Roman" w:cs="Times New Roman"/>
          <w:sz w:val="22"/>
          <w:szCs w:val="22"/>
        </w:rPr>
        <w:t xml:space="preserve"> (1) is more extensive than legislation in certain areas of coverage, (2) informs legislative obligations, (3) mutually influences development of legislative standards, and (4) promotes consistency in industry practice.</w:t>
      </w:r>
      <w:r w:rsidRPr="00532994">
        <w:rPr>
          <w:rFonts w:ascii="Times New Roman" w:hAnsi="Times New Roman" w:cs="Times New Roman"/>
          <w:sz w:val="22"/>
          <w:szCs w:val="22"/>
          <w:vertAlign w:val="superscript"/>
        </w:rPr>
        <w:footnoteReference w:id="84"/>
      </w:r>
    </w:p>
    <w:p w:rsidR="00347898" w:rsidRPr="00532994" w:rsidRDefault="00347898" w:rsidP="003444E8">
      <w:pPr>
        <w:spacing w:line="360" w:lineRule="auto"/>
        <w:jc w:val="both"/>
        <w:rPr>
          <w:rFonts w:ascii="Times New Roman" w:hAnsi="Times New Roman" w:cs="Times New Roman"/>
          <w:sz w:val="22"/>
          <w:szCs w:val="22"/>
        </w:rPr>
      </w:pPr>
    </w:p>
    <w:p w:rsidR="00347898" w:rsidRPr="00532994" w:rsidRDefault="00347898" w:rsidP="003444E8">
      <w:pPr>
        <w:spacing w:line="360" w:lineRule="auto"/>
        <w:jc w:val="both"/>
        <w:rPr>
          <w:rFonts w:ascii="Times New Roman" w:hAnsi="Times New Roman" w:cs="Times New Roman"/>
          <w:sz w:val="22"/>
          <w:szCs w:val="22"/>
        </w:rPr>
      </w:pPr>
      <w:r w:rsidRPr="00532994">
        <w:rPr>
          <w:rFonts w:ascii="Times New Roman" w:hAnsi="Times New Roman" w:cs="Times New Roman"/>
          <w:sz w:val="22"/>
          <w:szCs w:val="22"/>
        </w:rPr>
        <w:t>As an industry code, members determine to which standards they are prepared to commit. Although effective self-regulation may require a government willing to actively command the enforcement of standards, a co-regulatory approach of facilitating further improvements under the Code is likely more successful than a blanket regulatory threat.</w:t>
      </w:r>
      <w:r w:rsidRPr="00532994">
        <w:rPr>
          <w:rFonts w:ascii="Times New Roman" w:hAnsi="Times New Roman" w:cs="Times New Roman"/>
          <w:sz w:val="22"/>
          <w:szCs w:val="22"/>
          <w:vertAlign w:val="superscript"/>
        </w:rPr>
        <w:footnoteReference w:id="85"/>
      </w:r>
    </w:p>
    <w:p w:rsidR="00347898" w:rsidRPr="00532994" w:rsidRDefault="00347898" w:rsidP="003444E8">
      <w:pPr>
        <w:spacing w:line="360" w:lineRule="auto"/>
        <w:jc w:val="both"/>
        <w:rPr>
          <w:rFonts w:ascii="Times New Roman" w:hAnsi="Times New Roman" w:cs="Times New Roman"/>
          <w:sz w:val="22"/>
          <w:szCs w:val="22"/>
        </w:rPr>
      </w:pPr>
    </w:p>
    <w:p w:rsidR="00347898" w:rsidRPr="00FE06BB" w:rsidRDefault="00347898" w:rsidP="003444E8">
      <w:pPr>
        <w:spacing w:line="360" w:lineRule="auto"/>
        <w:jc w:val="both"/>
        <w:rPr>
          <w:rFonts w:ascii="Times New Roman" w:hAnsi="Times New Roman" w:cs="Times New Roman"/>
          <w:sz w:val="22"/>
          <w:szCs w:val="22"/>
        </w:rPr>
      </w:pPr>
      <w:r w:rsidRPr="00FE06BB">
        <w:rPr>
          <w:rFonts w:ascii="Times New Roman" w:hAnsi="Times New Roman" w:cs="Times New Roman"/>
          <w:sz w:val="22"/>
          <w:szCs w:val="22"/>
        </w:rPr>
        <w:t>As such, we recommend that institutional reporting of financial elder abuse be primarily supported by reformed industry self-regulation backed by governmental oversight.</w:t>
      </w:r>
    </w:p>
    <w:p w:rsidR="00564588" w:rsidRPr="00532994" w:rsidRDefault="00564588" w:rsidP="003444E8">
      <w:pPr>
        <w:rPr>
          <w:rFonts w:ascii="Times New Roman" w:hAnsi="Times New Roman" w:cs="Times New Roman"/>
          <w:bCs/>
          <w:sz w:val="48"/>
          <w:szCs w:val="48"/>
        </w:rPr>
      </w:pPr>
      <w:r w:rsidRPr="00532994">
        <w:rPr>
          <w:rFonts w:ascii="Times New Roman" w:hAnsi="Times New Roman" w:cs="Times New Roman"/>
          <w:bCs/>
          <w:sz w:val="48"/>
          <w:szCs w:val="48"/>
        </w:rPr>
        <w:br w:type="page"/>
      </w:r>
      <w:bookmarkStart w:id="0" w:name="_GoBack"/>
      <w:bookmarkEnd w:id="0"/>
    </w:p>
    <w:p w:rsidR="00ED5E14" w:rsidRPr="00532994" w:rsidRDefault="00ED5E14" w:rsidP="003444E8">
      <w:pPr>
        <w:spacing w:line="360" w:lineRule="auto"/>
        <w:jc w:val="center"/>
        <w:rPr>
          <w:rFonts w:ascii="Times New Roman" w:hAnsi="Times New Roman" w:cs="Times New Roman"/>
          <w:bCs/>
          <w:sz w:val="48"/>
          <w:szCs w:val="48"/>
        </w:rPr>
      </w:pPr>
      <w:r w:rsidRPr="00532994">
        <w:rPr>
          <w:rFonts w:ascii="Times New Roman" w:hAnsi="Times New Roman" w:cs="Times New Roman"/>
          <w:bCs/>
          <w:sz w:val="48"/>
          <w:szCs w:val="48"/>
        </w:rPr>
        <w:lastRenderedPageBreak/>
        <w:t>Family Agreements</w:t>
      </w:r>
    </w:p>
    <w:p w:rsidR="00ED5E14" w:rsidRPr="00532994" w:rsidRDefault="00ED5E14" w:rsidP="003444E8">
      <w:pPr>
        <w:spacing w:line="360" w:lineRule="auto"/>
        <w:jc w:val="both"/>
        <w:rPr>
          <w:rFonts w:ascii="Times New Roman" w:hAnsi="Times New Roman" w:cs="Times New Roman"/>
          <w:b/>
          <w:bCs/>
          <w:sz w:val="22"/>
          <w:szCs w:val="22"/>
        </w:rPr>
      </w:pPr>
    </w:p>
    <w:tbl>
      <w:tblPr>
        <w:tblStyle w:val="TableGrid"/>
        <w:tblW w:w="0" w:type="auto"/>
        <w:tblLook w:val="04A0"/>
      </w:tblPr>
      <w:tblGrid>
        <w:gridCol w:w="9236"/>
      </w:tblGrid>
      <w:tr w:rsidR="00ED5E14" w:rsidRPr="00532994" w:rsidTr="00ED5E14">
        <w:tc>
          <w:tcPr>
            <w:tcW w:w="9576" w:type="dxa"/>
            <w:tcBorders>
              <w:top w:val="single" w:sz="4" w:space="0" w:color="auto"/>
              <w:left w:val="single" w:sz="4" w:space="0" w:color="auto"/>
              <w:bottom w:val="single" w:sz="4" w:space="0" w:color="auto"/>
              <w:right w:val="single" w:sz="4" w:space="0" w:color="auto"/>
            </w:tcBorders>
            <w:hideMark/>
          </w:tcPr>
          <w:p w:rsidR="00ED5E14" w:rsidRPr="00532994" w:rsidRDefault="00ED5E14" w:rsidP="003444E8">
            <w:pPr>
              <w:spacing w:line="360" w:lineRule="auto"/>
              <w:jc w:val="both"/>
              <w:rPr>
                <w:rFonts w:ascii="Times New Roman" w:hAnsi="Times New Roman" w:cs="Times New Roman"/>
                <w:sz w:val="22"/>
                <w:szCs w:val="22"/>
                <w:lang w:val="en-US"/>
              </w:rPr>
            </w:pPr>
            <w:r w:rsidRPr="00532994">
              <w:rPr>
                <w:rFonts w:ascii="Times New Roman" w:hAnsi="Times New Roman" w:cs="Times New Roman"/>
                <w:b/>
                <w:bCs/>
                <w:sz w:val="22"/>
              </w:rPr>
              <w:t>Question 27</w:t>
            </w:r>
            <w:r w:rsidRPr="00532994">
              <w:rPr>
                <w:rFonts w:ascii="Times New Roman" w:hAnsi="Times New Roman" w:cs="Times New Roman"/>
                <w:b/>
                <w:bCs/>
                <w:sz w:val="22"/>
              </w:rPr>
              <w:tab/>
            </w:r>
            <w:r w:rsidRPr="00532994">
              <w:rPr>
                <w:rFonts w:ascii="Times New Roman" w:hAnsi="Times New Roman" w:cs="Times New Roman"/>
                <w:b/>
                <w:bCs/>
                <w:sz w:val="22"/>
              </w:rPr>
              <w:tab/>
            </w:r>
            <w:r w:rsidRPr="00532994">
              <w:rPr>
                <w:rFonts w:ascii="Times New Roman" w:hAnsi="Times New Roman" w:cs="Times New Roman"/>
                <w:sz w:val="22"/>
              </w:rPr>
              <w:t>What evidence is there that older people face difficulty in protecting their interests when family agreements break down?</w:t>
            </w:r>
          </w:p>
        </w:tc>
      </w:tr>
    </w:tbl>
    <w:p w:rsidR="00ED5E14" w:rsidRPr="00532994" w:rsidRDefault="00ED5E14" w:rsidP="003444E8">
      <w:pPr>
        <w:spacing w:line="360" w:lineRule="auto"/>
        <w:jc w:val="both"/>
        <w:rPr>
          <w:rFonts w:ascii="Times New Roman" w:hAnsi="Times New Roman" w:cs="Times New Roman"/>
          <w:b/>
          <w:bCs/>
          <w:sz w:val="22"/>
          <w:szCs w:val="22"/>
          <w:lang w:val="en-US"/>
        </w:rPr>
      </w:pPr>
    </w:p>
    <w:p w:rsidR="00ED5E14" w:rsidRPr="00532994" w:rsidRDefault="00ED5E14" w:rsidP="003444E8">
      <w:pPr>
        <w:spacing w:line="360" w:lineRule="auto"/>
        <w:jc w:val="center"/>
        <w:rPr>
          <w:rFonts w:ascii="Times New Roman" w:hAnsi="Times New Roman" w:cs="Times New Roman"/>
          <w:b/>
        </w:rPr>
      </w:pPr>
      <w:r w:rsidRPr="00532994">
        <w:rPr>
          <w:rFonts w:ascii="Times New Roman" w:hAnsi="Times New Roman" w:cs="Times New Roman"/>
          <w:b/>
        </w:rPr>
        <w:t>A</w:t>
      </w:r>
      <w:r w:rsidRPr="00532994">
        <w:rPr>
          <w:rFonts w:ascii="Times New Roman" w:hAnsi="Times New Roman" w:cs="Times New Roman"/>
          <w:b/>
        </w:rPr>
        <w:tab/>
        <w:t>Defining Family Agreements</w:t>
      </w:r>
    </w:p>
    <w:p w:rsidR="00ED5E14" w:rsidRPr="00532994" w:rsidRDefault="00ED5E14" w:rsidP="003444E8">
      <w:pPr>
        <w:spacing w:line="360" w:lineRule="auto"/>
        <w:jc w:val="center"/>
        <w:rPr>
          <w:rFonts w:ascii="Times New Roman" w:hAnsi="Times New Roman" w:cs="Times New Roman"/>
          <w:b/>
          <w:i/>
          <w:sz w:val="22"/>
        </w:rPr>
      </w:pPr>
    </w:p>
    <w:p w:rsidR="00ED5E14" w:rsidRPr="00532994" w:rsidRDefault="00ED5E14" w:rsidP="003444E8">
      <w:pPr>
        <w:spacing w:line="360" w:lineRule="auto"/>
        <w:jc w:val="both"/>
        <w:rPr>
          <w:rFonts w:ascii="Times New Roman" w:hAnsi="Times New Roman" w:cs="Times New Roman"/>
          <w:sz w:val="22"/>
        </w:rPr>
      </w:pPr>
      <w:r w:rsidRPr="00532994">
        <w:rPr>
          <w:rFonts w:ascii="Times New Roman" w:hAnsi="Times New Roman" w:cs="Times New Roman"/>
          <w:sz w:val="22"/>
        </w:rPr>
        <w:t>Family agreements are typically arrangements whereby an older person transfers their property (usually their home) or other assets of value to a family member who, in return, provides long-term care and support.</w:t>
      </w:r>
      <w:r w:rsidRPr="00532994">
        <w:rPr>
          <w:rStyle w:val="FootnoteReference"/>
          <w:rFonts w:ascii="Times New Roman" w:hAnsi="Times New Roman" w:cs="Times New Roman"/>
          <w:sz w:val="22"/>
        </w:rPr>
        <w:footnoteReference w:id="86"/>
      </w:r>
    </w:p>
    <w:p w:rsidR="00ED5E14" w:rsidRPr="00532994" w:rsidRDefault="00ED5E14" w:rsidP="003444E8">
      <w:pPr>
        <w:spacing w:line="360" w:lineRule="auto"/>
        <w:jc w:val="both"/>
        <w:rPr>
          <w:rFonts w:ascii="Times New Roman" w:hAnsi="Times New Roman" w:cs="Times New Roman"/>
          <w:sz w:val="22"/>
        </w:rPr>
      </w:pPr>
    </w:p>
    <w:p w:rsidR="00ED5E14" w:rsidRPr="00532994" w:rsidRDefault="00ED5E14" w:rsidP="003444E8">
      <w:pPr>
        <w:spacing w:line="360" w:lineRule="auto"/>
        <w:jc w:val="both"/>
        <w:rPr>
          <w:rFonts w:ascii="Times New Roman" w:hAnsi="Times New Roman" w:cs="Times New Roman"/>
          <w:sz w:val="22"/>
        </w:rPr>
      </w:pPr>
      <w:r w:rsidRPr="00532994">
        <w:rPr>
          <w:rFonts w:ascii="Times New Roman" w:hAnsi="Times New Roman" w:cs="Times New Roman"/>
          <w:sz w:val="22"/>
        </w:rPr>
        <w:t>The Issues Paper extends the scope of ‘family agreements’ to be synonymous with an ‘assets for care’ arrangement, an independent or private care agreement, a personal services contract, and/or a lifetime care contract.</w:t>
      </w:r>
      <w:r w:rsidRPr="00532994">
        <w:rPr>
          <w:rStyle w:val="FootnoteReference"/>
          <w:rFonts w:ascii="Times New Roman" w:hAnsi="Times New Roman" w:cs="Times New Roman"/>
          <w:sz w:val="22"/>
        </w:rPr>
        <w:footnoteReference w:id="87"/>
      </w:r>
      <w:r w:rsidRPr="00532994">
        <w:rPr>
          <w:rFonts w:ascii="Times New Roman" w:hAnsi="Times New Roman" w:cs="Times New Roman"/>
          <w:sz w:val="22"/>
        </w:rPr>
        <w:t xml:space="preserve"> These other terms show that such agreements are not strictly confined to ‘family’, and can instead include an understanding between an older person and a trusted person such as a friend or elderly caretaker. </w:t>
      </w:r>
    </w:p>
    <w:p w:rsidR="00ED5E14" w:rsidRPr="00532994" w:rsidRDefault="00ED5E14" w:rsidP="003444E8">
      <w:pPr>
        <w:spacing w:line="360" w:lineRule="auto"/>
        <w:jc w:val="both"/>
        <w:rPr>
          <w:rFonts w:ascii="Times New Roman" w:hAnsi="Times New Roman" w:cs="Times New Roman"/>
          <w:sz w:val="22"/>
        </w:rPr>
      </w:pPr>
    </w:p>
    <w:p w:rsidR="00ED5E14" w:rsidRPr="00532994" w:rsidRDefault="00ED5E14" w:rsidP="003444E8">
      <w:pPr>
        <w:spacing w:line="360" w:lineRule="auto"/>
        <w:jc w:val="both"/>
        <w:rPr>
          <w:rFonts w:ascii="Times New Roman" w:hAnsi="Times New Roman" w:cs="Times New Roman"/>
          <w:sz w:val="22"/>
        </w:rPr>
      </w:pPr>
      <w:r w:rsidRPr="00532994">
        <w:rPr>
          <w:rFonts w:ascii="Times New Roman" w:hAnsi="Times New Roman" w:cs="Times New Roman"/>
          <w:sz w:val="22"/>
        </w:rPr>
        <w:t>Due to the informal and private nature of these arrangements, family agreements are usually formed orally and without any legal advice.</w:t>
      </w:r>
      <w:r w:rsidRPr="00532994">
        <w:rPr>
          <w:rStyle w:val="FootnoteReference"/>
          <w:rFonts w:ascii="Times New Roman" w:hAnsi="Times New Roman" w:cs="Times New Roman"/>
          <w:sz w:val="22"/>
        </w:rPr>
        <w:footnoteReference w:id="88"/>
      </w:r>
      <w:r w:rsidRPr="00532994">
        <w:rPr>
          <w:rFonts w:ascii="Times New Roman" w:hAnsi="Times New Roman" w:cs="Times New Roman"/>
          <w:sz w:val="22"/>
        </w:rPr>
        <w:t xml:space="preserve"> Though most family agreements are undertaken with good intentions from the outset they often fail to address expectations or other relevant issues and are inclined to break down.</w:t>
      </w:r>
      <w:r w:rsidRPr="00532994">
        <w:rPr>
          <w:rStyle w:val="FootnoteReference"/>
          <w:rFonts w:ascii="Times New Roman" w:hAnsi="Times New Roman" w:cs="Times New Roman"/>
          <w:sz w:val="22"/>
        </w:rPr>
        <w:footnoteReference w:id="89"/>
      </w:r>
    </w:p>
    <w:p w:rsidR="00ED5E14" w:rsidRPr="00532994" w:rsidRDefault="00ED5E14" w:rsidP="003444E8">
      <w:pPr>
        <w:spacing w:line="360" w:lineRule="auto"/>
        <w:jc w:val="both"/>
        <w:rPr>
          <w:rFonts w:ascii="Times New Roman" w:hAnsi="Times New Roman" w:cs="Times New Roman"/>
          <w:b/>
          <w:sz w:val="22"/>
        </w:rPr>
      </w:pPr>
    </w:p>
    <w:p w:rsidR="00ED5E14" w:rsidRPr="00532994" w:rsidRDefault="00ED5E14" w:rsidP="003444E8">
      <w:pPr>
        <w:spacing w:line="360" w:lineRule="auto"/>
        <w:jc w:val="center"/>
        <w:rPr>
          <w:rFonts w:ascii="Times New Roman" w:hAnsi="Times New Roman" w:cs="Times New Roman"/>
          <w:b/>
        </w:rPr>
      </w:pPr>
      <w:r w:rsidRPr="00532994">
        <w:rPr>
          <w:rFonts w:ascii="Times New Roman" w:hAnsi="Times New Roman" w:cs="Times New Roman"/>
          <w:b/>
        </w:rPr>
        <w:t xml:space="preserve">B </w:t>
      </w:r>
      <w:r w:rsidRPr="00532994">
        <w:rPr>
          <w:rFonts w:ascii="Times New Roman" w:hAnsi="Times New Roman" w:cs="Times New Roman"/>
          <w:b/>
        </w:rPr>
        <w:tab/>
        <w:t xml:space="preserve">Barriers </w:t>
      </w:r>
      <w:r w:rsidR="00034781" w:rsidRPr="00532994">
        <w:rPr>
          <w:rFonts w:ascii="Times New Roman" w:hAnsi="Times New Roman" w:cs="Times New Roman"/>
          <w:b/>
        </w:rPr>
        <w:t>S</w:t>
      </w:r>
      <w:r w:rsidRPr="00532994">
        <w:rPr>
          <w:rFonts w:ascii="Times New Roman" w:hAnsi="Times New Roman" w:cs="Times New Roman"/>
          <w:b/>
        </w:rPr>
        <w:t xml:space="preserve">eniors </w:t>
      </w:r>
      <w:r w:rsidR="00034781" w:rsidRPr="00532994">
        <w:rPr>
          <w:rFonts w:ascii="Times New Roman" w:hAnsi="Times New Roman" w:cs="Times New Roman"/>
          <w:b/>
        </w:rPr>
        <w:t>F</w:t>
      </w:r>
      <w:r w:rsidRPr="00532994">
        <w:rPr>
          <w:rFonts w:ascii="Times New Roman" w:hAnsi="Times New Roman" w:cs="Times New Roman"/>
          <w:b/>
        </w:rPr>
        <w:t xml:space="preserve">ace </w:t>
      </w:r>
      <w:r w:rsidR="00034781" w:rsidRPr="00532994">
        <w:rPr>
          <w:rFonts w:ascii="Times New Roman" w:hAnsi="Times New Roman" w:cs="Times New Roman"/>
          <w:b/>
        </w:rPr>
        <w:t>W</w:t>
      </w:r>
      <w:r w:rsidRPr="00532994">
        <w:rPr>
          <w:rFonts w:ascii="Times New Roman" w:hAnsi="Times New Roman" w:cs="Times New Roman"/>
          <w:b/>
        </w:rPr>
        <w:t xml:space="preserve">hen </w:t>
      </w:r>
      <w:r w:rsidR="00034781" w:rsidRPr="00532994">
        <w:rPr>
          <w:rFonts w:ascii="Times New Roman" w:hAnsi="Times New Roman" w:cs="Times New Roman"/>
          <w:b/>
        </w:rPr>
        <w:t>F</w:t>
      </w:r>
      <w:r w:rsidRPr="00532994">
        <w:rPr>
          <w:rFonts w:ascii="Times New Roman" w:hAnsi="Times New Roman" w:cs="Times New Roman"/>
          <w:b/>
        </w:rPr>
        <w:t xml:space="preserve">amily </w:t>
      </w:r>
      <w:r w:rsidR="00034781" w:rsidRPr="00532994">
        <w:rPr>
          <w:rFonts w:ascii="Times New Roman" w:hAnsi="Times New Roman" w:cs="Times New Roman"/>
          <w:b/>
        </w:rPr>
        <w:t>A</w:t>
      </w:r>
      <w:r w:rsidRPr="00532994">
        <w:rPr>
          <w:rFonts w:ascii="Times New Roman" w:hAnsi="Times New Roman" w:cs="Times New Roman"/>
          <w:b/>
        </w:rPr>
        <w:t xml:space="preserve">greements </w:t>
      </w:r>
      <w:r w:rsidR="00034781" w:rsidRPr="00532994">
        <w:rPr>
          <w:rFonts w:ascii="Times New Roman" w:hAnsi="Times New Roman" w:cs="Times New Roman"/>
          <w:b/>
        </w:rPr>
        <w:t>B</w:t>
      </w:r>
      <w:r w:rsidRPr="00532994">
        <w:rPr>
          <w:rFonts w:ascii="Times New Roman" w:hAnsi="Times New Roman" w:cs="Times New Roman"/>
          <w:b/>
        </w:rPr>
        <w:t xml:space="preserve">reak </w:t>
      </w:r>
      <w:r w:rsidR="00034781" w:rsidRPr="00532994">
        <w:rPr>
          <w:rFonts w:ascii="Times New Roman" w:hAnsi="Times New Roman" w:cs="Times New Roman"/>
          <w:b/>
        </w:rPr>
        <w:t>D</w:t>
      </w:r>
      <w:r w:rsidRPr="00532994">
        <w:rPr>
          <w:rFonts w:ascii="Times New Roman" w:hAnsi="Times New Roman" w:cs="Times New Roman"/>
          <w:b/>
        </w:rPr>
        <w:t>own</w:t>
      </w:r>
    </w:p>
    <w:p w:rsidR="00ED5E14" w:rsidRPr="00532994" w:rsidRDefault="00ED5E14" w:rsidP="003444E8">
      <w:pPr>
        <w:spacing w:line="360" w:lineRule="auto"/>
        <w:jc w:val="center"/>
        <w:rPr>
          <w:rFonts w:ascii="Times New Roman" w:hAnsi="Times New Roman" w:cs="Times New Roman"/>
          <w:b/>
          <w:sz w:val="22"/>
        </w:rPr>
      </w:pPr>
    </w:p>
    <w:p w:rsidR="00ED5E14" w:rsidRPr="00532994" w:rsidRDefault="00ED5E14" w:rsidP="003444E8">
      <w:pPr>
        <w:spacing w:line="360" w:lineRule="auto"/>
        <w:jc w:val="both"/>
        <w:rPr>
          <w:rFonts w:ascii="Times New Roman" w:hAnsi="Times New Roman" w:cs="Times New Roman"/>
          <w:sz w:val="22"/>
        </w:rPr>
      </w:pPr>
      <w:r w:rsidRPr="00532994">
        <w:rPr>
          <w:rFonts w:ascii="Times New Roman" w:hAnsi="Times New Roman" w:cs="Times New Roman"/>
          <w:sz w:val="22"/>
        </w:rPr>
        <w:t xml:space="preserve">For some seniors, family agreements are desirable as it allows them the opportunity to continue living in the family home safely, with someone taking care of them. However, if the relationship between the senior and caregiver breaks down then seniors are at risk of losing their homes or they may ‘continue to live in </w:t>
      </w:r>
      <w:proofErr w:type="spellStart"/>
      <w:r w:rsidRPr="00532994">
        <w:rPr>
          <w:rFonts w:ascii="Times New Roman" w:hAnsi="Times New Roman" w:cs="Times New Roman"/>
          <w:sz w:val="22"/>
        </w:rPr>
        <w:t>caregiving</w:t>
      </w:r>
      <w:proofErr w:type="spellEnd"/>
      <w:r w:rsidRPr="00532994">
        <w:rPr>
          <w:rFonts w:ascii="Times New Roman" w:hAnsi="Times New Roman" w:cs="Times New Roman"/>
          <w:sz w:val="22"/>
        </w:rPr>
        <w:t xml:space="preserve"> relationships that have become unhappy or even abusive’.</w:t>
      </w:r>
      <w:r w:rsidRPr="00532994">
        <w:rPr>
          <w:rStyle w:val="FootnoteReference"/>
          <w:rFonts w:ascii="Times New Roman" w:hAnsi="Times New Roman" w:cs="Times New Roman"/>
          <w:sz w:val="22"/>
        </w:rPr>
        <w:footnoteReference w:id="90"/>
      </w:r>
    </w:p>
    <w:p w:rsidR="00ED5E14" w:rsidRPr="00532994" w:rsidRDefault="00ED5E14" w:rsidP="003444E8">
      <w:pPr>
        <w:spacing w:line="360" w:lineRule="auto"/>
        <w:jc w:val="both"/>
        <w:rPr>
          <w:rFonts w:ascii="Times New Roman" w:hAnsi="Times New Roman" w:cs="Times New Roman"/>
          <w:sz w:val="22"/>
        </w:rPr>
      </w:pPr>
    </w:p>
    <w:p w:rsidR="00ED5E14" w:rsidRPr="00532994" w:rsidRDefault="00ED5E14" w:rsidP="003444E8">
      <w:pPr>
        <w:spacing w:line="360" w:lineRule="auto"/>
        <w:jc w:val="both"/>
        <w:rPr>
          <w:rFonts w:ascii="Times New Roman" w:hAnsi="Times New Roman" w:cs="Times New Roman"/>
          <w:sz w:val="22"/>
        </w:rPr>
      </w:pPr>
      <w:r w:rsidRPr="00532994">
        <w:rPr>
          <w:rFonts w:ascii="Times New Roman" w:hAnsi="Times New Roman" w:cs="Times New Roman"/>
          <w:sz w:val="22"/>
        </w:rPr>
        <w:t xml:space="preserve">There is evidence that older people </w:t>
      </w:r>
      <w:r w:rsidR="00D90ACA">
        <w:rPr>
          <w:rFonts w:ascii="Times New Roman" w:hAnsi="Times New Roman" w:cs="Times New Roman"/>
          <w:sz w:val="22"/>
        </w:rPr>
        <w:t xml:space="preserve">cannot </w:t>
      </w:r>
      <w:r w:rsidRPr="00532994">
        <w:rPr>
          <w:rFonts w:ascii="Times New Roman" w:hAnsi="Times New Roman" w:cs="Times New Roman"/>
          <w:sz w:val="22"/>
        </w:rPr>
        <w:t xml:space="preserve">adequately safeguard their property interests and wellbeing when family agreements break down because of their aversion to engaging with the legal system. </w:t>
      </w:r>
    </w:p>
    <w:p w:rsidR="00ED5E14" w:rsidRPr="00532994" w:rsidRDefault="00ED5E14" w:rsidP="003444E8">
      <w:pPr>
        <w:spacing w:line="360" w:lineRule="auto"/>
        <w:jc w:val="both"/>
        <w:rPr>
          <w:rFonts w:ascii="Times New Roman" w:hAnsi="Times New Roman" w:cs="Times New Roman"/>
          <w:sz w:val="22"/>
        </w:rPr>
      </w:pPr>
    </w:p>
    <w:p w:rsidR="00ED5E14" w:rsidRPr="00532994" w:rsidRDefault="00ED5E14" w:rsidP="003444E8">
      <w:pPr>
        <w:spacing w:line="360" w:lineRule="auto"/>
        <w:jc w:val="both"/>
        <w:rPr>
          <w:rFonts w:ascii="Times New Roman" w:hAnsi="Times New Roman" w:cs="Times New Roman"/>
          <w:sz w:val="22"/>
        </w:rPr>
      </w:pPr>
      <w:r w:rsidRPr="00532994">
        <w:rPr>
          <w:rFonts w:ascii="Times New Roman" w:hAnsi="Times New Roman" w:cs="Times New Roman"/>
          <w:sz w:val="22"/>
        </w:rPr>
        <w:t>Firstly, the considerable financial cost of obtaining legal assistance deters older people from accessing the legal system.</w:t>
      </w:r>
      <w:r w:rsidRPr="00532994">
        <w:rPr>
          <w:rStyle w:val="FootnoteReference"/>
          <w:rFonts w:ascii="Times New Roman" w:hAnsi="Times New Roman" w:cs="Times New Roman"/>
          <w:sz w:val="22"/>
        </w:rPr>
        <w:footnoteReference w:id="91"/>
      </w:r>
      <w:r w:rsidRPr="00532994">
        <w:rPr>
          <w:rFonts w:ascii="Times New Roman" w:hAnsi="Times New Roman" w:cs="Times New Roman"/>
          <w:sz w:val="22"/>
        </w:rPr>
        <w:t xml:space="preserve"> Once a family agreement breaks down, seniors may have already transferred their largest assets to the carer and be forced to spend their money on alternative accommodation arrangements,</w:t>
      </w:r>
      <w:r w:rsidRPr="00532994">
        <w:rPr>
          <w:rStyle w:val="FootnoteReference"/>
          <w:rFonts w:ascii="Times New Roman" w:hAnsi="Times New Roman" w:cs="Times New Roman"/>
          <w:sz w:val="22"/>
        </w:rPr>
        <w:footnoteReference w:id="92"/>
      </w:r>
      <w:r w:rsidRPr="00532994">
        <w:rPr>
          <w:rFonts w:ascii="Times New Roman" w:hAnsi="Times New Roman" w:cs="Times New Roman"/>
          <w:sz w:val="22"/>
        </w:rPr>
        <w:t xml:space="preserve"> leaving little left over to spend on legal assistance. </w:t>
      </w:r>
    </w:p>
    <w:p w:rsidR="00ED5E14" w:rsidRPr="00532994" w:rsidRDefault="00ED5E14" w:rsidP="003444E8">
      <w:pPr>
        <w:spacing w:line="360" w:lineRule="auto"/>
        <w:jc w:val="both"/>
        <w:rPr>
          <w:rFonts w:ascii="Times New Roman" w:hAnsi="Times New Roman" w:cs="Times New Roman"/>
          <w:sz w:val="22"/>
        </w:rPr>
      </w:pPr>
    </w:p>
    <w:p w:rsidR="00ED5E14" w:rsidRPr="00532994" w:rsidRDefault="00ED5E14" w:rsidP="003444E8">
      <w:pPr>
        <w:spacing w:line="360" w:lineRule="auto"/>
        <w:jc w:val="both"/>
        <w:rPr>
          <w:rFonts w:ascii="Times New Roman" w:hAnsi="Times New Roman" w:cs="Times New Roman"/>
          <w:sz w:val="22"/>
        </w:rPr>
      </w:pPr>
      <w:proofErr w:type="spellStart"/>
      <w:r w:rsidRPr="00532994">
        <w:rPr>
          <w:rFonts w:ascii="Times New Roman" w:hAnsi="Times New Roman" w:cs="Times New Roman"/>
          <w:sz w:val="22"/>
        </w:rPr>
        <w:t>Sociocultural</w:t>
      </w:r>
      <w:proofErr w:type="spellEnd"/>
      <w:r w:rsidRPr="00532994">
        <w:rPr>
          <w:rFonts w:ascii="Times New Roman" w:hAnsi="Times New Roman" w:cs="Times New Roman"/>
          <w:sz w:val="22"/>
        </w:rPr>
        <w:t xml:space="preserve"> factors also play a part in dissuading seniors from seeking to protect their interests through the legal system. Older people wish to preserve family relations because ‘conflict with family also takes an emotional toll’, with seniors often feeling a strong sense of shame about a breakdown in family ties.</w:t>
      </w:r>
      <w:r w:rsidRPr="00532994">
        <w:rPr>
          <w:rStyle w:val="FootnoteReference"/>
          <w:rFonts w:ascii="Times New Roman" w:hAnsi="Times New Roman" w:cs="Times New Roman"/>
          <w:sz w:val="22"/>
        </w:rPr>
        <w:footnoteReference w:id="93"/>
      </w:r>
      <w:r w:rsidRPr="00532994">
        <w:rPr>
          <w:rFonts w:ascii="Times New Roman" w:hAnsi="Times New Roman" w:cs="Times New Roman"/>
          <w:sz w:val="22"/>
        </w:rPr>
        <w:t xml:space="preserve"> Seniors may avoid turning to the legal system to protect their interests as they do not want to air their private family grievances in such ‘a public manner’.</w:t>
      </w:r>
      <w:r w:rsidRPr="00532994">
        <w:rPr>
          <w:rStyle w:val="FootnoteReference"/>
          <w:rFonts w:ascii="Times New Roman" w:hAnsi="Times New Roman" w:cs="Times New Roman"/>
          <w:sz w:val="22"/>
        </w:rPr>
        <w:footnoteReference w:id="94"/>
      </w:r>
    </w:p>
    <w:p w:rsidR="00ED5E14" w:rsidRPr="00532994" w:rsidRDefault="00ED5E14" w:rsidP="003444E8">
      <w:pPr>
        <w:spacing w:line="360" w:lineRule="auto"/>
        <w:jc w:val="both"/>
        <w:rPr>
          <w:rFonts w:ascii="Times New Roman" w:hAnsi="Times New Roman" w:cs="Times New Roman"/>
          <w:sz w:val="22"/>
        </w:rPr>
      </w:pPr>
    </w:p>
    <w:p w:rsidR="00ED5E14" w:rsidRPr="00532994" w:rsidRDefault="00ED5E14" w:rsidP="003444E8">
      <w:pPr>
        <w:spacing w:line="360" w:lineRule="auto"/>
        <w:jc w:val="both"/>
        <w:rPr>
          <w:rFonts w:ascii="Times New Roman" w:hAnsi="Times New Roman" w:cs="Times New Roman"/>
          <w:sz w:val="22"/>
        </w:rPr>
      </w:pPr>
      <w:r w:rsidRPr="00532994">
        <w:rPr>
          <w:rFonts w:ascii="Times New Roman" w:hAnsi="Times New Roman" w:cs="Times New Roman"/>
          <w:sz w:val="22"/>
        </w:rPr>
        <w:t xml:space="preserve"> As a way to protect the older person’s interest, Hall suggests that a ‘family conference’ be conducted before the family agreement takes place.</w:t>
      </w:r>
      <w:r w:rsidRPr="00532994">
        <w:rPr>
          <w:rStyle w:val="FootnoteReference"/>
          <w:rFonts w:ascii="Times New Roman" w:hAnsi="Times New Roman" w:cs="Times New Roman"/>
          <w:sz w:val="22"/>
        </w:rPr>
        <w:footnoteReference w:id="95"/>
      </w:r>
      <w:r w:rsidRPr="00532994">
        <w:rPr>
          <w:rFonts w:ascii="Times New Roman" w:hAnsi="Times New Roman" w:cs="Times New Roman"/>
          <w:sz w:val="22"/>
        </w:rPr>
        <w:t xml:space="preserve"> At this family conference, the older person’s lawyer attends and assists in drafting and explaining to all parties a contract setting out the terms of care and asset exchange.</w:t>
      </w:r>
      <w:r w:rsidRPr="00532994">
        <w:rPr>
          <w:rStyle w:val="FootnoteReference"/>
          <w:rFonts w:ascii="Times New Roman" w:hAnsi="Times New Roman" w:cs="Times New Roman"/>
          <w:sz w:val="22"/>
        </w:rPr>
        <w:footnoteReference w:id="96"/>
      </w:r>
      <w:r w:rsidRPr="00532994">
        <w:rPr>
          <w:rFonts w:ascii="Times New Roman" w:hAnsi="Times New Roman" w:cs="Times New Roman"/>
          <w:sz w:val="22"/>
        </w:rPr>
        <w:t xml:space="preserve"> Following this all parties are advised to seek independent legal advice. At a second conference, the agreement is signed by and distributed to all parties.</w:t>
      </w:r>
      <w:r w:rsidRPr="00532994">
        <w:rPr>
          <w:rStyle w:val="FootnoteReference"/>
          <w:rFonts w:ascii="Times New Roman" w:hAnsi="Times New Roman" w:cs="Times New Roman"/>
          <w:sz w:val="22"/>
        </w:rPr>
        <w:footnoteReference w:id="97"/>
      </w:r>
    </w:p>
    <w:p w:rsidR="00ED5E14" w:rsidRPr="00532994" w:rsidRDefault="00ED5E14" w:rsidP="003444E8">
      <w:pPr>
        <w:spacing w:line="360" w:lineRule="auto"/>
        <w:jc w:val="both"/>
        <w:rPr>
          <w:rFonts w:ascii="Times New Roman" w:hAnsi="Times New Roman" w:cs="Times New Roman"/>
          <w:sz w:val="22"/>
        </w:rPr>
      </w:pPr>
    </w:p>
    <w:p w:rsidR="00ED5E14" w:rsidRPr="00532994" w:rsidRDefault="00ED5E14" w:rsidP="003444E8">
      <w:pPr>
        <w:spacing w:line="360" w:lineRule="auto"/>
        <w:jc w:val="both"/>
        <w:rPr>
          <w:rFonts w:ascii="Times New Roman" w:hAnsi="Times New Roman" w:cs="Times New Roman"/>
          <w:sz w:val="22"/>
        </w:rPr>
      </w:pPr>
      <w:r w:rsidRPr="00532994">
        <w:rPr>
          <w:rFonts w:ascii="Times New Roman" w:hAnsi="Times New Roman" w:cs="Times New Roman"/>
          <w:sz w:val="22"/>
        </w:rPr>
        <w:t>Although families should be encouraged to discuss and record their agreements, this style of family conference is not practical to the majority of people. First, it does not address informal and private nature of family agreements to overcome the common reluctance to seek external advice. Second, the involvement of the older person’s lawyer early in the process may be seen as unduly confrontational and may undermine family trust. Third, like litigation, family conferences may be cost prohibitive, though not as expensive as litigation. Finally, conducting a family conference in this manner seems inappropriate because it treats families like individuals engaged in a commercial transaction, when in actuality there may be a senior’s wellbeing that is at stake.</w:t>
      </w:r>
    </w:p>
    <w:p w:rsidR="00ED5E14" w:rsidRPr="00532994" w:rsidRDefault="00ED5E14" w:rsidP="003444E8">
      <w:pPr>
        <w:spacing w:line="360" w:lineRule="auto"/>
        <w:jc w:val="both"/>
        <w:rPr>
          <w:rFonts w:ascii="Times New Roman" w:hAnsi="Times New Roman" w:cs="Times New Roman"/>
          <w:sz w:val="22"/>
        </w:rPr>
      </w:pPr>
    </w:p>
    <w:p w:rsidR="00ED5E14" w:rsidRPr="00532994" w:rsidRDefault="00ED5E14" w:rsidP="003444E8">
      <w:pPr>
        <w:spacing w:line="360" w:lineRule="auto"/>
        <w:jc w:val="both"/>
        <w:rPr>
          <w:rFonts w:ascii="Times New Roman" w:hAnsi="Times New Roman" w:cs="Times New Roman"/>
          <w:sz w:val="22"/>
        </w:rPr>
      </w:pPr>
      <w:r w:rsidRPr="00532994">
        <w:rPr>
          <w:rFonts w:ascii="Times New Roman" w:hAnsi="Times New Roman" w:cs="Times New Roman"/>
          <w:sz w:val="22"/>
        </w:rPr>
        <w:t>There may be cases where courts will apply equitable principles to protect the rights of elderly people even where a formal agreement does not exist.</w:t>
      </w:r>
      <w:r w:rsidRPr="00532994">
        <w:rPr>
          <w:rStyle w:val="FootnoteReference"/>
          <w:rFonts w:ascii="Times New Roman" w:hAnsi="Times New Roman" w:cs="Times New Roman"/>
          <w:sz w:val="22"/>
        </w:rPr>
        <w:footnoteReference w:id="98"/>
      </w:r>
      <w:r w:rsidRPr="00532994">
        <w:rPr>
          <w:rFonts w:ascii="Times New Roman" w:hAnsi="Times New Roman" w:cs="Times New Roman"/>
          <w:sz w:val="22"/>
        </w:rPr>
        <w:t xml:space="preserve"> However, these principles narrowly focused on the </w:t>
      </w:r>
      <w:r w:rsidRPr="00532994">
        <w:rPr>
          <w:rFonts w:ascii="Times New Roman" w:hAnsi="Times New Roman" w:cs="Times New Roman"/>
          <w:sz w:val="22"/>
        </w:rPr>
        <w:lastRenderedPageBreak/>
        <w:t xml:space="preserve">parties’ legal issues and do not take into account the wider social context of the family breakdown. Furthermore, they may not apply in all cases, and where they do apply, such remedies may be inadequate. </w:t>
      </w:r>
    </w:p>
    <w:p w:rsidR="00ED5E14" w:rsidRPr="00532994" w:rsidRDefault="00ED5E14" w:rsidP="003444E8">
      <w:pPr>
        <w:spacing w:line="360" w:lineRule="auto"/>
        <w:jc w:val="both"/>
        <w:rPr>
          <w:rFonts w:ascii="Times New Roman" w:hAnsi="Times New Roman" w:cs="Times New Roman"/>
          <w:sz w:val="22"/>
        </w:rPr>
      </w:pPr>
    </w:p>
    <w:p w:rsidR="00ED5E14" w:rsidRPr="00532994" w:rsidRDefault="00ED5E14" w:rsidP="003444E8">
      <w:pPr>
        <w:spacing w:line="360" w:lineRule="auto"/>
        <w:jc w:val="both"/>
        <w:rPr>
          <w:rFonts w:ascii="Times New Roman" w:hAnsi="Times New Roman" w:cs="Times New Roman"/>
          <w:sz w:val="22"/>
        </w:rPr>
      </w:pPr>
      <w:r w:rsidRPr="00532994">
        <w:rPr>
          <w:rFonts w:ascii="Times New Roman" w:hAnsi="Times New Roman" w:cs="Times New Roman"/>
          <w:sz w:val="22"/>
        </w:rPr>
        <w:t xml:space="preserve">The case of </w:t>
      </w:r>
      <w:r w:rsidRPr="00532994">
        <w:rPr>
          <w:rFonts w:ascii="Times New Roman" w:hAnsi="Times New Roman" w:cs="Times New Roman"/>
          <w:i/>
          <w:sz w:val="22"/>
        </w:rPr>
        <w:t>Callaghan v Callaghan</w:t>
      </w:r>
      <w:r w:rsidRPr="00532994">
        <w:rPr>
          <w:rStyle w:val="FootnoteReference"/>
          <w:rFonts w:ascii="Times New Roman" w:hAnsi="Times New Roman" w:cs="Times New Roman"/>
          <w:sz w:val="22"/>
        </w:rPr>
        <w:footnoteReference w:id="99"/>
      </w:r>
      <w:r w:rsidRPr="00532994">
        <w:rPr>
          <w:rFonts w:ascii="Times New Roman" w:hAnsi="Times New Roman" w:cs="Times New Roman"/>
          <w:sz w:val="22"/>
        </w:rPr>
        <w:t xml:space="preserve"> involved a 77-year-old father who purchased a house for his adult daughter to live in, with the title held in the daughter’s name, for the purpose of reducing stamp duty. The father agreed to live in a flat at the rear of the house.</w:t>
      </w:r>
      <w:r w:rsidRPr="00532994">
        <w:rPr>
          <w:rStyle w:val="FootnoteReference"/>
          <w:rFonts w:ascii="Times New Roman" w:hAnsi="Times New Roman" w:cs="Times New Roman"/>
          <w:sz w:val="22"/>
        </w:rPr>
        <w:footnoteReference w:id="100"/>
      </w:r>
      <w:r w:rsidRPr="00532994">
        <w:rPr>
          <w:rFonts w:ascii="Times New Roman" w:hAnsi="Times New Roman" w:cs="Times New Roman"/>
          <w:sz w:val="22"/>
        </w:rPr>
        <w:t xml:space="preserve"> Their relationship broke down after the father formed a new relationship with a woman who would later become his wife.</w:t>
      </w:r>
      <w:r w:rsidRPr="00532994">
        <w:rPr>
          <w:rStyle w:val="FootnoteReference"/>
          <w:rFonts w:ascii="Times New Roman" w:hAnsi="Times New Roman" w:cs="Times New Roman"/>
          <w:sz w:val="22"/>
        </w:rPr>
        <w:footnoteReference w:id="101"/>
      </w:r>
      <w:r w:rsidRPr="00532994">
        <w:rPr>
          <w:rFonts w:ascii="Times New Roman" w:hAnsi="Times New Roman" w:cs="Times New Roman"/>
          <w:sz w:val="22"/>
        </w:rPr>
        <w:t xml:space="preserve"> The father went on a holiday and during this time, the daughter made arrangements to sell the house.</w:t>
      </w:r>
      <w:r w:rsidRPr="00532994">
        <w:rPr>
          <w:rStyle w:val="FootnoteReference"/>
          <w:rFonts w:ascii="Times New Roman" w:hAnsi="Times New Roman" w:cs="Times New Roman"/>
          <w:sz w:val="22"/>
        </w:rPr>
        <w:footnoteReference w:id="102"/>
      </w:r>
      <w:r w:rsidRPr="00532994">
        <w:rPr>
          <w:rFonts w:ascii="Times New Roman" w:hAnsi="Times New Roman" w:cs="Times New Roman"/>
          <w:sz w:val="22"/>
        </w:rPr>
        <w:t xml:space="preserve"> Justice Perry stated in </w:t>
      </w:r>
      <w:proofErr w:type="spellStart"/>
      <w:r w:rsidRPr="00532994">
        <w:rPr>
          <w:rFonts w:ascii="Times New Roman" w:hAnsi="Times New Roman" w:cs="Times New Roman"/>
          <w:sz w:val="22"/>
        </w:rPr>
        <w:t>orbiter</w:t>
      </w:r>
      <w:proofErr w:type="spellEnd"/>
      <w:r w:rsidRPr="00532994">
        <w:rPr>
          <w:rFonts w:ascii="Times New Roman" w:hAnsi="Times New Roman" w:cs="Times New Roman"/>
          <w:sz w:val="22"/>
        </w:rPr>
        <w:t>, that the presumption of advancement would apply even if that child could independently support themselves.</w:t>
      </w:r>
      <w:r w:rsidRPr="00532994">
        <w:rPr>
          <w:rStyle w:val="FootnoteReference"/>
          <w:rFonts w:ascii="Times New Roman" w:hAnsi="Times New Roman" w:cs="Times New Roman"/>
          <w:sz w:val="22"/>
        </w:rPr>
        <w:footnoteReference w:id="103"/>
      </w:r>
      <w:r w:rsidRPr="00532994">
        <w:rPr>
          <w:rFonts w:ascii="Times New Roman" w:hAnsi="Times New Roman" w:cs="Times New Roman"/>
          <w:sz w:val="22"/>
        </w:rPr>
        <w:t xml:space="preserve"> Ultimately, it was found to be the father’s actual known intention to give the house to his daughter. However, the father had a life interest in the flat, and was entitled to recover the value of this life interest from the proceeds of the sale.</w:t>
      </w:r>
      <w:r w:rsidRPr="00532994">
        <w:rPr>
          <w:rStyle w:val="FootnoteReference"/>
          <w:rFonts w:ascii="Times New Roman" w:hAnsi="Times New Roman" w:cs="Times New Roman"/>
          <w:sz w:val="22"/>
        </w:rPr>
        <w:footnoteReference w:id="104"/>
      </w:r>
      <w:r w:rsidRPr="00532994">
        <w:rPr>
          <w:rFonts w:ascii="Times New Roman" w:hAnsi="Times New Roman" w:cs="Times New Roman"/>
          <w:sz w:val="22"/>
        </w:rPr>
        <w:t xml:space="preserve"> </w:t>
      </w:r>
    </w:p>
    <w:p w:rsidR="00ED5E14" w:rsidRPr="00532994" w:rsidRDefault="00ED5E14" w:rsidP="003444E8">
      <w:pPr>
        <w:spacing w:line="360" w:lineRule="auto"/>
        <w:jc w:val="both"/>
        <w:rPr>
          <w:rFonts w:ascii="Times New Roman" w:hAnsi="Times New Roman" w:cs="Times New Roman"/>
          <w:sz w:val="22"/>
        </w:rPr>
      </w:pPr>
    </w:p>
    <w:p w:rsidR="00ED5E14" w:rsidRPr="00532994" w:rsidRDefault="00ED5E14" w:rsidP="003444E8">
      <w:pPr>
        <w:spacing w:line="360" w:lineRule="auto"/>
        <w:jc w:val="both"/>
        <w:rPr>
          <w:rFonts w:ascii="Times New Roman" w:hAnsi="Times New Roman" w:cs="Times New Roman"/>
          <w:sz w:val="22"/>
        </w:rPr>
      </w:pPr>
      <w:r w:rsidRPr="00532994">
        <w:rPr>
          <w:rFonts w:ascii="Times New Roman" w:hAnsi="Times New Roman" w:cs="Times New Roman"/>
          <w:sz w:val="22"/>
        </w:rPr>
        <w:t xml:space="preserve">In </w:t>
      </w:r>
      <w:r w:rsidRPr="00532994">
        <w:rPr>
          <w:rFonts w:ascii="Times New Roman" w:hAnsi="Times New Roman" w:cs="Times New Roman"/>
          <w:i/>
          <w:sz w:val="22"/>
        </w:rPr>
        <w:t>Morris v Morris</w:t>
      </w:r>
      <w:r w:rsidRPr="00532994">
        <w:rPr>
          <w:rFonts w:ascii="Times New Roman" w:hAnsi="Times New Roman" w:cs="Times New Roman"/>
          <w:sz w:val="22"/>
        </w:rPr>
        <w:t>,</w:t>
      </w:r>
      <w:r w:rsidRPr="00532994">
        <w:rPr>
          <w:rStyle w:val="FootnoteReference"/>
          <w:rFonts w:ascii="Times New Roman" w:hAnsi="Times New Roman" w:cs="Times New Roman"/>
          <w:sz w:val="22"/>
        </w:rPr>
        <w:footnoteReference w:id="105"/>
      </w:r>
      <w:r w:rsidRPr="00532994">
        <w:rPr>
          <w:rFonts w:ascii="Times New Roman" w:hAnsi="Times New Roman" w:cs="Times New Roman"/>
          <w:i/>
          <w:sz w:val="22"/>
        </w:rPr>
        <w:t xml:space="preserve"> </w:t>
      </w:r>
      <w:r w:rsidRPr="00532994">
        <w:rPr>
          <w:rFonts w:ascii="Times New Roman" w:hAnsi="Times New Roman" w:cs="Times New Roman"/>
          <w:sz w:val="22"/>
        </w:rPr>
        <w:t>the plaintiff, a 69-year-old father, sold his home after the death of his wife and moved into his son’s family house.</w:t>
      </w:r>
      <w:r w:rsidRPr="00532994">
        <w:rPr>
          <w:rStyle w:val="FootnoteReference"/>
          <w:rFonts w:ascii="Times New Roman" w:hAnsi="Times New Roman" w:cs="Times New Roman"/>
          <w:sz w:val="22"/>
        </w:rPr>
        <w:footnoteReference w:id="106"/>
      </w:r>
      <w:r w:rsidRPr="00532994">
        <w:rPr>
          <w:rFonts w:ascii="Times New Roman" w:hAnsi="Times New Roman" w:cs="Times New Roman"/>
          <w:sz w:val="22"/>
        </w:rPr>
        <w:t xml:space="preserve"> The father put the proceeds from the sale of his house towards the construction of a second story to his son’s house.</w:t>
      </w:r>
      <w:r w:rsidRPr="00532994">
        <w:rPr>
          <w:rStyle w:val="FootnoteReference"/>
          <w:rFonts w:ascii="Times New Roman" w:hAnsi="Times New Roman" w:cs="Times New Roman"/>
          <w:sz w:val="22"/>
        </w:rPr>
        <w:footnoteReference w:id="107"/>
      </w:r>
      <w:r w:rsidRPr="00532994">
        <w:rPr>
          <w:rFonts w:ascii="Times New Roman" w:hAnsi="Times New Roman" w:cs="Times New Roman"/>
          <w:sz w:val="22"/>
        </w:rPr>
        <w:t xml:space="preserve"> Unfortunately, the father was forced to move out of the house because his son’s marriage broke down.</w:t>
      </w:r>
      <w:r w:rsidRPr="00532994">
        <w:rPr>
          <w:rStyle w:val="FootnoteReference"/>
          <w:rFonts w:ascii="Times New Roman" w:hAnsi="Times New Roman" w:cs="Times New Roman"/>
          <w:sz w:val="22"/>
        </w:rPr>
        <w:footnoteReference w:id="108"/>
      </w:r>
      <w:r w:rsidRPr="00532994">
        <w:rPr>
          <w:rFonts w:ascii="Times New Roman" w:hAnsi="Times New Roman" w:cs="Times New Roman"/>
          <w:sz w:val="22"/>
        </w:rPr>
        <w:t xml:space="preserve"> Justice </w:t>
      </w:r>
      <w:proofErr w:type="spellStart"/>
      <w:r w:rsidRPr="00532994">
        <w:rPr>
          <w:rFonts w:ascii="Times New Roman" w:hAnsi="Times New Roman" w:cs="Times New Roman"/>
          <w:sz w:val="22"/>
        </w:rPr>
        <w:t>McLelland</w:t>
      </w:r>
      <w:proofErr w:type="spellEnd"/>
      <w:r w:rsidRPr="00532994">
        <w:rPr>
          <w:rFonts w:ascii="Times New Roman" w:hAnsi="Times New Roman" w:cs="Times New Roman"/>
          <w:sz w:val="22"/>
        </w:rPr>
        <w:t xml:space="preserve"> held that the father’s expectation at the time of making the investment was that he would live in the house indefinitely, and it would be unconscionable for the son to keep the benefit of his father’s investment.</w:t>
      </w:r>
      <w:r w:rsidRPr="00532994">
        <w:rPr>
          <w:rStyle w:val="FootnoteReference"/>
          <w:rFonts w:ascii="Times New Roman" w:hAnsi="Times New Roman" w:cs="Times New Roman"/>
          <w:sz w:val="22"/>
        </w:rPr>
        <w:footnoteReference w:id="109"/>
      </w:r>
      <w:r w:rsidRPr="00532994">
        <w:rPr>
          <w:rFonts w:ascii="Times New Roman" w:hAnsi="Times New Roman" w:cs="Times New Roman"/>
          <w:sz w:val="22"/>
        </w:rPr>
        <w:t xml:space="preserve"> As such, the father was granted an equitable charge over the property to secure the amount of money he spent on extending the property.</w:t>
      </w:r>
      <w:r w:rsidRPr="00532994">
        <w:rPr>
          <w:rStyle w:val="FootnoteReference"/>
          <w:rFonts w:ascii="Times New Roman" w:hAnsi="Times New Roman" w:cs="Times New Roman"/>
          <w:sz w:val="22"/>
        </w:rPr>
        <w:footnoteReference w:id="110"/>
      </w:r>
    </w:p>
    <w:p w:rsidR="00ED5E14" w:rsidRPr="00532994" w:rsidRDefault="00ED5E14" w:rsidP="003444E8">
      <w:pPr>
        <w:spacing w:line="360" w:lineRule="auto"/>
        <w:rPr>
          <w:rFonts w:ascii="Times New Roman" w:hAnsi="Times New Roman" w:cs="Times New Roman"/>
          <w:sz w:val="22"/>
        </w:rPr>
      </w:pPr>
    </w:p>
    <w:p w:rsidR="00ED5E14" w:rsidRPr="00532994" w:rsidRDefault="00ED5E14" w:rsidP="003444E8">
      <w:pPr>
        <w:spacing w:line="360" w:lineRule="auto"/>
        <w:rPr>
          <w:rFonts w:ascii="Times New Roman" w:hAnsi="Times New Roman" w:cs="Times New Roman"/>
          <w:sz w:val="22"/>
        </w:rPr>
      </w:pPr>
      <w:r w:rsidRPr="00532994">
        <w:rPr>
          <w:rFonts w:ascii="Times New Roman" w:hAnsi="Times New Roman" w:cs="Times New Roman"/>
          <w:sz w:val="22"/>
        </w:rPr>
        <w:t xml:space="preserve">As these cases demonstrate, that equity may afford some protections for the interests of older people, however, this is purely dependent on the facts of each case fitting within equitable frameworks, such as </w:t>
      </w:r>
      <w:proofErr w:type="spellStart"/>
      <w:r w:rsidRPr="00532994">
        <w:rPr>
          <w:rFonts w:ascii="Times New Roman" w:hAnsi="Times New Roman" w:cs="Times New Roman"/>
          <w:sz w:val="22"/>
        </w:rPr>
        <w:t>unconscionability</w:t>
      </w:r>
      <w:proofErr w:type="spellEnd"/>
      <w:r w:rsidRPr="00532994">
        <w:rPr>
          <w:rFonts w:ascii="Times New Roman" w:hAnsi="Times New Roman" w:cs="Times New Roman"/>
          <w:sz w:val="22"/>
        </w:rPr>
        <w:t xml:space="preserve"> and detrimental reliance. Notably too, in both cases, the elderly party was awarded a monetary remedy and their legal interest in the property was not protected.</w:t>
      </w:r>
    </w:p>
    <w:p w:rsidR="00ED5E14" w:rsidRPr="00532994" w:rsidRDefault="00ED5E14" w:rsidP="003444E8">
      <w:pPr>
        <w:spacing w:line="360" w:lineRule="auto"/>
        <w:rPr>
          <w:rFonts w:ascii="Times New Roman" w:hAnsi="Times New Roman" w:cs="Times New Roman"/>
          <w:sz w:val="22"/>
        </w:rPr>
      </w:pPr>
    </w:p>
    <w:tbl>
      <w:tblPr>
        <w:tblStyle w:val="TableGrid"/>
        <w:tblW w:w="0" w:type="auto"/>
        <w:tblLook w:val="04A0"/>
      </w:tblPr>
      <w:tblGrid>
        <w:gridCol w:w="9236"/>
      </w:tblGrid>
      <w:tr w:rsidR="00ED5E14" w:rsidRPr="00532994" w:rsidTr="00ED5E14">
        <w:tc>
          <w:tcPr>
            <w:tcW w:w="9576" w:type="dxa"/>
            <w:tcBorders>
              <w:top w:val="single" w:sz="4" w:space="0" w:color="auto"/>
              <w:left w:val="single" w:sz="4" w:space="0" w:color="auto"/>
              <w:bottom w:val="single" w:sz="4" w:space="0" w:color="auto"/>
              <w:right w:val="single" w:sz="4" w:space="0" w:color="auto"/>
            </w:tcBorders>
            <w:hideMark/>
          </w:tcPr>
          <w:p w:rsidR="00ED5E14" w:rsidRPr="00532994" w:rsidRDefault="00ED5E14" w:rsidP="003444E8">
            <w:pPr>
              <w:spacing w:line="360" w:lineRule="auto"/>
              <w:rPr>
                <w:rFonts w:ascii="Times New Roman" w:hAnsi="Times New Roman" w:cs="Times New Roman"/>
                <w:sz w:val="22"/>
                <w:szCs w:val="22"/>
                <w:lang w:val="en-US"/>
              </w:rPr>
            </w:pPr>
            <w:r w:rsidRPr="00532994">
              <w:rPr>
                <w:rFonts w:ascii="Times New Roman" w:hAnsi="Times New Roman" w:cs="Times New Roman"/>
                <w:b/>
                <w:bCs/>
                <w:sz w:val="22"/>
              </w:rPr>
              <w:lastRenderedPageBreak/>
              <w:t xml:space="preserve">Question 28 </w:t>
            </w:r>
            <w:r w:rsidRPr="00532994">
              <w:rPr>
                <w:rFonts w:ascii="Times New Roman" w:hAnsi="Times New Roman" w:cs="Times New Roman"/>
                <w:b/>
                <w:bCs/>
                <w:sz w:val="22"/>
              </w:rPr>
              <w:tab/>
            </w:r>
            <w:r w:rsidRPr="00532994">
              <w:rPr>
                <w:rFonts w:ascii="Times New Roman" w:hAnsi="Times New Roman" w:cs="Times New Roman"/>
                <w:b/>
                <w:bCs/>
                <w:sz w:val="22"/>
              </w:rPr>
              <w:tab/>
            </w:r>
            <w:r w:rsidRPr="00532994">
              <w:rPr>
                <w:rFonts w:ascii="Times New Roman" w:hAnsi="Times New Roman" w:cs="Times New Roman"/>
                <w:sz w:val="22"/>
              </w:rPr>
              <w:t>What changes should be made to laws or legal frameworks to better safeguard the interests of older people when family agreements break down?</w:t>
            </w:r>
          </w:p>
        </w:tc>
      </w:tr>
    </w:tbl>
    <w:p w:rsidR="00ED5E14" w:rsidRPr="00532994" w:rsidRDefault="00ED5E14" w:rsidP="003444E8">
      <w:pPr>
        <w:spacing w:line="360" w:lineRule="auto"/>
        <w:rPr>
          <w:rFonts w:ascii="Times New Roman" w:hAnsi="Times New Roman" w:cs="Times New Roman"/>
          <w:sz w:val="22"/>
          <w:szCs w:val="22"/>
          <w:lang w:val="en-US"/>
        </w:rPr>
      </w:pPr>
    </w:p>
    <w:p w:rsidR="00ED5E14" w:rsidRPr="00532994" w:rsidRDefault="00ED5E14" w:rsidP="003444E8">
      <w:pPr>
        <w:spacing w:line="360" w:lineRule="auto"/>
        <w:jc w:val="center"/>
        <w:rPr>
          <w:rFonts w:ascii="Times New Roman" w:hAnsi="Times New Roman" w:cs="Times New Roman"/>
          <w:b/>
        </w:rPr>
      </w:pPr>
      <w:r w:rsidRPr="00532994">
        <w:rPr>
          <w:rFonts w:ascii="Times New Roman" w:hAnsi="Times New Roman" w:cs="Times New Roman"/>
          <w:b/>
        </w:rPr>
        <w:t>A</w:t>
      </w:r>
      <w:r w:rsidRPr="00532994">
        <w:rPr>
          <w:rFonts w:ascii="Times New Roman" w:hAnsi="Times New Roman" w:cs="Times New Roman"/>
          <w:b/>
        </w:rPr>
        <w:tab/>
      </w:r>
      <w:r w:rsidRPr="00532994">
        <w:rPr>
          <w:rFonts w:ascii="Times New Roman" w:hAnsi="Times New Roman" w:cs="Times New Roman"/>
        </w:rPr>
        <w:t>C</w:t>
      </w:r>
      <w:r w:rsidRPr="00532994">
        <w:rPr>
          <w:rFonts w:ascii="Times New Roman" w:hAnsi="Times New Roman" w:cs="Times New Roman"/>
          <w:b/>
        </w:rPr>
        <w:t>urrent Regulatory Frame of Family Agreements</w:t>
      </w:r>
    </w:p>
    <w:p w:rsidR="00ED5E14" w:rsidRPr="00532994" w:rsidRDefault="00ED5E14" w:rsidP="003444E8">
      <w:pPr>
        <w:spacing w:line="360" w:lineRule="auto"/>
        <w:rPr>
          <w:rFonts w:ascii="Times New Roman" w:hAnsi="Times New Roman" w:cs="Times New Roman"/>
          <w:b/>
          <w:sz w:val="22"/>
        </w:rPr>
      </w:pPr>
    </w:p>
    <w:p w:rsidR="00ED5E14" w:rsidRPr="00532994" w:rsidRDefault="00ED5E14" w:rsidP="003444E8">
      <w:pPr>
        <w:spacing w:line="360" w:lineRule="auto"/>
        <w:jc w:val="both"/>
        <w:rPr>
          <w:rFonts w:ascii="Times New Roman" w:hAnsi="Times New Roman" w:cs="Times New Roman"/>
          <w:sz w:val="22"/>
        </w:rPr>
      </w:pPr>
      <w:r w:rsidRPr="00532994">
        <w:rPr>
          <w:rFonts w:ascii="Times New Roman" w:hAnsi="Times New Roman" w:cs="Times New Roman"/>
          <w:sz w:val="22"/>
        </w:rPr>
        <w:t>Family agreements are governed by the common law and equity as there is no specific Commonwealth, State or Territory legislation applicable.</w:t>
      </w:r>
      <w:r w:rsidRPr="00532994">
        <w:rPr>
          <w:rStyle w:val="FootnoteReference"/>
          <w:rFonts w:ascii="Times New Roman" w:hAnsi="Times New Roman" w:cs="Times New Roman"/>
          <w:sz w:val="22"/>
        </w:rPr>
        <w:footnoteReference w:id="111"/>
      </w:r>
      <w:r w:rsidRPr="00532994">
        <w:rPr>
          <w:rFonts w:ascii="Times New Roman" w:hAnsi="Times New Roman" w:cs="Times New Roman"/>
          <w:sz w:val="22"/>
        </w:rPr>
        <w:t xml:space="preserve"> The lack of existing protective mechanisms means that the current regulatory state of affairs for family agreements is inadequate in protecting older people. </w:t>
      </w:r>
    </w:p>
    <w:p w:rsidR="00ED5E14" w:rsidRPr="00532994" w:rsidRDefault="00ED5E14" w:rsidP="003444E8">
      <w:pPr>
        <w:spacing w:line="360" w:lineRule="auto"/>
        <w:rPr>
          <w:rFonts w:ascii="Times New Roman" w:hAnsi="Times New Roman" w:cs="Times New Roman"/>
          <w:sz w:val="22"/>
        </w:rPr>
      </w:pPr>
    </w:p>
    <w:p w:rsidR="00ED5E14" w:rsidRPr="00532994" w:rsidRDefault="00ED5E14" w:rsidP="003444E8">
      <w:pPr>
        <w:spacing w:line="360" w:lineRule="auto"/>
        <w:jc w:val="center"/>
        <w:rPr>
          <w:rFonts w:ascii="Times New Roman" w:hAnsi="Times New Roman" w:cs="Times New Roman"/>
          <w:b/>
          <w:i/>
        </w:rPr>
      </w:pPr>
      <w:r w:rsidRPr="00532994">
        <w:rPr>
          <w:rFonts w:ascii="Times New Roman" w:hAnsi="Times New Roman" w:cs="Times New Roman"/>
          <w:b/>
        </w:rPr>
        <w:t>B</w:t>
      </w:r>
      <w:r w:rsidRPr="00532994">
        <w:rPr>
          <w:rFonts w:ascii="Times New Roman" w:hAnsi="Times New Roman" w:cs="Times New Roman"/>
          <w:b/>
        </w:rPr>
        <w:tab/>
        <w:t>Reform Options</w:t>
      </w:r>
    </w:p>
    <w:p w:rsidR="00ED5E14" w:rsidRPr="00532994" w:rsidRDefault="00ED5E14" w:rsidP="003444E8">
      <w:pPr>
        <w:spacing w:line="360" w:lineRule="auto"/>
        <w:jc w:val="both"/>
        <w:rPr>
          <w:rFonts w:ascii="Times New Roman" w:hAnsi="Times New Roman" w:cs="Times New Roman"/>
          <w:b/>
          <w:i/>
          <w:sz w:val="22"/>
        </w:rPr>
      </w:pPr>
    </w:p>
    <w:p w:rsidR="00ED5E14" w:rsidRPr="00532994" w:rsidRDefault="00ED5E14" w:rsidP="003444E8">
      <w:pPr>
        <w:spacing w:line="360" w:lineRule="auto"/>
        <w:jc w:val="both"/>
        <w:rPr>
          <w:rFonts w:ascii="Times New Roman" w:hAnsi="Times New Roman" w:cs="Times New Roman"/>
          <w:sz w:val="22"/>
        </w:rPr>
      </w:pPr>
      <w:r w:rsidRPr="00532994">
        <w:rPr>
          <w:rFonts w:ascii="Times New Roman" w:hAnsi="Times New Roman" w:cs="Times New Roman"/>
          <w:sz w:val="22"/>
        </w:rPr>
        <w:t>Family agreements which involve the exchange of assets for ongoing care should be afforded greater legitimacy and protection by having the arrangements transparently documented.</w:t>
      </w:r>
      <w:r w:rsidRPr="00532994">
        <w:rPr>
          <w:rStyle w:val="FootnoteReference"/>
          <w:rFonts w:ascii="Times New Roman" w:hAnsi="Times New Roman" w:cs="Times New Roman"/>
          <w:sz w:val="22"/>
        </w:rPr>
        <w:footnoteReference w:id="112"/>
      </w:r>
      <w:r w:rsidR="00AE5A69">
        <w:rPr>
          <w:rFonts w:ascii="Times New Roman" w:hAnsi="Times New Roman" w:cs="Times New Roman"/>
          <w:sz w:val="22"/>
        </w:rPr>
        <w:t xml:space="preserve"> </w:t>
      </w:r>
    </w:p>
    <w:p w:rsidR="00ED5E14" w:rsidRPr="00532994" w:rsidRDefault="00ED5E14" w:rsidP="003444E8">
      <w:pPr>
        <w:spacing w:line="360" w:lineRule="auto"/>
        <w:jc w:val="both"/>
        <w:rPr>
          <w:rFonts w:ascii="Times New Roman" w:hAnsi="Times New Roman" w:cs="Times New Roman"/>
          <w:sz w:val="22"/>
        </w:rPr>
      </w:pPr>
    </w:p>
    <w:p w:rsidR="00ED5E14" w:rsidRPr="00532994" w:rsidRDefault="00ED5E14" w:rsidP="003444E8">
      <w:pPr>
        <w:spacing w:line="360" w:lineRule="auto"/>
        <w:jc w:val="both"/>
        <w:rPr>
          <w:rFonts w:ascii="Times New Roman" w:hAnsi="Times New Roman" w:cs="Times New Roman"/>
          <w:sz w:val="22"/>
        </w:rPr>
      </w:pPr>
      <w:r w:rsidRPr="00532994">
        <w:rPr>
          <w:rFonts w:ascii="Times New Roman" w:hAnsi="Times New Roman" w:cs="Times New Roman"/>
          <w:sz w:val="22"/>
        </w:rPr>
        <w:t>Older people do not consider documenting family agreements as necessary because of the trust they place in their family members and carers. However, this ‘cultural aversion’ to documenting personal relationships has changed. For example, written financial agreements between spouse (sometimes referred to as prenuptial agreements),</w:t>
      </w:r>
      <w:r w:rsidRPr="00532994">
        <w:rPr>
          <w:rStyle w:val="FootnoteReference"/>
          <w:rFonts w:ascii="Times New Roman" w:hAnsi="Times New Roman" w:cs="Times New Roman"/>
          <w:sz w:val="22"/>
        </w:rPr>
        <w:footnoteReference w:id="113"/>
      </w:r>
      <w:r w:rsidRPr="00532994">
        <w:rPr>
          <w:rFonts w:ascii="Times New Roman" w:hAnsi="Times New Roman" w:cs="Times New Roman"/>
          <w:sz w:val="22"/>
        </w:rPr>
        <w:t xml:space="preserve"> have legislative support which assists with normalising written family agreements.</w:t>
      </w:r>
      <w:r w:rsidRPr="00532994">
        <w:rPr>
          <w:rStyle w:val="FootnoteReference"/>
          <w:rFonts w:ascii="Times New Roman" w:hAnsi="Times New Roman" w:cs="Times New Roman"/>
          <w:sz w:val="22"/>
        </w:rPr>
        <w:footnoteReference w:id="114"/>
      </w:r>
      <w:r w:rsidRPr="00532994">
        <w:rPr>
          <w:rFonts w:ascii="Times New Roman" w:hAnsi="Times New Roman" w:cs="Times New Roman"/>
          <w:sz w:val="22"/>
        </w:rPr>
        <w:t xml:space="preserve"> </w:t>
      </w:r>
    </w:p>
    <w:p w:rsidR="00ED5E14" w:rsidRPr="00532994" w:rsidRDefault="00ED5E14" w:rsidP="003444E8">
      <w:pPr>
        <w:spacing w:line="360" w:lineRule="auto"/>
        <w:jc w:val="both"/>
        <w:rPr>
          <w:rFonts w:ascii="Times New Roman" w:hAnsi="Times New Roman" w:cs="Times New Roman"/>
          <w:sz w:val="22"/>
        </w:rPr>
      </w:pPr>
    </w:p>
    <w:p w:rsidR="00ED5E14" w:rsidRPr="00532994" w:rsidRDefault="00ED5E14" w:rsidP="003444E8">
      <w:pPr>
        <w:spacing w:line="360" w:lineRule="auto"/>
        <w:jc w:val="both"/>
        <w:rPr>
          <w:rFonts w:ascii="Times New Roman" w:hAnsi="Times New Roman" w:cs="Times New Roman"/>
          <w:sz w:val="22"/>
        </w:rPr>
      </w:pPr>
      <w:r w:rsidRPr="00532994">
        <w:rPr>
          <w:rFonts w:ascii="Times New Roman" w:hAnsi="Times New Roman" w:cs="Times New Roman"/>
          <w:sz w:val="22"/>
        </w:rPr>
        <w:t xml:space="preserve">Just as financial agreements have been increasingly normalised by legislative backing, written family agreements should also be normalised by specific legislation which includes a standard form agreement for assets of care arrangements. </w:t>
      </w:r>
    </w:p>
    <w:p w:rsidR="00ED5E14" w:rsidRPr="00532994" w:rsidRDefault="00ED5E14" w:rsidP="003444E8">
      <w:pPr>
        <w:spacing w:line="360" w:lineRule="auto"/>
        <w:jc w:val="both"/>
        <w:rPr>
          <w:rFonts w:ascii="Times New Roman" w:hAnsi="Times New Roman" w:cs="Times New Roman"/>
          <w:sz w:val="22"/>
        </w:rPr>
      </w:pPr>
    </w:p>
    <w:p w:rsidR="00ED5E14" w:rsidRPr="00532994" w:rsidRDefault="00ED5E14" w:rsidP="003444E8">
      <w:pPr>
        <w:spacing w:line="360" w:lineRule="auto"/>
        <w:jc w:val="both"/>
        <w:rPr>
          <w:rFonts w:ascii="Times New Roman" w:hAnsi="Times New Roman" w:cs="Times New Roman"/>
          <w:sz w:val="22"/>
        </w:rPr>
      </w:pPr>
      <w:r w:rsidRPr="00532994">
        <w:rPr>
          <w:rFonts w:ascii="Times New Roman" w:hAnsi="Times New Roman" w:cs="Times New Roman"/>
          <w:sz w:val="22"/>
        </w:rPr>
        <w:t>Further, many voices in the legal community have urged that awareness should be raised to educate parties to a family agreement about the importance of documenting the arrangement.</w:t>
      </w:r>
      <w:r w:rsidRPr="00532994">
        <w:rPr>
          <w:rStyle w:val="FootnoteReference"/>
          <w:rFonts w:ascii="Times New Roman" w:hAnsi="Times New Roman" w:cs="Times New Roman"/>
          <w:sz w:val="22"/>
        </w:rPr>
        <w:footnoteReference w:id="115"/>
      </w:r>
      <w:r w:rsidRPr="00532994">
        <w:rPr>
          <w:rFonts w:ascii="Times New Roman" w:hAnsi="Times New Roman" w:cs="Times New Roman"/>
          <w:sz w:val="22"/>
        </w:rPr>
        <w:t xml:space="preserve"> Information regarding the benefits of family agreements could be transmitted when interacting with </w:t>
      </w:r>
      <w:proofErr w:type="spellStart"/>
      <w:r w:rsidRPr="00532994">
        <w:rPr>
          <w:rFonts w:ascii="Times New Roman" w:hAnsi="Times New Roman" w:cs="Times New Roman"/>
          <w:sz w:val="22"/>
        </w:rPr>
        <w:t>Centrelink</w:t>
      </w:r>
      <w:proofErr w:type="spellEnd"/>
      <w:r w:rsidRPr="00532994">
        <w:rPr>
          <w:rFonts w:ascii="Times New Roman" w:hAnsi="Times New Roman" w:cs="Times New Roman"/>
          <w:sz w:val="22"/>
        </w:rPr>
        <w:t xml:space="preserve"> or other services. </w:t>
      </w:r>
    </w:p>
    <w:p w:rsidR="00ED5E14" w:rsidRPr="00532994" w:rsidRDefault="00ED5E14" w:rsidP="003444E8">
      <w:pPr>
        <w:spacing w:line="360" w:lineRule="auto"/>
        <w:jc w:val="both"/>
        <w:rPr>
          <w:rFonts w:ascii="Times New Roman" w:hAnsi="Times New Roman" w:cs="Times New Roman"/>
          <w:sz w:val="22"/>
        </w:rPr>
      </w:pPr>
    </w:p>
    <w:p w:rsidR="00ED5E14" w:rsidRPr="00532994" w:rsidRDefault="00ED5E14" w:rsidP="003444E8">
      <w:pPr>
        <w:spacing w:line="360" w:lineRule="auto"/>
        <w:jc w:val="both"/>
        <w:rPr>
          <w:rFonts w:ascii="Times New Roman" w:hAnsi="Times New Roman" w:cs="Times New Roman"/>
          <w:sz w:val="22"/>
        </w:rPr>
      </w:pPr>
      <w:r w:rsidRPr="00532994">
        <w:rPr>
          <w:rFonts w:ascii="Times New Roman" w:hAnsi="Times New Roman" w:cs="Times New Roman"/>
          <w:sz w:val="22"/>
        </w:rPr>
        <w:lastRenderedPageBreak/>
        <w:t xml:space="preserve">Governments should also provide more community legal services for families to reduce the costs and the confrontational nature of formalising family agreements. In particular, specialist community legal </w:t>
      </w:r>
      <w:r w:rsidR="00034781" w:rsidRPr="00532994">
        <w:rPr>
          <w:rFonts w:ascii="Times New Roman" w:hAnsi="Times New Roman" w:cs="Times New Roman"/>
          <w:sz w:val="22"/>
        </w:rPr>
        <w:t>centres</w:t>
      </w:r>
      <w:r w:rsidRPr="00532994">
        <w:rPr>
          <w:rFonts w:ascii="Times New Roman" w:hAnsi="Times New Roman" w:cs="Times New Roman"/>
          <w:sz w:val="22"/>
        </w:rPr>
        <w:t xml:space="preserve">, such as the Senior Rights Service in NSW, can help in drafting and reviewing family agreements to ensure that the older person is adequately protected. </w:t>
      </w:r>
    </w:p>
    <w:p w:rsidR="00ED5E14" w:rsidRPr="00532994" w:rsidRDefault="00ED5E14" w:rsidP="003444E8">
      <w:pPr>
        <w:spacing w:line="360" w:lineRule="auto"/>
        <w:jc w:val="both"/>
        <w:rPr>
          <w:rFonts w:ascii="Times New Roman" w:hAnsi="Times New Roman" w:cs="Times New Roman"/>
          <w:sz w:val="22"/>
        </w:rPr>
      </w:pPr>
    </w:p>
    <w:p w:rsidR="00ED5E14" w:rsidRPr="00532994" w:rsidRDefault="00ED5E14" w:rsidP="003444E8">
      <w:pPr>
        <w:spacing w:line="360" w:lineRule="auto"/>
        <w:jc w:val="both"/>
        <w:rPr>
          <w:rFonts w:ascii="Times New Roman" w:hAnsi="Times New Roman" w:cs="Times New Roman"/>
          <w:sz w:val="22"/>
        </w:rPr>
      </w:pPr>
      <w:r w:rsidRPr="00532994">
        <w:rPr>
          <w:rFonts w:ascii="Times New Roman" w:hAnsi="Times New Roman" w:cs="Times New Roman"/>
          <w:sz w:val="22"/>
        </w:rPr>
        <w:t>Likewise, increasing the access to cheap, family dispute resolution services is needed. Currently, cheap, specialised resolution forums, such as the Family Law Services’ Family Dispute Resolution, are only available to divorcing couples.</w:t>
      </w:r>
      <w:r w:rsidRPr="00532994">
        <w:rPr>
          <w:rStyle w:val="FootnoteReference"/>
          <w:rFonts w:ascii="Times New Roman" w:hAnsi="Times New Roman" w:cs="Times New Roman"/>
          <w:sz w:val="22"/>
        </w:rPr>
        <w:footnoteReference w:id="116"/>
      </w:r>
      <w:r w:rsidRPr="00532994">
        <w:rPr>
          <w:rFonts w:ascii="Times New Roman" w:hAnsi="Times New Roman" w:cs="Times New Roman"/>
          <w:sz w:val="22"/>
        </w:rPr>
        <w:t xml:space="preserve"> A similar government funded alternative dispute resolution should be provided for family agreements so that when an asset for care arrangement breaks down, families can avoid litigation and come to a mutual agreement. </w:t>
      </w:r>
    </w:p>
    <w:p w:rsidR="00ED5E14" w:rsidRPr="00532994" w:rsidRDefault="00ED5E14" w:rsidP="003444E8">
      <w:pPr>
        <w:spacing w:line="360" w:lineRule="auto"/>
        <w:jc w:val="both"/>
        <w:rPr>
          <w:rFonts w:ascii="Times New Roman" w:hAnsi="Times New Roman" w:cs="Times New Roman"/>
          <w:sz w:val="22"/>
        </w:rPr>
      </w:pPr>
    </w:p>
    <w:p w:rsidR="00ED5E14" w:rsidRPr="00532994" w:rsidRDefault="00ED5E14" w:rsidP="003444E8">
      <w:pPr>
        <w:spacing w:line="360" w:lineRule="auto"/>
        <w:jc w:val="center"/>
        <w:rPr>
          <w:rFonts w:ascii="Times New Roman" w:hAnsi="Times New Roman" w:cs="Times New Roman"/>
        </w:rPr>
      </w:pPr>
      <w:r w:rsidRPr="00532994">
        <w:rPr>
          <w:rFonts w:ascii="Times New Roman" w:hAnsi="Times New Roman" w:cs="Times New Roman"/>
          <w:b/>
        </w:rPr>
        <w:t>C</w:t>
      </w:r>
      <w:r w:rsidRPr="00532994">
        <w:rPr>
          <w:rFonts w:ascii="Times New Roman" w:hAnsi="Times New Roman" w:cs="Times New Roman"/>
          <w:b/>
        </w:rPr>
        <w:tab/>
        <w:t>Summary of Reform Options</w:t>
      </w:r>
    </w:p>
    <w:p w:rsidR="00564588" w:rsidRPr="00532994" w:rsidRDefault="00564588" w:rsidP="003444E8">
      <w:pPr>
        <w:spacing w:line="360" w:lineRule="auto"/>
        <w:jc w:val="both"/>
        <w:rPr>
          <w:rFonts w:ascii="Times New Roman" w:hAnsi="Times New Roman" w:cs="Times New Roman"/>
          <w:sz w:val="22"/>
        </w:rPr>
      </w:pPr>
    </w:p>
    <w:p w:rsidR="00ED5E14" w:rsidRPr="00532994" w:rsidRDefault="00ED5E14" w:rsidP="003444E8">
      <w:pPr>
        <w:spacing w:line="360" w:lineRule="auto"/>
        <w:jc w:val="both"/>
        <w:rPr>
          <w:rFonts w:ascii="Times New Roman" w:hAnsi="Times New Roman" w:cs="Times New Roman"/>
          <w:sz w:val="22"/>
        </w:rPr>
      </w:pPr>
      <w:r w:rsidRPr="00532994">
        <w:rPr>
          <w:rFonts w:ascii="Times New Roman" w:hAnsi="Times New Roman" w:cs="Times New Roman"/>
          <w:sz w:val="22"/>
        </w:rPr>
        <w:t xml:space="preserve">In summary, we recommend that: </w:t>
      </w:r>
    </w:p>
    <w:p w:rsidR="000D38DE" w:rsidRPr="00532994" w:rsidRDefault="00ED5E14" w:rsidP="003444E8">
      <w:pPr>
        <w:pStyle w:val="ListParagraph"/>
        <w:numPr>
          <w:ilvl w:val="0"/>
          <w:numId w:val="21"/>
        </w:numPr>
        <w:spacing w:line="360" w:lineRule="auto"/>
        <w:ind w:left="567" w:hanging="567"/>
        <w:jc w:val="both"/>
        <w:rPr>
          <w:rFonts w:ascii="Times New Roman" w:hAnsi="Times New Roman" w:cs="Times New Roman"/>
          <w:sz w:val="22"/>
        </w:rPr>
      </w:pPr>
      <w:r w:rsidRPr="00532994">
        <w:rPr>
          <w:rFonts w:ascii="Times New Roman" w:hAnsi="Times New Roman" w:cs="Times New Roman"/>
          <w:sz w:val="22"/>
        </w:rPr>
        <w:t xml:space="preserve">To encourage documentation, parties to a family agreement should be educated on the important of putting the arrangement in writing. </w:t>
      </w:r>
    </w:p>
    <w:p w:rsidR="000D38DE" w:rsidRPr="00532994" w:rsidRDefault="00ED5E14" w:rsidP="003444E8">
      <w:pPr>
        <w:pStyle w:val="ListParagraph"/>
        <w:numPr>
          <w:ilvl w:val="0"/>
          <w:numId w:val="21"/>
        </w:numPr>
        <w:spacing w:line="360" w:lineRule="auto"/>
        <w:ind w:left="567" w:hanging="567"/>
        <w:jc w:val="both"/>
        <w:rPr>
          <w:rFonts w:ascii="Times New Roman" w:hAnsi="Times New Roman" w:cs="Times New Roman"/>
          <w:sz w:val="22"/>
        </w:rPr>
      </w:pPr>
      <w:r w:rsidRPr="00532994">
        <w:rPr>
          <w:rFonts w:ascii="Times New Roman" w:hAnsi="Times New Roman" w:cs="Times New Roman"/>
          <w:sz w:val="22"/>
        </w:rPr>
        <w:t>Normalising the documentation of family agreements by including standard form family agreements in legislation.</w:t>
      </w:r>
    </w:p>
    <w:p w:rsidR="00ED5E14" w:rsidRPr="00532994" w:rsidRDefault="00ED5E14" w:rsidP="003444E8">
      <w:pPr>
        <w:pStyle w:val="ListParagraph"/>
        <w:numPr>
          <w:ilvl w:val="0"/>
          <w:numId w:val="21"/>
        </w:numPr>
        <w:spacing w:line="360" w:lineRule="auto"/>
        <w:ind w:left="567" w:hanging="567"/>
        <w:jc w:val="both"/>
        <w:rPr>
          <w:rFonts w:ascii="Times New Roman" w:hAnsi="Times New Roman" w:cs="Times New Roman"/>
          <w:sz w:val="22"/>
        </w:rPr>
      </w:pPr>
      <w:r w:rsidRPr="00532994">
        <w:rPr>
          <w:rFonts w:ascii="Times New Roman" w:hAnsi="Times New Roman" w:cs="Times New Roman"/>
          <w:sz w:val="22"/>
        </w:rPr>
        <w:t>A government funded dispute resolution service for older people to access when family agreements break down to avoid costly, lengthy and often ugly, litigation.</w:t>
      </w:r>
    </w:p>
    <w:p w:rsidR="00ED5E14" w:rsidRPr="00532994" w:rsidRDefault="00ED5E14" w:rsidP="003444E8">
      <w:pPr>
        <w:spacing w:line="360" w:lineRule="auto"/>
        <w:rPr>
          <w:rFonts w:ascii="Times New Roman" w:hAnsi="Times New Roman" w:cs="Times New Roman"/>
          <w:sz w:val="22"/>
          <w:szCs w:val="22"/>
        </w:rPr>
      </w:pPr>
      <w:r w:rsidRPr="00532994">
        <w:rPr>
          <w:rFonts w:ascii="Times New Roman" w:hAnsi="Times New Roman" w:cs="Times New Roman"/>
          <w:sz w:val="22"/>
          <w:szCs w:val="22"/>
        </w:rPr>
        <w:br w:type="page"/>
      </w:r>
    </w:p>
    <w:p w:rsidR="00ED5E14" w:rsidRPr="00532994" w:rsidRDefault="00ED5E14" w:rsidP="003444E8">
      <w:pPr>
        <w:spacing w:line="360" w:lineRule="auto"/>
        <w:jc w:val="center"/>
        <w:rPr>
          <w:rFonts w:ascii="Times New Roman" w:hAnsi="Times New Roman" w:cs="Times New Roman"/>
          <w:sz w:val="48"/>
        </w:rPr>
      </w:pPr>
      <w:r w:rsidRPr="00532994">
        <w:rPr>
          <w:rFonts w:ascii="Times New Roman" w:hAnsi="Times New Roman" w:cs="Times New Roman"/>
          <w:sz w:val="48"/>
        </w:rPr>
        <w:lastRenderedPageBreak/>
        <w:t>Criminal Law</w:t>
      </w:r>
    </w:p>
    <w:p w:rsidR="00ED5E14" w:rsidRPr="00532994" w:rsidRDefault="00ED5E14" w:rsidP="003444E8">
      <w:pPr>
        <w:spacing w:line="360" w:lineRule="auto"/>
        <w:jc w:val="both"/>
        <w:rPr>
          <w:rFonts w:ascii="Times New Roman" w:hAnsi="Times New Roman" w:cs="Times New Roman"/>
          <w:sz w:val="22"/>
        </w:rPr>
      </w:pPr>
    </w:p>
    <w:tbl>
      <w:tblPr>
        <w:tblStyle w:val="TableGrid"/>
        <w:tblW w:w="0" w:type="auto"/>
        <w:tblLook w:val="04A0"/>
      </w:tblPr>
      <w:tblGrid>
        <w:gridCol w:w="9016"/>
      </w:tblGrid>
      <w:tr w:rsidR="00ED5E14" w:rsidRPr="00532994" w:rsidTr="00ED5E14">
        <w:tc>
          <w:tcPr>
            <w:tcW w:w="9016" w:type="dxa"/>
            <w:tcBorders>
              <w:top w:val="single" w:sz="4" w:space="0" w:color="auto"/>
              <w:left w:val="single" w:sz="4" w:space="0" w:color="auto"/>
              <w:bottom w:val="single" w:sz="4" w:space="0" w:color="auto"/>
              <w:right w:val="single" w:sz="4" w:space="0" w:color="auto"/>
            </w:tcBorders>
            <w:hideMark/>
          </w:tcPr>
          <w:p w:rsidR="00ED5E14" w:rsidRPr="00532994" w:rsidRDefault="00ED5E14" w:rsidP="003444E8">
            <w:pPr>
              <w:spacing w:line="360" w:lineRule="auto"/>
              <w:jc w:val="both"/>
              <w:rPr>
                <w:rFonts w:ascii="Times New Roman" w:hAnsi="Times New Roman" w:cs="Times New Roman"/>
                <w:b/>
                <w:sz w:val="22"/>
              </w:rPr>
            </w:pPr>
            <w:r w:rsidRPr="00532994">
              <w:rPr>
                <w:rFonts w:ascii="Times New Roman" w:hAnsi="Times New Roman" w:cs="Times New Roman"/>
                <w:b/>
                <w:sz w:val="22"/>
              </w:rPr>
              <w:t>Question 42</w:t>
            </w:r>
            <w:r w:rsidRPr="00532994">
              <w:rPr>
                <w:rFonts w:ascii="Times New Roman" w:hAnsi="Times New Roman" w:cs="Times New Roman"/>
                <w:b/>
                <w:sz w:val="22"/>
              </w:rPr>
              <w:tab/>
            </w:r>
            <w:r w:rsidRPr="00532994">
              <w:rPr>
                <w:rFonts w:ascii="Times New Roman" w:hAnsi="Times New Roman" w:cs="Times New Roman"/>
                <w:b/>
                <w:sz w:val="22"/>
              </w:rPr>
              <w:tab/>
            </w:r>
            <w:r w:rsidRPr="00532994">
              <w:rPr>
                <w:rFonts w:ascii="Times New Roman" w:hAnsi="Times New Roman" w:cs="Times New Roman"/>
                <w:sz w:val="22"/>
              </w:rPr>
              <w:t>In what ways should criminal laws be improved to respond to elder abuse? For example, should there be offences specifically concerning elder abuse?</w:t>
            </w:r>
            <w:r w:rsidRPr="00532994">
              <w:rPr>
                <w:rFonts w:ascii="Times New Roman" w:hAnsi="Times New Roman" w:cs="Times New Roman"/>
                <w:b/>
                <w:sz w:val="22"/>
              </w:rPr>
              <w:t xml:space="preserve"> </w:t>
            </w:r>
          </w:p>
        </w:tc>
      </w:tr>
    </w:tbl>
    <w:p w:rsidR="00ED5E14" w:rsidRPr="00532994" w:rsidRDefault="00ED5E14" w:rsidP="003444E8">
      <w:pPr>
        <w:spacing w:line="360" w:lineRule="auto"/>
        <w:jc w:val="both"/>
        <w:rPr>
          <w:rFonts w:ascii="Times New Roman" w:hAnsi="Times New Roman" w:cs="Times New Roman"/>
          <w:sz w:val="22"/>
        </w:rPr>
      </w:pPr>
    </w:p>
    <w:p w:rsidR="00ED5E14" w:rsidRDefault="00ED5E14" w:rsidP="003444E8">
      <w:pPr>
        <w:spacing w:line="360" w:lineRule="auto"/>
        <w:jc w:val="both"/>
        <w:rPr>
          <w:rFonts w:ascii="Times New Roman" w:hAnsi="Times New Roman" w:cs="Times New Roman"/>
          <w:sz w:val="22"/>
        </w:rPr>
      </w:pPr>
      <w:r w:rsidRPr="00532994">
        <w:rPr>
          <w:rFonts w:ascii="Times New Roman" w:hAnsi="Times New Roman" w:cs="Times New Roman"/>
          <w:sz w:val="22"/>
        </w:rPr>
        <w:t>Considering that between two and five per cent of elderly people in Australia are abused,</w:t>
      </w:r>
      <w:r w:rsidRPr="00532994">
        <w:rPr>
          <w:rStyle w:val="FootnoteReference"/>
          <w:rFonts w:ascii="Times New Roman" w:hAnsi="Times New Roman" w:cs="Times New Roman"/>
          <w:sz w:val="22"/>
        </w:rPr>
        <w:footnoteReference w:id="117"/>
      </w:r>
      <w:r w:rsidRPr="00532994">
        <w:rPr>
          <w:rFonts w:ascii="Times New Roman" w:hAnsi="Times New Roman" w:cs="Times New Roman"/>
          <w:sz w:val="22"/>
        </w:rPr>
        <w:t xml:space="preserve"> it is vital that the current laws are reviewed to prevent elder abuse, and prosecute acts that do occur. To maintain the dignity and autonomy of older persons, a paternalistic approach should be avoided.</w:t>
      </w:r>
      <w:r w:rsidRPr="00532994">
        <w:rPr>
          <w:rStyle w:val="FootnoteReference"/>
          <w:rFonts w:ascii="Times New Roman" w:hAnsi="Times New Roman" w:cs="Times New Roman"/>
          <w:sz w:val="22"/>
        </w:rPr>
        <w:footnoteReference w:id="118"/>
      </w:r>
      <w:r w:rsidRPr="00532994">
        <w:rPr>
          <w:rFonts w:ascii="Times New Roman" w:hAnsi="Times New Roman" w:cs="Times New Roman"/>
          <w:sz w:val="22"/>
        </w:rPr>
        <w:t xml:space="preserve"> </w:t>
      </w:r>
      <w:r w:rsidR="008D341C" w:rsidRPr="008D341C">
        <w:rPr>
          <w:rFonts w:ascii="Times New Roman" w:hAnsi="Times New Roman" w:cs="Times New Roman"/>
          <w:sz w:val="22"/>
        </w:rPr>
        <w:t>Further, given that elder abuse may constitute many different actions against an older person, drafting such a law would be difficult.  Accordingly, we posit that the preferred normative approach would be to strengthen existing laws by enhancing the protection and investigation mechanisms available to authorities to prosecute suspected elder abuse according to existing laws.</w:t>
      </w:r>
    </w:p>
    <w:p w:rsidR="008D341C" w:rsidRPr="00532994" w:rsidRDefault="008D341C" w:rsidP="003444E8">
      <w:pPr>
        <w:spacing w:line="360" w:lineRule="auto"/>
        <w:jc w:val="both"/>
        <w:rPr>
          <w:rFonts w:ascii="Times New Roman" w:hAnsi="Times New Roman" w:cs="Times New Roman"/>
          <w:sz w:val="22"/>
        </w:rPr>
      </w:pPr>
    </w:p>
    <w:p w:rsidR="00ED5E14" w:rsidRPr="00532994" w:rsidRDefault="00ED5E14" w:rsidP="003444E8">
      <w:pPr>
        <w:spacing w:line="360" w:lineRule="auto"/>
        <w:jc w:val="center"/>
        <w:rPr>
          <w:rFonts w:ascii="Times New Roman" w:hAnsi="Times New Roman" w:cs="Times New Roman"/>
          <w:b/>
        </w:rPr>
      </w:pPr>
      <w:r w:rsidRPr="00532994">
        <w:rPr>
          <w:rFonts w:ascii="Times New Roman" w:hAnsi="Times New Roman" w:cs="Times New Roman"/>
          <w:b/>
        </w:rPr>
        <w:t>A</w:t>
      </w:r>
      <w:r w:rsidRPr="00532994">
        <w:rPr>
          <w:rFonts w:ascii="Times New Roman" w:hAnsi="Times New Roman" w:cs="Times New Roman"/>
          <w:b/>
        </w:rPr>
        <w:tab/>
        <w:t>Practice across Jurisdictions</w:t>
      </w:r>
    </w:p>
    <w:p w:rsidR="00ED5E14" w:rsidRPr="00532994" w:rsidRDefault="00ED5E14" w:rsidP="003444E8">
      <w:pPr>
        <w:spacing w:line="360" w:lineRule="auto"/>
        <w:jc w:val="both"/>
        <w:rPr>
          <w:rFonts w:ascii="Times New Roman" w:hAnsi="Times New Roman" w:cs="Times New Roman"/>
          <w:sz w:val="22"/>
        </w:rPr>
      </w:pPr>
    </w:p>
    <w:p w:rsidR="00ED5E14" w:rsidRPr="00532994" w:rsidRDefault="00ED5E14" w:rsidP="003444E8">
      <w:pPr>
        <w:spacing w:line="360" w:lineRule="auto"/>
        <w:jc w:val="both"/>
        <w:rPr>
          <w:rFonts w:ascii="Times New Roman" w:hAnsi="Times New Roman" w:cs="Times New Roman"/>
          <w:sz w:val="22"/>
        </w:rPr>
      </w:pPr>
      <w:r w:rsidRPr="00532994">
        <w:rPr>
          <w:rFonts w:ascii="Times New Roman" w:hAnsi="Times New Roman" w:cs="Times New Roman"/>
          <w:sz w:val="22"/>
        </w:rPr>
        <w:t xml:space="preserve">Internationally, a number of jurisdictions incriminate elder abuse. For example, the </w:t>
      </w:r>
      <w:r w:rsidRPr="00532994">
        <w:rPr>
          <w:rFonts w:ascii="Times New Roman" w:hAnsi="Times New Roman" w:cs="Times New Roman"/>
          <w:i/>
          <w:sz w:val="22"/>
        </w:rPr>
        <w:t>Revised Code of Washington</w:t>
      </w:r>
      <w:r w:rsidRPr="00532994">
        <w:rPr>
          <w:rFonts w:ascii="Times New Roman" w:hAnsi="Times New Roman" w:cs="Times New Roman"/>
          <w:sz w:val="22"/>
        </w:rPr>
        <w:t xml:space="preserve"> has a specific definition for ‘vulnerable adult’, which has been defined broadly to include adults who are disabled or are receiving services from individual providers.</w:t>
      </w:r>
      <w:r w:rsidRPr="00532994">
        <w:rPr>
          <w:rStyle w:val="FootnoteReference"/>
          <w:rFonts w:ascii="Times New Roman" w:hAnsi="Times New Roman" w:cs="Times New Roman"/>
          <w:sz w:val="22"/>
        </w:rPr>
        <w:footnoteReference w:id="119"/>
      </w:r>
      <w:r w:rsidRPr="00532994">
        <w:rPr>
          <w:rFonts w:ascii="Times New Roman" w:hAnsi="Times New Roman" w:cs="Times New Roman"/>
          <w:sz w:val="22"/>
        </w:rPr>
        <w:t xml:space="preserve"> Commonly however, elder abuse is simply accounted for via the jurisdiction’s Criminal Code, as is the case in Canada.</w:t>
      </w:r>
      <w:r w:rsidRPr="00532994">
        <w:rPr>
          <w:rStyle w:val="FootnoteReference"/>
          <w:rFonts w:ascii="Times New Roman" w:hAnsi="Times New Roman" w:cs="Times New Roman"/>
          <w:sz w:val="22"/>
        </w:rPr>
        <w:footnoteReference w:id="120"/>
      </w:r>
      <w:r w:rsidRPr="00532994">
        <w:rPr>
          <w:rFonts w:ascii="Times New Roman" w:hAnsi="Times New Roman" w:cs="Times New Roman"/>
          <w:sz w:val="22"/>
        </w:rPr>
        <w:t xml:space="preserve"> </w:t>
      </w:r>
    </w:p>
    <w:p w:rsidR="00ED5E14" w:rsidRPr="00532994" w:rsidRDefault="00ED5E14" w:rsidP="003444E8">
      <w:pPr>
        <w:spacing w:line="360" w:lineRule="auto"/>
        <w:jc w:val="both"/>
        <w:rPr>
          <w:rFonts w:ascii="Times New Roman" w:hAnsi="Times New Roman" w:cs="Times New Roman"/>
          <w:sz w:val="22"/>
        </w:rPr>
      </w:pPr>
    </w:p>
    <w:p w:rsidR="00ED5E14" w:rsidRPr="00532994" w:rsidRDefault="00ED5E14" w:rsidP="003444E8">
      <w:pPr>
        <w:spacing w:line="360" w:lineRule="auto"/>
        <w:jc w:val="both"/>
        <w:rPr>
          <w:rFonts w:ascii="Times New Roman" w:hAnsi="Times New Roman" w:cs="Times New Roman"/>
          <w:sz w:val="22"/>
        </w:rPr>
      </w:pPr>
      <w:r w:rsidRPr="00532994">
        <w:rPr>
          <w:rFonts w:ascii="Times New Roman" w:hAnsi="Times New Roman" w:cs="Times New Roman"/>
          <w:sz w:val="22"/>
        </w:rPr>
        <w:t xml:space="preserve">At a national level, elder abuse in Australia is currently best prevented via the </w:t>
      </w:r>
      <w:r w:rsidRPr="00532994">
        <w:rPr>
          <w:rFonts w:ascii="Times New Roman" w:hAnsi="Times New Roman" w:cs="Times New Roman"/>
          <w:i/>
          <w:sz w:val="22"/>
        </w:rPr>
        <w:t xml:space="preserve">Age Discrimination Act 2004 </w:t>
      </w:r>
      <w:r w:rsidRPr="00532994">
        <w:rPr>
          <w:rFonts w:ascii="Times New Roman" w:hAnsi="Times New Roman" w:cs="Times New Roman"/>
          <w:sz w:val="22"/>
        </w:rPr>
        <w:t>(</w:t>
      </w:r>
      <w:proofErr w:type="spellStart"/>
      <w:r w:rsidRPr="00532994">
        <w:rPr>
          <w:rFonts w:ascii="Times New Roman" w:hAnsi="Times New Roman" w:cs="Times New Roman"/>
          <w:sz w:val="22"/>
        </w:rPr>
        <w:t>Cth</w:t>
      </w:r>
      <w:proofErr w:type="spellEnd"/>
      <w:r w:rsidRPr="00532994">
        <w:rPr>
          <w:rFonts w:ascii="Times New Roman" w:hAnsi="Times New Roman" w:cs="Times New Roman"/>
          <w:sz w:val="22"/>
        </w:rPr>
        <w:t>), and its associated establishment of the Age Discrimination Commissioner in 2011.</w:t>
      </w:r>
      <w:r w:rsidRPr="00532994">
        <w:rPr>
          <w:rStyle w:val="FootnoteReference"/>
          <w:rFonts w:ascii="Times New Roman" w:hAnsi="Times New Roman" w:cs="Times New Roman"/>
          <w:sz w:val="22"/>
        </w:rPr>
        <w:footnoteReference w:id="121"/>
      </w:r>
      <w:r w:rsidRPr="00532994">
        <w:rPr>
          <w:rFonts w:ascii="Times New Roman" w:hAnsi="Times New Roman" w:cs="Times New Roman"/>
          <w:sz w:val="22"/>
        </w:rPr>
        <w:t xml:space="preserve"> While the </w:t>
      </w:r>
      <w:r w:rsidRPr="00532994">
        <w:rPr>
          <w:rFonts w:ascii="Times New Roman" w:hAnsi="Times New Roman" w:cs="Times New Roman"/>
          <w:i/>
          <w:sz w:val="22"/>
        </w:rPr>
        <w:t xml:space="preserve">Aged Care Act 1997 </w:t>
      </w:r>
      <w:r w:rsidRPr="00532994">
        <w:rPr>
          <w:rFonts w:ascii="Times New Roman" w:hAnsi="Times New Roman" w:cs="Times New Roman"/>
          <w:sz w:val="22"/>
        </w:rPr>
        <w:t>(</w:t>
      </w:r>
      <w:proofErr w:type="spellStart"/>
      <w:r w:rsidRPr="00532994">
        <w:rPr>
          <w:rFonts w:ascii="Times New Roman" w:hAnsi="Times New Roman" w:cs="Times New Roman"/>
          <w:sz w:val="22"/>
        </w:rPr>
        <w:t>Cth</w:t>
      </w:r>
      <w:proofErr w:type="spellEnd"/>
      <w:r w:rsidRPr="00532994">
        <w:rPr>
          <w:rFonts w:ascii="Times New Roman" w:hAnsi="Times New Roman" w:cs="Times New Roman"/>
          <w:sz w:val="22"/>
        </w:rPr>
        <w:t xml:space="preserve">) and </w:t>
      </w:r>
      <w:r w:rsidRPr="00532994">
        <w:rPr>
          <w:rFonts w:ascii="Times New Roman" w:hAnsi="Times New Roman" w:cs="Times New Roman"/>
          <w:i/>
          <w:sz w:val="22"/>
        </w:rPr>
        <w:t xml:space="preserve">Home and Community Care Act 1985 </w:t>
      </w:r>
      <w:r w:rsidRPr="00532994">
        <w:rPr>
          <w:rFonts w:ascii="Times New Roman" w:hAnsi="Times New Roman" w:cs="Times New Roman"/>
          <w:sz w:val="22"/>
        </w:rPr>
        <w:t>(</w:t>
      </w:r>
      <w:proofErr w:type="spellStart"/>
      <w:r w:rsidRPr="00532994">
        <w:rPr>
          <w:rFonts w:ascii="Times New Roman" w:hAnsi="Times New Roman" w:cs="Times New Roman"/>
          <w:sz w:val="22"/>
        </w:rPr>
        <w:t>Cth</w:t>
      </w:r>
      <w:proofErr w:type="spellEnd"/>
      <w:r w:rsidRPr="00532994">
        <w:rPr>
          <w:rFonts w:ascii="Times New Roman" w:hAnsi="Times New Roman" w:cs="Times New Roman"/>
          <w:sz w:val="22"/>
        </w:rPr>
        <w:t>) also provide some protection, this is limited to persons who access such services.</w:t>
      </w:r>
      <w:r w:rsidRPr="00532994">
        <w:rPr>
          <w:rStyle w:val="FootnoteReference"/>
          <w:rFonts w:ascii="Times New Roman" w:hAnsi="Times New Roman" w:cs="Times New Roman"/>
          <w:sz w:val="22"/>
        </w:rPr>
        <w:footnoteReference w:id="122"/>
      </w:r>
      <w:r w:rsidRPr="00532994">
        <w:rPr>
          <w:rFonts w:ascii="Times New Roman" w:hAnsi="Times New Roman" w:cs="Times New Roman"/>
          <w:sz w:val="22"/>
        </w:rPr>
        <w:t xml:space="preserve"> This has resulted in a greater onus on the states and territories of Australia to enact legislation. </w:t>
      </w:r>
    </w:p>
    <w:p w:rsidR="00ED5E14" w:rsidRPr="00532994" w:rsidRDefault="00ED5E14" w:rsidP="003444E8">
      <w:pPr>
        <w:spacing w:line="360" w:lineRule="auto"/>
        <w:jc w:val="both"/>
        <w:rPr>
          <w:rFonts w:ascii="Times New Roman" w:hAnsi="Times New Roman" w:cs="Times New Roman"/>
          <w:sz w:val="22"/>
        </w:rPr>
      </w:pPr>
    </w:p>
    <w:p w:rsidR="00ED5E14" w:rsidRPr="00532994" w:rsidRDefault="00ED5E14" w:rsidP="003444E8">
      <w:pPr>
        <w:spacing w:line="360" w:lineRule="auto"/>
        <w:jc w:val="both"/>
        <w:rPr>
          <w:rFonts w:ascii="Times New Roman" w:hAnsi="Times New Roman" w:cs="Times New Roman"/>
          <w:sz w:val="22"/>
        </w:rPr>
      </w:pPr>
      <w:r w:rsidRPr="00532994">
        <w:rPr>
          <w:rFonts w:ascii="Times New Roman" w:hAnsi="Times New Roman" w:cs="Times New Roman"/>
          <w:sz w:val="22"/>
        </w:rPr>
        <w:lastRenderedPageBreak/>
        <w:t xml:space="preserve">Some Australian states have created guidelines and strategies to complement local state laws, such as Victoria’s </w:t>
      </w:r>
      <w:r w:rsidRPr="00532994">
        <w:rPr>
          <w:rFonts w:ascii="Times New Roman" w:hAnsi="Times New Roman" w:cs="Times New Roman"/>
          <w:i/>
          <w:sz w:val="22"/>
        </w:rPr>
        <w:t xml:space="preserve">With Respect to Age – 2009 </w:t>
      </w:r>
      <w:r w:rsidRPr="00532994">
        <w:rPr>
          <w:rFonts w:ascii="Times New Roman" w:hAnsi="Times New Roman" w:cs="Times New Roman"/>
          <w:sz w:val="22"/>
        </w:rPr>
        <w:t xml:space="preserve">guidelines and South Australia’s </w:t>
      </w:r>
      <w:r w:rsidRPr="00532994">
        <w:rPr>
          <w:rFonts w:ascii="Times New Roman" w:hAnsi="Times New Roman" w:cs="Times New Roman"/>
          <w:i/>
          <w:sz w:val="22"/>
        </w:rPr>
        <w:t>Strategy to Safeguard the Rights of Older South Australians 2014–2021</w:t>
      </w:r>
      <w:r w:rsidRPr="00532994">
        <w:rPr>
          <w:rFonts w:ascii="Times New Roman" w:hAnsi="Times New Roman" w:cs="Times New Roman"/>
          <w:sz w:val="22"/>
        </w:rPr>
        <w:t>, which have created six and seven categories of abuse respectively.</w:t>
      </w:r>
      <w:r w:rsidRPr="00532994">
        <w:rPr>
          <w:rStyle w:val="FootnoteReference"/>
          <w:rFonts w:ascii="Times New Roman" w:hAnsi="Times New Roman" w:cs="Times New Roman"/>
          <w:sz w:val="22"/>
        </w:rPr>
        <w:footnoteReference w:id="123"/>
      </w:r>
      <w:r w:rsidRPr="00532994">
        <w:rPr>
          <w:rFonts w:ascii="Times New Roman" w:hAnsi="Times New Roman" w:cs="Times New Roman"/>
          <w:sz w:val="22"/>
        </w:rPr>
        <w:t xml:space="preserve"> However, these do not create criminal offences, instead serving as guides for carers, service providers and the community that aim to prevent abuse.</w:t>
      </w:r>
      <w:r w:rsidRPr="00532994">
        <w:rPr>
          <w:rStyle w:val="FootnoteReference"/>
          <w:rFonts w:ascii="Times New Roman" w:hAnsi="Times New Roman" w:cs="Times New Roman"/>
          <w:sz w:val="22"/>
        </w:rPr>
        <w:footnoteReference w:id="124"/>
      </w:r>
    </w:p>
    <w:p w:rsidR="00ED5E14" w:rsidRPr="00532994" w:rsidRDefault="00ED5E14" w:rsidP="003444E8">
      <w:pPr>
        <w:spacing w:line="360" w:lineRule="auto"/>
        <w:jc w:val="both"/>
        <w:rPr>
          <w:rFonts w:ascii="Times New Roman" w:hAnsi="Times New Roman" w:cs="Times New Roman"/>
          <w:sz w:val="22"/>
        </w:rPr>
      </w:pPr>
    </w:p>
    <w:p w:rsidR="00ED5E14" w:rsidRPr="00532994" w:rsidRDefault="00ED5E14" w:rsidP="003444E8">
      <w:pPr>
        <w:spacing w:line="360" w:lineRule="auto"/>
        <w:jc w:val="center"/>
        <w:rPr>
          <w:rFonts w:ascii="Times New Roman" w:hAnsi="Times New Roman" w:cs="Times New Roman"/>
          <w:b/>
        </w:rPr>
      </w:pPr>
      <w:r w:rsidRPr="00532994">
        <w:rPr>
          <w:rFonts w:ascii="Times New Roman" w:hAnsi="Times New Roman" w:cs="Times New Roman"/>
          <w:b/>
        </w:rPr>
        <w:t>B</w:t>
      </w:r>
      <w:r w:rsidRPr="00532994">
        <w:rPr>
          <w:rFonts w:ascii="Times New Roman" w:hAnsi="Times New Roman" w:cs="Times New Roman"/>
          <w:b/>
        </w:rPr>
        <w:tab/>
        <w:t>Options for Reform</w:t>
      </w:r>
    </w:p>
    <w:p w:rsidR="00ED5E14" w:rsidRPr="00532994" w:rsidRDefault="00ED5E14" w:rsidP="003444E8">
      <w:pPr>
        <w:spacing w:line="360" w:lineRule="auto"/>
        <w:jc w:val="both"/>
        <w:rPr>
          <w:rFonts w:ascii="Times New Roman" w:hAnsi="Times New Roman" w:cs="Times New Roman"/>
          <w:sz w:val="22"/>
        </w:rPr>
      </w:pPr>
    </w:p>
    <w:p w:rsidR="00ED5E14" w:rsidRPr="00532994" w:rsidRDefault="00ED5E14" w:rsidP="003444E8">
      <w:pPr>
        <w:spacing w:line="360" w:lineRule="auto"/>
        <w:jc w:val="both"/>
        <w:rPr>
          <w:rFonts w:ascii="Times New Roman" w:hAnsi="Times New Roman" w:cs="Times New Roman"/>
          <w:b/>
          <w:i/>
          <w:sz w:val="22"/>
        </w:rPr>
      </w:pPr>
      <w:r w:rsidRPr="00532994">
        <w:rPr>
          <w:rFonts w:ascii="Times New Roman" w:hAnsi="Times New Roman" w:cs="Times New Roman"/>
          <w:b/>
          <w:sz w:val="22"/>
        </w:rPr>
        <w:t>1</w:t>
      </w:r>
      <w:r w:rsidRPr="00532994">
        <w:rPr>
          <w:rFonts w:ascii="Times New Roman" w:hAnsi="Times New Roman" w:cs="Times New Roman"/>
          <w:b/>
          <w:sz w:val="22"/>
        </w:rPr>
        <w:tab/>
      </w:r>
      <w:r w:rsidRPr="00532994">
        <w:rPr>
          <w:rFonts w:ascii="Times New Roman" w:hAnsi="Times New Roman" w:cs="Times New Roman"/>
          <w:b/>
          <w:i/>
          <w:sz w:val="22"/>
        </w:rPr>
        <w:t>Enhanced Enforcement</w:t>
      </w:r>
    </w:p>
    <w:p w:rsidR="00ED5E14" w:rsidRPr="00532994" w:rsidRDefault="00ED5E14" w:rsidP="003444E8">
      <w:pPr>
        <w:spacing w:line="360" w:lineRule="auto"/>
        <w:jc w:val="both"/>
        <w:rPr>
          <w:rFonts w:ascii="Times New Roman" w:hAnsi="Times New Roman" w:cs="Times New Roman"/>
          <w:sz w:val="22"/>
        </w:rPr>
      </w:pPr>
    </w:p>
    <w:p w:rsidR="00ED5E14" w:rsidRPr="00532994" w:rsidRDefault="00ED5E14" w:rsidP="003444E8">
      <w:pPr>
        <w:spacing w:line="360" w:lineRule="auto"/>
        <w:jc w:val="both"/>
        <w:rPr>
          <w:rFonts w:ascii="Times New Roman" w:hAnsi="Times New Roman" w:cs="Times New Roman"/>
          <w:sz w:val="22"/>
        </w:rPr>
      </w:pPr>
      <w:r w:rsidRPr="00532994">
        <w:rPr>
          <w:rFonts w:ascii="Times New Roman" w:hAnsi="Times New Roman" w:cs="Times New Roman"/>
          <w:sz w:val="22"/>
        </w:rPr>
        <w:t>Since 80 per cent of perpetrators are family members,</w:t>
      </w:r>
      <w:r w:rsidRPr="00532994">
        <w:rPr>
          <w:rStyle w:val="FootnoteReference"/>
          <w:rFonts w:ascii="Times New Roman" w:hAnsi="Times New Roman" w:cs="Times New Roman"/>
          <w:sz w:val="22"/>
        </w:rPr>
        <w:footnoteReference w:id="125"/>
      </w:r>
      <w:r w:rsidRPr="00532994">
        <w:rPr>
          <w:rFonts w:ascii="Times New Roman" w:hAnsi="Times New Roman" w:cs="Times New Roman"/>
          <w:sz w:val="22"/>
        </w:rPr>
        <w:t xml:space="preserve"> it is recommended that domestic violence legislation should be strengthened. The word ‘family member’ has been defined broadly in section 8 of the </w:t>
      </w:r>
      <w:r w:rsidRPr="00532994">
        <w:rPr>
          <w:rFonts w:ascii="Times New Roman" w:hAnsi="Times New Roman" w:cs="Times New Roman"/>
          <w:i/>
          <w:sz w:val="22"/>
        </w:rPr>
        <w:t xml:space="preserve">Family Violence Protection Act 2008 </w:t>
      </w:r>
      <w:r w:rsidRPr="00532994">
        <w:rPr>
          <w:rFonts w:ascii="Times New Roman" w:hAnsi="Times New Roman" w:cs="Times New Roman"/>
          <w:sz w:val="22"/>
        </w:rPr>
        <w:t>(Vic) to include people the person potentially being abused regards ‘as being like a family member’, such that it captures carers of the elderly person as well. This approach could be implemented on a national level.</w:t>
      </w:r>
      <w:r w:rsidRPr="00532994">
        <w:rPr>
          <w:rFonts w:ascii="Times New Roman" w:hAnsi="Times New Roman" w:cs="Times New Roman"/>
          <w:i/>
          <w:sz w:val="22"/>
        </w:rPr>
        <w:t xml:space="preserve"> </w:t>
      </w:r>
    </w:p>
    <w:p w:rsidR="00ED5E14" w:rsidRPr="00532994" w:rsidRDefault="00ED5E14" w:rsidP="003444E8">
      <w:pPr>
        <w:spacing w:line="360" w:lineRule="auto"/>
        <w:jc w:val="both"/>
        <w:rPr>
          <w:rFonts w:ascii="Times New Roman" w:hAnsi="Times New Roman" w:cs="Times New Roman"/>
          <w:sz w:val="22"/>
        </w:rPr>
      </w:pPr>
    </w:p>
    <w:p w:rsidR="00ED5E14" w:rsidRPr="00532994" w:rsidRDefault="00ED5E14" w:rsidP="003444E8">
      <w:pPr>
        <w:spacing w:line="360" w:lineRule="auto"/>
        <w:jc w:val="both"/>
        <w:rPr>
          <w:rFonts w:ascii="Times New Roman" w:hAnsi="Times New Roman" w:cs="Times New Roman"/>
          <w:sz w:val="22"/>
        </w:rPr>
      </w:pPr>
      <w:r w:rsidRPr="00532994">
        <w:rPr>
          <w:rFonts w:ascii="Times New Roman" w:hAnsi="Times New Roman" w:cs="Times New Roman"/>
          <w:sz w:val="22"/>
        </w:rPr>
        <w:t xml:space="preserve">Further, police training relating to the investigation and prosecution of elder abuse cases </w:t>
      </w:r>
      <w:r w:rsidR="008D341C">
        <w:rPr>
          <w:rFonts w:ascii="Times New Roman" w:hAnsi="Times New Roman" w:cs="Times New Roman"/>
          <w:sz w:val="22"/>
        </w:rPr>
        <w:t>sh</w:t>
      </w:r>
      <w:r w:rsidRPr="00532994">
        <w:rPr>
          <w:rFonts w:ascii="Times New Roman" w:hAnsi="Times New Roman" w:cs="Times New Roman"/>
          <w:sz w:val="22"/>
        </w:rPr>
        <w:t xml:space="preserve">ould be improved, and the investigative powers of statutory agencies </w:t>
      </w:r>
      <w:r w:rsidR="008D341C">
        <w:rPr>
          <w:rFonts w:ascii="Times New Roman" w:hAnsi="Times New Roman" w:cs="Times New Roman"/>
          <w:sz w:val="22"/>
        </w:rPr>
        <w:t>such as state public advocates sh</w:t>
      </w:r>
      <w:r w:rsidRPr="00532994">
        <w:rPr>
          <w:rFonts w:ascii="Times New Roman" w:hAnsi="Times New Roman" w:cs="Times New Roman"/>
          <w:sz w:val="22"/>
        </w:rPr>
        <w:t xml:space="preserve">ould be increased. This would enable </w:t>
      </w:r>
      <w:r w:rsidR="008D341C">
        <w:rPr>
          <w:rFonts w:ascii="Times New Roman" w:hAnsi="Times New Roman" w:cs="Times New Roman"/>
          <w:sz w:val="22"/>
        </w:rPr>
        <w:t xml:space="preserve">the investigation of </w:t>
      </w:r>
      <w:r w:rsidRPr="00532994">
        <w:rPr>
          <w:rFonts w:ascii="Times New Roman" w:hAnsi="Times New Roman" w:cs="Times New Roman"/>
          <w:sz w:val="22"/>
        </w:rPr>
        <w:t>situations of concern when a crime may likely have been committed</w:t>
      </w:r>
      <w:r w:rsidR="008D341C">
        <w:rPr>
          <w:rFonts w:ascii="Times New Roman" w:hAnsi="Times New Roman" w:cs="Times New Roman"/>
          <w:sz w:val="22"/>
        </w:rPr>
        <w:t>, and subsequent prosecution appropriate</w:t>
      </w:r>
      <w:r w:rsidRPr="00532994">
        <w:rPr>
          <w:rFonts w:ascii="Times New Roman" w:hAnsi="Times New Roman" w:cs="Times New Roman"/>
          <w:sz w:val="22"/>
        </w:rPr>
        <w:t>.</w:t>
      </w:r>
      <w:r w:rsidRPr="00532994">
        <w:rPr>
          <w:rStyle w:val="FootnoteReference"/>
          <w:rFonts w:ascii="Times New Roman" w:hAnsi="Times New Roman" w:cs="Times New Roman"/>
          <w:sz w:val="22"/>
        </w:rPr>
        <w:footnoteReference w:id="126"/>
      </w:r>
      <w:r w:rsidRPr="00532994">
        <w:rPr>
          <w:rFonts w:ascii="Times New Roman" w:hAnsi="Times New Roman" w:cs="Times New Roman"/>
          <w:sz w:val="22"/>
        </w:rPr>
        <w:t xml:space="preserve"> </w:t>
      </w:r>
    </w:p>
    <w:p w:rsidR="00ED5E14" w:rsidRPr="00532994" w:rsidRDefault="00ED5E14" w:rsidP="003444E8">
      <w:pPr>
        <w:spacing w:line="360" w:lineRule="auto"/>
        <w:jc w:val="both"/>
        <w:rPr>
          <w:rFonts w:ascii="Times New Roman" w:hAnsi="Times New Roman" w:cs="Times New Roman"/>
          <w:sz w:val="22"/>
        </w:rPr>
      </w:pPr>
    </w:p>
    <w:p w:rsidR="00ED5E14" w:rsidRPr="00532994" w:rsidRDefault="00EC0EE4" w:rsidP="003444E8">
      <w:pPr>
        <w:spacing w:line="360" w:lineRule="auto"/>
        <w:jc w:val="both"/>
        <w:rPr>
          <w:rFonts w:ascii="Times New Roman" w:hAnsi="Times New Roman" w:cs="Times New Roman"/>
          <w:sz w:val="22"/>
        </w:rPr>
      </w:pPr>
      <w:r w:rsidRPr="00EC0EE4">
        <w:rPr>
          <w:rFonts w:ascii="Times New Roman" w:hAnsi="Times New Roman" w:cs="Times New Roman"/>
          <w:sz w:val="22"/>
        </w:rPr>
        <w:t>Alternatively, an independent government agency which solely manages inquiries and complaints regarding (suspected) elder abuse may be considered. The added benefit of maintaining independence from the police may encourage victims to overcome the reluctance to involve the criminal law in ‘private’ situations and report their abuse. S. Such an approach has been adopted in Washington, where the Adult Protection Service receives all complaints of abuse and refers the elderly to appropriate services.</w:t>
      </w:r>
      <w:r w:rsidR="00ED5E14" w:rsidRPr="00532994">
        <w:rPr>
          <w:rStyle w:val="FootnoteReference"/>
          <w:rFonts w:ascii="Times New Roman" w:hAnsi="Times New Roman" w:cs="Times New Roman"/>
          <w:sz w:val="22"/>
        </w:rPr>
        <w:footnoteReference w:id="127"/>
      </w:r>
    </w:p>
    <w:p w:rsidR="00ED5E14" w:rsidRPr="00532994" w:rsidRDefault="00ED5E14" w:rsidP="003444E8">
      <w:pPr>
        <w:spacing w:line="360" w:lineRule="auto"/>
        <w:jc w:val="both"/>
        <w:rPr>
          <w:rFonts w:ascii="Times New Roman" w:hAnsi="Times New Roman" w:cs="Times New Roman"/>
          <w:sz w:val="22"/>
        </w:rPr>
      </w:pPr>
    </w:p>
    <w:p w:rsidR="0038070D" w:rsidRPr="00532994" w:rsidRDefault="0038070D" w:rsidP="003444E8">
      <w:pPr>
        <w:rPr>
          <w:rFonts w:ascii="Times New Roman" w:hAnsi="Times New Roman" w:cs="Times New Roman"/>
          <w:b/>
          <w:i/>
          <w:sz w:val="22"/>
        </w:rPr>
      </w:pPr>
      <w:r w:rsidRPr="00532994">
        <w:rPr>
          <w:rFonts w:ascii="Times New Roman" w:hAnsi="Times New Roman" w:cs="Times New Roman"/>
          <w:b/>
          <w:i/>
          <w:sz w:val="22"/>
        </w:rPr>
        <w:br w:type="page"/>
      </w:r>
    </w:p>
    <w:p w:rsidR="00ED5E14" w:rsidRPr="00532994" w:rsidRDefault="00ED5E14" w:rsidP="003444E8">
      <w:pPr>
        <w:spacing w:line="360" w:lineRule="auto"/>
        <w:jc w:val="both"/>
        <w:rPr>
          <w:rFonts w:ascii="Times New Roman" w:hAnsi="Times New Roman" w:cs="Times New Roman"/>
          <w:b/>
          <w:sz w:val="22"/>
        </w:rPr>
      </w:pPr>
      <w:r w:rsidRPr="00532994">
        <w:rPr>
          <w:rFonts w:ascii="Times New Roman" w:hAnsi="Times New Roman" w:cs="Times New Roman"/>
          <w:b/>
          <w:i/>
          <w:sz w:val="22"/>
        </w:rPr>
        <w:lastRenderedPageBreak/>
        <w:t>2</w:t>
      </w:r>
      <w:r w:rsidRPr="00532994">
        <w:rPr>
          <w:rFonts w:ascii="Times New Roman" w:hAnsi="Times New Roman" w:cs="Times New Roman"/>
          <w:b/>
          <w:i/>
          <w:sz w:val="22"/>
        </w:rPr>
        <w:tab/>
      </w:r>
      <w:r w:rsidRPr="00532994">
        <w:rPr>
          <w:rFonts w:ascii="Times New Roman" w:hAnsi="Times New Roman" w:cs="Times New Roman"/>
          <w:b/>
          <w:sz w:val="22"/>
        </w:rPr>
        <w:t>Comprehensive Offence Provisions</w:t>
      </w:r>
    </w:p>
    <w:p w:rsidR="00ED5E14" w:rsidRPr="00532994" w:rsidRDefault="00ED5E14" w:rsidP="003444E8">
      <w:pPr>
        <w:spacing w:line="360" w:lineRule="auto"/>
        <w:jc w:val="both"/>
        <w:rPr>
          <w:rFonts w:ascii="Times New Roman" w:hAnsi="Times New Roman" w:cs="Times New Roman"/>
          <w:sz w:val="22"/>
        </w:rPr>
      </w:pPr>
    </w:p>
    <w:p w:rsidR="00ED5E14" w:rsidRPr="00532994" w:rsidRDefault="003A6B40" w:rsidP="003444E8">
      <w:pPr>
        <w:spacing w:line="360" w:lineRule="auto"/>
        <w:jc w:val="both"/>
        <w:rPr>
          <w:rFonts w:ascii="Times New Roman" w:hAnsi="Times New Roman" w:cs="Times New Roman"/>
          <w:sz w:val="22"/>
        </w:rPr>
      </w:pPr>
      <w:r w:rsidRPr="003A6B40">
        <w:rPr>
          <w:rFonts w:ascii="Times New Roman" w:hAnsi="Times New Roman" w:cs="Times New Roman"/>
          <w:sz w:val="22"/>
        </w:rPr>
        <w:t>While we submit that a comprehensive ‘elder abuse’ offence is not appropriate, s</w:t>
      </w:r>
      <w:r w:rsidR="00ED5E14" w:rsidRPr="003A6B40">
        <w:rPr>
          <w:rFonts w:ascii="Times New Roman" w:hAnsi="Times New Roman" w:cs="Times New Roman"/>
          <w:sz w:val="22"/>
        </w:rPr>
        <w:t xml:space="preserve">hould </w:t>
      </w:r>
      <w:r w:rsidRPr="003A6B40">
        <w:rPr>
          <w:rFonts w:ascii="Times New Roman" w:hAnsi="Times New Roman" w:cs="Times New Roman"/>
          <w:sz w:val="22"/>
        </w:rPr>
        <w:t>this course be taken</w:t>
      </w:r>
      <w:r w:rsidR="00ED5E14" w:rsidRPr="003A6B40">
        <w:rPr>
          <w:rFonts w:ascii="Times New Roman" w:hAnsi="Times New Roman" w:cs="Times New Roman"/>
          <w:sz w:val="22"/>
        </w:rPr>
        <w:t>, an approach similar to that existing in various American states could be adopted.</w:t>
      </w:r>
      <w:r w:rsidR="00ED5E14" w:rsidRPr="00532994">
        <w:rPr>
          <w:rFonts w:ascii="Times New Roman" w:hAnsi="Times New Roman" w:cs="Times New Roman"/>
          <w:sz w:val="22"/>
        </w:rPr>
        <w:t xml:space="preserve"> For example, in states such as California and New Jersey,</w:t>
      </w:r>
      <w:r w:rsidR="00ED5E14" w:rsidRPr="00532994">
        <w:rPr>
          <w:rStyle w:val="FootnoteReference"/>
          <w:rFonts w:ascii="Times New Roman" w:hAnsi="Times New Roman" w:cs="Times New Roman"/>
          <w:sz w:val="22"/>
        </w:rPr>
        <w:footnoteReference w:id="128"/>
      </w:r>
      <w:r w:rsidR="00ED5E14" w:rsidRPr="00532994">
        <w:rPr>
          <w:rFonts w:ascii="Times New Roman" w:hAnsi="Times New Roman" w:cs="Times New Roman"/>
          <w:sz w:val="22"/>
        </w:rPr>
        <w:t xml:space="preserve"> offences exist for carers placing elderly people in situations of neglect or potential injury.</w:t>
      </w:r>
      <w:r w:rsidR="00ED5E14" w:rsidRPr="00532994">
        <w:rPr>
          <w:rStyle w:val="FootnoteReference"/>
          <w:rFonts w:ascii="Times New Roman" w:hAnsi="Times New Roman" w:cs="Times New Roman"/>
          <w:sz w:val="22"/>
        </w:rPr>
        <w:footnoteReference w:id="129"/>
      </w:r>
      <w:r w:rsidR="00ED5E14" w:rsidRPr="00532994">
        <w:rPr>
          <w:rFonts w:ascii="Times New Roman" w:hAnsi="Times New Roman" w:cs="Times New Roman"/>
          <w:sz w:val="22"/>
        </w:rPr>
        <w:t xml:space="preserve"> Such a scheme could be supplemented by an ‘Abuse Registry’, as exists in Washington, so that perpetrators cannot work in care settings.</w:t>
      </w:r>
      <w:r w:rsidR="00ED5E14" w:rsidRPr="00532994">
        <w:rPr>
          <w:rStyle w:val="FootnoteReference"/>
          <w:rFonts w:ascii="Times New Roman" w:hAnsi="Times New Roman" w:cs="Times New Roman"/>
          <w:sz w:val="22"/>
        </w:rPr>
        <w:footnoteReference w:id="130"/>
      </w:r>
    </w:p>
    <w:p w:rsidR="00ED5E14" w:rsidRPr="00532994" w:rsidRDefault="00ED5E14" w:rsidP="003444E8">
      <w:pPr>
        <w:spacing w:line="360" w:lineRule="auto"/>
        <w:jc w:val="both"/>
        <w:rPr>
          <w:rFonts w:ascii="Times New Roman" w:hAnsi="Times New Roman" w:cs="Times New Roman"/>
        </w:rPr>
      </w:pPr>
    </w:p>
    <w:tbl>
      <w:tblPr>
        <w:tblStyle w:val="TableGrid"/>
        <w:tblW w:w="0" w:type="auto"/>
        <w:tblLook w:val="04A0"/>
      </w:tblPr>
      <w:tblGrid>
        <w:gridCol w:w="9016"/>
      </w:tblGrid>
      <w:tr w:rsidR="00ED5E14" w:rsidRPr="00532994" w:rsidTr="00ED5E14">
        <w:tc>
          <w:tcPr>
            <w:tcW w:w="9016" w:type="dxa"/>
            <w:tcBorders>
              <w:top w:val="single" w:sz="4" w:space="0" w:color="auto"/>
              <w:left w:val="single" w:sz="4" w:space="0" w:color="auto"/>
              <w:bottom w:val="single" w:sz="4" w:space="0" w:color="auto"/>
              <w:right w:val="single" w:sz="4" w:space="0" w:color="auto"/>
            </w:tcBorders>
            <w:hideMark/>
          </w:tcPr>
          <w:p w:rsidR="00ED5E14" w:rsidRPr="00532994" w:rsidRDefault="00ED5E14" w:rsidP="003444E8">
            <w:pPr>
              <w:spacing w:line="360" w:lineRule="auto"/>
              <w:jc w:val="both"/>
              <w:rPr>
                <w:rFonts w:ascii="Times New Roman" w:hAnsi="Times New Roman" w:cs="Times New Roman"/>
                <w:b/>
              </w:rPr>
            </w:pPr>
            <w:r w:rsidRPr="00532994">
              <w:rPr>
                <w:rFonts w:ascii="Times New Roman" w:hAnsi="Times New Roman" w:cs="Times New Roman"/>
                <w:b/>
              </w:rPr>
              <w:t>Question 45</w:t>
            </w:r>
            <w:r w:rsidRPr="00532994">
              <w:rPr>
                <w:rFonts w:ascii="Times New Roman" w:hAnsi="Times New Roman" w:cs="Times New Roman"/>
                <w:b/>
              </w:rPr>
              <w:tab/>
            </w:r>
            <w:r w:rsidRPr="00532994">
              <w:rPr>
                <w:rFonts w:ascii="Times New Roman" w:hAnsi="Times New Roman" w:cs="Times New Roman"/>
                <w:b/>
              </w:rPr>
              <w:tab/>
            </w:r>
            <w:r w:rsidRPr="00532994">
              <w:rPr>
                <w:rFonts w:ascii="Times New Roman" w:hAnsi="Times New Roman" w:cs="Times New Roman"/>
              </w:rPr>
              <w:t>Who should be required to report suspected elder abuse, in what circumstances, and to whom?</w:t>
            </w:r>
            <w:r w:rsidRPr="00532994">
              <w:rPr>
                <w:rFonts w:ascii="Times New Roman" w:hAnsi="Times New Roman" w:cs="Times New Roman"/>
                <w:b/>
              </w:rPr>
              <w:t xml:space="preserve"> </w:t>
            </w:r>
          </w:p>
        </w:tc>
      </w:tr>
    </w:tbl>
    <w:p w:rsidR="00ED5E14" w:rsidRPr="00532994" w:rsidRDefault="00ED5E14" w:rsidP="003444E8">
      <w:pPr>
        <w:spacing w:line="360" w:lineRule="auto"/>
        <w:jc w:val="both"/>
        <w:rPr>
          <w:rFonts w:ascii="Times New Roman" w:hAnsi="Times New Roman" w:cs="Times New Roman"/>
          <w:sz w:val="22"/>
        </w:rPr>
      </w:pPr>
    </w:p>
    <w:p w:rsidR="00831104" w:rsidRPr="00532994" w:rsidRDefault="00831104" w:rsidP="003444E8">
      <w:pPr>
        <w:spacing w:line="360" w:lineRule="auto"/>
        <w:jc w:val="center"/>
        <w:rPr>
          <w:rFonts w:ascii="Times New Roman" w:hAnsi="Times New Roman" w:cs="Times New Roman"/>
          <w:b/>
        </w:rPr>
      </w:pPr>
      <w:r w:rsidRPr="00532994">
        <w:rPr>
          <w:rFonts w:ascii="Times New Roman" w:hAnsi="Times New Roman" w:cs="Times New Roman"/>
          <w:b/>
        </w:rPr>
        <w:t>A</w:t>
      </w:r>
      <w:r w:rsidRPr="00532994">
        <w:rPr>
          <w:rFonts w:ascii="Times New Roman" w:hAnsi="Times New Roman" w:cs="Times New Roman"/>
          <w:b/>
        </w:rPr>
        <w:tab/>
        <w:t>International Approaches to Reporting</w:t>
      </w:r>
    </w:p>
    <w:p w:rsidR="00831104" w:rsidRPr="00532994" w:rsidRDefault="00831104" w:rsidP="003444E8">
      <w:pPr>
        <w:spacing w:line="360" w:lineRule="auto"/>
        <w:jc w:val="both"/>
        <w:rPr>
          <w:rFonts w:ascii="Times New Roman" w:hAnsi="Times New Roman" w:cs="Times New Roman"/>
          <w:sz w:val="22"/>
        </w:rPr>
      </w:pPr>
    </w:p>
    <w:p w:rsidR="00ED5E14" w:rsidRPr="00532994" w:rsidRDefault="00ED5E14" w:rsidP="003444E8">
      <w:pPr>
        <w:spacing w:line="360" w:lineRule="auto"/>
        <w:jc w:val="both"/>
        <w:rPr>
          <w:rFonts w:ascii="Times New Roman" w:hAnsi="Times New Roman" w:cs="Times New Roman"/>
          <w:sz w:val="22"/>
        </w:rPr>
      </w:pPr>
      <w:r w:rsidRPr="00532994">
        <w:rPr>
          <w:rFonts w:ascii="Times New Roman" w:hAnsi="Times New Roman" w:cs="Times New Roman"/>
          <w:sz w:val="22"/>
        </w:rPr>
        <w:t>Due to the hesitancy of victims of elder abuse to involve the police, particularly in family matters, it is advisable to create a non-police contact point to report situations of concern, as occurs in Washington and Nova Scotia.</w:t>
      </w:r>
      <w:r w:rsidRPr="00532994">
        <w:rPr>
          <w:rStyle w:val="FootnoteReference"/>
          <w:rFonts w:ascii="Times New Roman" w:hAnsi="Times New Roman" w:cs="Times New Roman"/>
          <w:sz w:val="22"/>
        </w:rPr>
        <w:footnoteReference w:id="131"/>
      </w:r>
      <w:r w:rsidRPr="00532994">
        <w:rPr>
          <w:rFonts w:ascii="Times New Roman" w:hAnsi="Times New Roman" w:cs="Times New Roman"/>
          <w:sz w:val="22"/>
        </w:rPr>
        <w:t xml:space="preserve"> </w:t>
      </w:r>
      <w:r w:rsidR="00684FD0">
        <w:rPr>
          <w:rFonts w:ascii="Times New Roman" w:hAnsi="Times New Roman" w:cs="Times New Roman"/>
          <w:sz w:val="22"/>
        </w:rPr>
        <w:t>A</w:t>
      </w:r>
      <w:r w:rsidRPr="00532994">
        <w:rPr>
          <w:rFonts w:ascii="Times New Roman" w:hAnsi="Times New Roman" w:cs="Times New Roman"/>
          <w:sz w:val="22"/>
        </w:rPr>
        <w:t xml:space="preserve">n independent agency </w:t>
      </w:r>
      <w:r w:rsidR="00684FD0">
        <w:rPr>
          <w:rFonts w:ascii="Times New Roman" w:hAnsi="Times New Roman" w:cs="Times New Roman"/>
          <w:sz w:val="22"/>
        </w:rPr>
        <w:t xml:space="preserve">with investigatory powers would centralise reporting and </w:t>
      </w:r>
      <w:r w:rsidR="00116963">
        <w:rPr>
          <w:rFonts w:ascii="Times New Roman" w:hAnsi="Times New Roman" w:cs="Times New Roman"/>
          <w:sz w:val="22"/>
        </w:rPr>
        <w:t>aid in the</w:t>
      </w:r>
      <w:r w:rsidR="00684FD0">
        <w:rPr>
          <w:rFonts w:ascii="Times New Roman" w:hAnsi="Times New Roman" w:cs="Times New Roman"/>
          <w:sz w:val="22"/>
        </w:rPr>
        <w:t xml:space="preserve"> prevent</w:t>
      </w:r>
      <w:r w:rsidR="00116963">
        <w:rPr>
          <w:rFonts w:ascii="Times New Roman" w:hAnsi="Times New Roman" w:cs="Times New Roman"/>
          <w:sz w:val="22"/>
        </w:rPr>
        <w:t>ion of</w:t>
      </w:r>
      <w:r w:rsidR="00684FD0">
        <w:rPr>
          <w:rFonts w:ascii="Times New Roman" w:hAnsi="Times New Roman" w:cs="Times New Roman"/>
          <w:sz w:val="22"/>
        </w:rPr>
        <w:t xml:space="preserve"> </w:t>
      </w:r>
      <w:r w:rsidRPr="00532994">
        <w:rPr>
          <w:rFonts w:ascii="Times New Roman" w:hAnsi="Times New Roman" w:cs="Times New Roman"/>
          <w:sz w:val="22"/>
        </w:rPr>
        <w:t>abus</w:t>
      </w:r>
      <w:r w:rsidR="00684FD0">
        <w:rPr>
          <w:rFonts w:ascii="Times New Roman" w:hAnsi="Times New Roman" w:cs="Times New Roman"/>
          <w:sz w:val="22"/>
        </w:rPr>
        <w:t>e</w:t>
      </w:r>
      <w:r w:rsidRPr="00532994">
        <w:rPr>
          <w:rFonts w:ascii="Times New Roman" w:hAnsi="Times New Roman" w:cs="Times New Roman"/>
          <w:sz w:val="22"/>
        </w:rPr>
        <w:t>.</w:t>
      </w:r>
      <w:r w:rsidRPr="00532994">
        <w:rPr>
          <w:rStyle w:val="FootnoteReference"/>
          <w:rFonts w:ascii="Times New Roman" w:hAnsi="Times New Roman" w:cs="Times New Roman"/>
          <w:sz w:val="22"/>
        </w:rPr>
        <w:footnoteReference w:id="132"/>
      </w:r>
      <w:r w:rsidRPr="00532994">
        <w:rPr>
          <w:rFonts w:ascii="Times New Roman" w:hAnsi="Times New Roman" w:cs="Times New Roman"/>
          <w:sz w:val="22"/>
        </w:rPr>
        <w:t xml:space="preserve"> </w:t>
      </w:r>
      <w:r w:rsidR="00895C9F">
        <w:rPr>
          <w:rFonts w:ascii="Times New Roman" w:hAnsi="Times New Roman" w:cs="Times New Roman"/>
          <w:sz w:val="22"/>
        </w:rPr>
        <w:t>S</w:t>
      </w:r>
      <w:r w:rsidR="00895C9F" w:rsidRPr="00895C9F">
        <w:rPr>
          <w:rFonts w:ascii="Times New Roman" w:hAnsi="Times New Roman" w:cs="Times New Roman"/>
          <w:sz w:val="22"/>
        </w:rPr>
        <w:t>uch an authority would also refer particularly serious abuses to the police for further investigation and to decide if criminal prosecutions are appropriate.</w:t>
      </w:r>
    </w:p>
    <w:p w:rsidR="00ED5E14" w:rsidRPr="00532994" w:rsidRDefault="00ED5E14" w:rsidP="003444E8">
      <w:pPr>
        <w:spacing w:line="360" w:lineRule="auto"/>
        <w:jc w:val="both"/>
        <w:rPr>
          <w:rFonts w:ascii="Times New Roman" w:hAnsi="Times New Roman" w:cs="Times New Roman"/>
          <w:sz w:val="22"/>
        </w:rPr>
      </w:pPr>
    </w:p>
    <w:p w:rsidR="00ED5E14" w:rsidRPr="00532994" w:rsidRDefault="00ED5E14" w:rsidP="003444E8">
      <w:pPr>
        <w:spacing w:line="360" w:lineRule="auto"/>
        <w:jc w:val="both"/>
        <w:rPr>
          <w:rFonts w:ascii="Times New Roman" w:hAnsi="Times New Roman" w:cs="Times New Roman"/>
          <w:sz w:val="22"/>
        </w:rPr>
      </w:pPr>
      <w:r w:rsidRPr="00532994">
        <w:rPr>
          <w:rFonts w:ascii="Times New Roman" w:hAnsi="Times New Roman" w:cs="Times New Roman"/>
          <w:sz w:val="22"/>
        </w:rPr>
        <w:t>Alternatively, placing this duty of investigation upon local councils, as in Scotland,</w:t>
      </w:r>
      <w:r w:rsidRPr="00532994">
        <w:rPr>
          <w:rStyle w:val="FootnoteReference"/>
          <w:rFonts w:ascii="Times New Roman" w:hAnsi="Times New Roman" w:cs="Times New Roman"/>
          <w:sz w:val="22"/>
        </w:rPr>
        <w:footnoteReference w:id="133"/>
      </w:r>
      <w:r w:rsidRPr="00532994">
        <w:rPr>
          <w:rFonts w:ascii="Times New Roman" w:hAnsi="Times New Roman" w:cs="Times New Roman"/>
          <w:sz w:val="22"/>
        </w:rPr>
        <w:t xml:space="preserve"> would be equally effective – this could have the benefit of each council being restricted to looking into suspected elder abuse within their locality, thus ensuring the convenient and efficient management of such inquiries. Key is ensuring that cases such as that of Jorge </w:t>
      </w:r>
      <w:proofErr w:type="spellStart"/>
      <w:r w:rsidRPr="00532994">
        <w:rPr>
          <w:rFonts w:ascii="Times New Roman" w:hAnsi="Times New Roman" w:cs="Times New Roman"/>
          <w:sz w:val="22"/>
        </w:rPr>
        <w:t>Chambe</w:t>
      </w:r>
      <w:proofErr w:type="spellEnd"/>
      <w:r w:rsidRPr="00532994">
        <w:rPr>
          <w:rFonts w:ascii="Times New Roman" w:hAnsi="Times New Roman" w:cs="Times New Roman"/>
          <w:sz w:val="22"/>
        </w:rPr>
        <w:t xml:space="preserve"> Coloma, who was discovered a year after his death, do not reoccur for failure of investigation and early reporting.</w:t>
      </w:r>
      <w:r w:rsidRPr="00532994">
        <w:rPr>
          <w:rStyle w:val="FootnoteReference"/>
          <w:rFonts w:ascii="Times New Roman" w:hAnsi="Times New Roman" w:cs="Times New Roman"/>
          <w:sz w:val="22"/>
        </w:rPr>
        <w:footnoteReference w:id="134"/>
      </w:r>
      <w:r w:rsidR="00AE5A69">
        <w:rPr>
          <w:rFonts w:ascii="Times New Roman" w:hAnsi="Times New Roman" w:cs="Times New Roman"/>
          <w:sz w:val="22"/>
        </w:rPr>
        <w:t xml:space="preserve"> </w:t>
      </w:r>
    </w:p>
    <w:p w:rsidR="00ED5E14" w:rsidRPr="00532994" w:rsidRDefault="00ED5E14" w:rsidP="003444E8">
      <w:pPr>
        <w:spacing w:line="360" w:lineRule="auto"/>
        <w:jc w:val="both"/>
        <w:rPr>
          <w:rFonts w:ascii="Times New Roman" w:hAnsi="Times New Roman" w:cs="Times New Roman"/>
          <w:sz w:val="22"/>
        </w:rPr>
      </w:pPr>
    </w:p>
    <w:p w:rsidR="00ED5E14" w:rsidRPr="00532994" w:rsidRDefault="00ED5E14" w:rsidP="003444E8">
      <w:pPr>
        <w:spacing w:line="360" w:lineRule="auto"/>
        <w:jc w:val="both"/>
        <w:rPr>
          <w:rFonts w:ascii="Times New Roman" w:hAnsi="Times New Roman" w:cs="Times New Roman"/>
          <w:sz w:val="22"/>
        </w:rPr>
      </w:pPr>
      <w:r w:rsidRPr="00532994">
        <w:rPr>
          <w:rFonts w:ascii="Times New Roman" w:hAnsi="Times New Roman" w:cs="Times New Roman"/>
          <w:sz w:val="22"/>
        </w:rPr>
        <w:lastRenderedPageBreak/>
        <w:t>In regards to reporting, in jurisdictions such as Nova Scotia, any Canadian in that province can report situations of concern,</w:t>
      </w:r>
      <w:r w:rsidRPr="00532994">
        <w:rPr>
          <w:rStyle w:val="FootnoteReference"/>
          <w:rFonts w:ascii="Times New Roman" w:hAnsi="Times New Roman" w:cs="Times New Roman"/>
          <w:sz w:val="22"/>
        </w:rPr>
        <w:footnoteReference w:id="135"/>
      </w:r>
      <w:r w:rsidRPr="00532994">
        <w:rPr>
          <w:rFonts w:ascii="Times New Roman" w:hAnsi="Times New Roman" w:cs="Times New Roman"/>
          <w:sz w:val="22"/>
        </w:rPr>
        <w:t xml:space="preserve"> with a ‘failure to report’ offence codified in the </w:t>
      </w:r>
      <w:r w:rsidRPr="00532994">
        <w:rPr>
          <w:rFonts w:ascii="Times New Roman" w:hAnsi="Times New Roman" w:cs="Times New Roman"/>
          <w:i/>
          <w:sz w:val="22"/>
        </w:rPr>
        <w:t>Adult Protection Act</w:t>
      </w:r>
      <w:r w:rsidRPr="00532994">
        <w:rPr>
          <w:rFonts w:ascii="Times New Roman" w:hAnsi="Times New Roman" w:cs="Times New Roman"/>
          <w:sz w:val="22"/>
        </w:rPr>
        <w:t>.</w:t>
      </w:r>
      <w:r w:rsidRPr="00532994">
        <w:rPr>
          <w:rStyle w:val="FootnoteReference"/>
          <w:rFonts w:ascii="Times New Roman" w:hAnsi="Times New Roman" w:cs="Times New Roman"/>
          <w:sz w:val="22"/>
        </w:rPr>
        <w:footnoteReference w:id="136"/>
      </w:r>
      <w:r w:rsidRPr="00532994">
        <w:rPr>
          <w:rFonts w:ascii="Times New Roman" w:hAnsi="Times New Roman" w:cs="Times New Roman"/>
          <w:sz w:val="22"/>
        </w:rPr>
        <w:t xml:space="preserve"> In Australia, most states similarly have telephone hotlines and referral services to handle reporting of elder abuse.</w:t>
      </w:r>
      <w:r w:rsidRPr="00532994">
        <w:rPr>
          <w:rStyle w:val="FootnoteReference"/>
          <w:rFonts w:ascii="Times New Roman" w:hAnsi="Times New Roman" w:cs="Times New Roman"/>
          <w:sz w:val="22"/>
        </w:rPr>
        <w:footnoteReference w:id="137"/>
      </w:r>
      <w:r w:rsidRPr="00532994">
        <w:rPr>
          <w:rFonts w:ascii="Times New Roman" w:hAnsi="Times New Roman" w:cs="Times New Roman"/>
          <w:sz w:val="22"/>
        </w:rPr>
        <w:t xml:space="preserve"> Examples include the NSW Elder Abuse Helpline and Resource Unit,</w:t>
      </w:r>
      <w:r w:rsidRPr="00532994">
        <w:rPr>
          <w:rStyle w:val="FootnoteReference"/>
          <w:rFonts w:ascii="Times New Roman" w:hAnsi="Times New Roman" w:cs="Times New Roman"/>
          <w:sz w:val="22"/>
        </w:rPr>
        <w:footnoteReference w:id="138"/>
      </w:r>
      <w:r w:rsidRPr="00532994">
        <w:rPr>
          <w:rFonts w:ascii="Times New Roman" w:hAnsi="Times New Roman" w:cs="Times New Roman"/>
          <w:sz w:val="22"/>
        </w:rPr>
        <w:t xml:space="preserve"> and Queensland’s Elder Abuse Prevention Unit.</w:t>
      </w:r>
      <w:r w:rsidRPr="00532994">
        <w:rPr>
          <w:rStyle w:val="FootnoteReference"/>
          <w:rFonts w:ascii="Times New Roman" w:hAnsi="Times New Roman" w:cs="Times New Roman"/>
          <w:sz w:val="22"/>
        </w:rPr>
        <w:footnoteReference w:id="139"/>
      </w:r>
      <w:r w:rsidR="00AE5A69">
        <w:rPr>
          <w:rFonts w:ascii="Times New Roman" w:hAnsi="Times New Roman" w:cs="Times New Roman"/>
          <w:sz w:val="22"/>
        </w:rPr>
        <w:t xml:space="preserve"> </w:t>
      </w:r>
      <w:r w:rsidRPr="00532994">
        <w:rPr>
          <w:rFonts w:ascii="Times New Roman" w:hAnsi="Times New Roman" w:cs="Times New Roman"/>
          <w:sz w:val="22"/>
        </w:rPr>
        <w:t>While national laws in Australia require (specific) adults, such as aged care providers, to report suspected abuse,</w:t>
      </w:r>
      <w:r w:rsidRPr="00532994">
        <w:rPr>
          <w:rStyle w:val="FootnoteReference"/>
          <w:rFonts w:ascii="Times New Roman" w:hAnsi="Times New Roman" w:cs="Times New Roman"/>
          <w:sz w:val="22"/>
        </w:rPr>
        <w:footnoteReference w:id="140"/>
      </w:r>
      <w:r w:rsidRPr="00532994">
        <w:rPr>
          <w:rFonts w:ascii="Times New Roman" w:hAnsi="Times New Roman" w:cs="Times New Roman"/>
          <w:sz w:val="22"/>
        </w:rPr>
        <w:t xml:space="preserve"> the obligations differ in each state. </w:t>
      </w:r>
      <w:r w:rsidR="005C2889">
        <w:rPr>
          <w:rFonts w:ascii="Times New Roman" w:hAnsi="Times New Roman" w:cs="Times New Roman"/>
          <w:sz w:val="22"/>
        </w:rPr>
        <w:t>T</w:t>
      </w:r>
      <w:r w:rsidRPr="00532994">
        <w:rPr>
          <w:rFonts w:ascii="Times New Roman" w:hAnsi="Times New Roman" w:cs="Times New Roman"/>
          <w:sz w:val="22"/>
        </w:rPr>
        <w:t xml:space="preserve">here is currently no general obligation on </w:t>
      </w:r>
      <w:r w:rsidRPr="00532994">
        <w:rPr>
          <w:rFonts w:ascii="Times New Roman" w:hAnsi="Times New Roman" w:cs="Times New Roman"/>
          <w:i/>
          <w:sz w:val="22"/>
        </w:rPr>
        <w:t xml:space="preserve">all </w:t>
      </w:r>
      <w:r w:rsidRPr="00532994">
        <w:rPr>
          <w:rFonts w:ascii="Times New Roman" w:hAnsi="Times New Roman" w:cs="Times New Roman"/>
          <w:sz w:val="22"/>
        </w:rPr>
        <w:t xml:space="preserve">Australian residents to notify or report suspected, or known, elder abuse. </w:t>
      </w:r>
      <w:r w:rsidR="005C2889">
        <w:rPr>
          <w:rFonts w:ascii="Times New Roman" w:hAnsi="Times New Roman" w:cs="Times New Roman"/>
          <w:sz w:val="22"/>
        </w:rPr>
        <w:t>T</w:t>
      </w:r>
      <w:r w:rsidRPr="00532994">
        <w:rPr>
          <w:rFonts w:ascii="Times New Roman" w:hAnsi="Times New Roman" w:cs="Times New Roman"/>
          <w:sz w:val="22"/>
        </w:rPr>
        <w:t xml:space="preserve">his </w:t>
      </w:r>
      <w:r w:rsidR="005C2889" w:rsidRPr="005C2889">
        <w:rPr>
          <w:rFonts w:ascii="Times New Roman" w:hAnsi="Times New Roman" w:cs="Times New Roman"/>
          <w:sz w:val="22"/>
        </w:rPr>
        <w:t>disposition should be maintained because a compulsory obligation to report suspected abuse on all people would be too onerous and practically difficult to enforce.</w:t>
      </w:r>
    </w:p>
    <w:p w:rsidR="00ED5E14" w:rsidRPr="00532994" w:rsidRDefault="00ED5E14" w:rsidP="003444E8">
      <w:pPr>
        <w:spacing w:line="360" w:lineRule="auto"/>
        <w:jc w:val="both"/>
        <w:rPr>
          <w:rFonts w:ascii="Times New Roman" w:hAnsi="Times New Roman" w:cs="Times New Roman"/>
          <w:sz w:val="22"/>
        </w:rPr>
      </w:pPr>
    </w:p>
    <w:p w:rsidR="00ED5E14" w:rsidRPr="00532994" w:rsidRDefault="005C2889" w:rsidP="003444E8">
      <w:pPr>
        <w:spacing w:line="360" w:lineRule="auto"/>
        <w:jc w:val="both"/>
        <w:rPr>
          <w:rFonts w:ascii="Times New Roman" w:hAnsi="Times New Roman" w:cs="Times New Roman"/>
          <w:sz w:val="22"/>
        </w:rPr>
      </w:pPr>
      <w:r w:rsidRPr="005C2889">
        <w:rPr>
          <w:rFonts w:ascii="Times New Roman" w:hAnsi="Times New Roman" w:cs="Times New Roman"/>
          <w:sz w:val="22"/>
        </w:rPr>
        <w:t xml:space="preserve">Instead, we recommend the adoption </w:t>
      </w:r>
      <w:r>
        <w:rPr>
          <w:rFonts w:ascii="Times New Roman" w:hAnsi="Times New Roman" w:cs="Times New Roman"/>
          <w:sz w:val="22"/>
        </w:rPr>
        <w:t xml:space="preserve">of </w:t>
      </w:r>
      <w:r w:rsidRPr="005C2889">
        <w:rPr>
          <w:rFonts w:ascii="Times New Roman" w:hAnsi="Times New Roman" w:cs="Times New Roman"/>
          <w:sz w:val="22"/>
        </w:rPr>
        <w:t>a mixed mandatory and permissive reporting framework.</w:t>
      </w:r>
      <w:r>
        <w:rPr>
          <w:rFonts w:ascii="Times New Roman" w:hAnsi="Times New Roman" w:cs="Times New Roman"/>
          <w:sz w:val="22"/>
        </w:rPr>
        <w:t xml:space="preserve"> </w:t>
      </w:r>
      <w:r w:rsidR="00ED5E14" w:rsidRPr="00532994">
        <w:rPr>
          <w:rFonts w:ascii="Times New Roman" w:hAnsi="Times New Roman" w:cs="Times New Roman"/>
          <w:sz w:val="22"/>
        </w:rPr>
        <w:t>In America, states such as Washington have a mixed system of mandatory and permissive reporting for those with reasonable cause to believe that a vulnerable adult is being or has been abandoned, abused, financially exploited or neglected.</w:t>
      </w:r>
      <w:r w:rsidR="00ED5E14" w:rsidRPr="00532994">
        <w:rPr>
          <w:rStyle w:val="FootnoteReference"/>
          <w:rFonts w:ascii="Times New Roman" w:hAnsi="Times New Roman" w:cs="Times New Roman"/>
          <w:sz w:val="22"/>
        </w:rPr>
        <w:footnoteReference w:id="141"/>
      </w:r>
      <w:r w:rsidR="00ED5E14" w:rsidRPr="00532994">
        <w:rPr>
          <w:rFonts w:ascii="Times New Roman" w:hAnsi="Times New Roman" w:cs="Times New Roman"/>
          <w:sz w:val="22"/>
        </w:rPr>
        <w:t xml:space="preserve"> This system is commendable, as it places an obligation on those people who work closely with elderly people, such as social workers, aged care providers and medical examiners,</w:t>
      </w:r>
      <w:r w:rsidR="00ED5E14" w:rsidRPr="00532994">
        <w:rPr>
          <w:rStyle w:val="FootnoteReference"/>
          <w:rFonts w:ascii="Times New Roman" w:hAnsi="Times New Roman" w:cs="Times New Roman"/>
          <w:sz w:val="22"/>
        </w:rPr>
        <w:footnoteReference w:id="142"/>
      </w:r>
      <w:r w:rsidR="00ED5E14" w:rsidRPr="00532994">
        <w:rPr>
          <w:rFonts w:ascii="Times New Roman" w:hAnsi="Times New Roman" w:cs="Times New Roman"/>
          <w:sz w:val="22"/>
        </w:rPr>
        <w:t xml:space="preserve"> without </w:t>
      </w:r>
      <w:r w:rsidR="005F1575">
        <w:rPr>
          <w:rFonts w:ascii="Times New Roman" w:hAnsi="Times New Roman" w:cs="Times New Roman"/>
          <w:sz w:val="22"/>
        </w:rPr>
        <w:t xml:space="preserve">making it </w:t>
      </w:r>
      <w:r w:rsidR="00ED5E14" w:rsidRPr="00532994">
        <w:rPr>
          <w:rFonts w:ascii="Times New Roman" w:hAnsi="Times New Roman" w:cs="Times New Roman"/>
          <w:sz w:val="22"/>
        </w:rPr>
        <w:t>an offence for an ordinary citizen to fail to report suspected abuse.</w:t>
      </w:r>
      <w:r w:rsidR="00AE5A69">
        <w:rPr>
          <w:rFonts w:ascii="Times New Roman" w:hAnsi="Times New Roman" w:cs="Times New Roman"/>
          <w:sz w:val="22"/>
        </w:rPr>
        <w:t xml:space="preserve"> </w:t>
      </w:r>
    </w:p>
    <w:p w:rsidR="00ED5E14" w:rsidRPr="00532994" w:rsidRDefault="00ED5E14" w:rsidP="003444E8">
      <w:pPr>
        <w:spacing w:line="360" w:lineRule="auto"/>
        <w:jc w:val="both"/>
        <w:rPr>
          <w:rFonts w:ascii="Times New Roman" w:hAnsi="Times New Roman" w:cs="Times New Roman"/>
          <w:sz w:val="22"/>
        </w:rPr>
      </w:pPr>
    </w:p>
    <w:p w:rsidR="00831104" w:rsidRPr="00532994" w:rsidRDefault="00831104" w:rsidP="003444E8">
      <w:pPr>
        <w:spacing w:line="360" w:lineRule="auto"/>
        <w:jc w:val="center"/>
        <w:rPr>
          <w:rFonts w:ascii="Times New Roman" w:hAnsi="Times New Roman" w:cs="Times New Roman"/>
          <w:b/>
        </w:rPr>
      </w:pPr>
      <w:r w:rsidRPr="00532994">
        <w:rPr>
          <w:rFonts w:ascii="Times New Roman" w:hAnsi="Times New Roman" w:cs="Times New Roman"/>
          <w:b/>
        </w:rPr>
        <w:t>B</w:t>
      </w:r>
      <w:r w:rsidRPr="00532994">
        <w:rPr>
          <w:rFonts w:ascii="Times New Roman" w:hAnsi="Times New Roman" w:cs="Times New Roman"/>
          <w:b/>
        </w:rPr>
        <w:tab/>
        <w:t>Recommendations for Reform</w:t>
      </w:r>
    </w:p>
    <w:p w:rsidR="00831104" w:rsidRPr="00532994" w:rsidRDefault="00831104" w:rsidP="003444E8">
      <w:pPr>
        <w:spacing w:line="360" w:lineRule="auto"/>
        <w:jc w:val="both"/>
        <w:rPr>
          <w:rFonts w:ascii="Times New Roman" w:hAnsi="Times New Roman" w:cs="Times New Roman"/>
          <w:sz w:val="22"/>
        </w:rPr>
      </w:pPr>
    </w:p>
    <w:p w:rsidR="009059B7" w:rsidRPr="00532994" w:rsidRDefault="00611CCB" w:rsidP="003444E8">
      <w:pPr>
        <w:spacing w:line="360" w:lineRule="auto"/>
        <w:jc w:val="both"/>
        <w:rPr>
          <w:rFonts w:ascii="Times New Roman" w:hAnsi="Times New Roman" w:cs="Times New Roman"/>
          <w:sz w:val="22"/>
          <w:szCs w:val="22"/>
        </w:rPr>
      </w:pPr>
      <w:r w:rsidRPr="00611CCB">
        <w:rPr>
          <w:rFonts w:ascii="Times New Roman" w:hAnsi="Times New Roman" w:cs="Times New Roman"/>
          <w:sz w:val="22"/>
        </w:rPr>
        <w:t>We recommend that perso</w:t>
      </w:r>
      <w:r>
        <w:rPr>
          <w:rFonts w:ascii="Times New Roman" w:hAnsi="Times New Roman" w:cs="Times New Roman"/>
          <w:sz w:val="22"/>
        </w:rPr>
        <w:t>ns in contact with older people</w:t>
      </w:r>
      <w:r w:rsidRPr="00611CCB">
        <w:rPr>
          <w:rFonts w:ascii="Times New Roman" w:hAnsi="Times New Roman" w:cs="Times New Roman"/>
          <w:sz w:val="22"/>
        </w:rPr>
        <w:t xml:space="preserve"> in a professional capacity, such as social workers, aged care providers, and medical practitioners should be compulsorily obliged to report suspected elder abuse to an independent government agency. The wider community in general should be educated and encouraged to also report cases of suspected abuse or neglect. Mindful of this recommendation, protections should exist for those bona fide reporters who incorrectly or mistakenly, report suspected elder abuse.</w:t>
      </w:r>
    </w:p>
    <w:sectPr w:rsidR="009059B7" w:rsidRPr="00532994" w:rsidSect="00C717AF">
      <w:headerReference w:type="default" r:id="rId8"/>
      <w:footerReference w:type="even" r:id="rId9"/>
      <w:footerReference w:type="default" r:id="rId10"/>
      <w:pgSz w:w="11900" w:h="16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026" w:rsidRDefault="003C3026" w:rsidP="004A69D6">
      <w:r>
        <w:separator/>
      </w:r>
    </w:p>
  </w:endnote>
  <w:endnote w:type="continuationSeparator" w:id="0">
    <w:p w:rsidR="003C3026" w:rsidRDefault="003C3026" w:rsidP="004A69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xis">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C50" w:rsidRDefault="004A069C" w:rsidP="003F7C50">
    <w:pPr>
      <w:pStyle w:val="Footer"/>
      <w:framePr w:wrap="around" w:vAnchor="text" w:hAnchor="margin" w:xAlign="right" w:y="1"/>
      <w:rPr>
        <w:rStyle w:val="PageNumber"/>
      </w:rPr>
    </w:pPr>
    <w:r>
      <w:rPr>
        <w:rStyle w:val="PageNumber"/>
      </w:rPr>
      <w:fldChar w:fldCharType="begin"/>
    </w:r>
    <w:r w:rsidR="003F7C50">
      <w:rPr>
        <w:rStyle w:val="PageNumber"/>
      </w:rPr>
      <w:instrText xml:space="preserve">PAGE  </w:instrText>
    </w:r>
    <w:r>
      <w:rPr>
        <w:rStyle w:val="PageNumber"/>
      </w:rPr>
      <w:fldChar w:fldCharType="end"/>
    </w:r>
  </w:p>
  <w:p w:rsidR="003F7C50" w:rsidRDefault="003F7C50" w:rsidP="004A69D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92119687"/>
      <w:docPartObj>
        <w:docPartGallery w:val="Page Numbers (Bottom of Page)"/>
        <w:docPartUnique/>
      </w:docPartObj>
    </w:sdtPr>
    <w:sdtEndPr>
      <w:rPr>
        <w:noProof/>
      </w:rPr>
    </w:sdtEndPr>
    <w:sdtContent>
      <w:p w:rsidR="003F7C50" w:rsidRPr="00F61C24" w:rsidRDefault="004A069C">
        <w:pPr>
          <w:pStyle w:val="Footer"/>
          <w:jc w:val="right"/>
          <w:rPr>
            <w:rFonts w:ascii="Times New Roman" w:hAnsi="Times New Roman" w:cs="Times New Roman"/>
          </w:rPr>
        </w:pPr>
        <w:r w:rsidRPr="00F61C24">
          <w:rPr>
            <w:rFonts w:ascii="Times New Roman" w:hAnsi="Times New Roman" w:cs="Times New Roman"/>
          </w:rPr>
          <w:fldChar w:fldCharType="begin"/>
        </w:r>
        <w:r w:rsidR="003F7C50" w:rsidRPr="00F61C24">
          <w:rPr>
            <w:rFonts w:ascii="Times New Roman" w:hAnsi="Times New Roman" w:cs="Times New Roman"/>
          </w:rPr>
          <w:instrText xml:space="preserve"> PAGE   \* MERGEFORMAT </w:instrText>
        </w:r>
        <w:r w:rsidRPr="00F61C24">
          <w:rPr>
            <w:rFonts w:ascii="Times New Roman" w:hAnsi="Times New Roman" w:cs="Times New Roman"/>
          </w:rPr>
          <w:fldChar w:fldCharType="separate"/>
        </w:r>
        <w:r w:rsidR="000B21CA">
          <w:rPr>
            <w:rFonts w:ascii="Times New Roman" w:hAnsi="Times New Roman" w:cs="Times New Roman"/>
            <w:noProof/>
          </w:rPr>
          <w:t>1</w:t>
        </w:r>
        <w:r w:rsidRPr="00F61C24">
          <w:rPr>
            <w:rFonts w:ascii="Times New Roman" w:hAnsi="Times New Roman" w:cs="Times New Roman"/>
            <w:noProof/>
          </w:rPr>
          <w:fldChar w:fldCharType="end"/>
        </w:r>
      </w:p>
    </w:sdtContent>
  </w:sdt>
  <w:p w:rsidR="003F7C50" w:rsidRPr="00F61C24" w:rsidRDefault="003F7C50" w:rsidP="004A69D6">
    <w:pPr>
      <w:pStyle w:val="Footer"/>
      <w:ind w:right="360"/>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026" w:rsidRDefault="003C3026" w:rsidP="004A69D6">
      <w:r>
        <w:separator/>
      </w:r>
    </w:p>
  </w:footnote>
  <w:footnote w:type="continuationSeparator" w:id="0">
    <w:p w:rsidR="003C3026" w:rsidRDefault="003C3026" w:rsidP="004A69D6">
      <w:r>
        <w:continuationSeparator/>
      </w:r>
    </w:p>
  </w:footnote>
  <w:footnote w:id="1">
    <w:p w:rsidR="003F7C50" w:rsidRPr="00AE5A69" w:rsidRDefault="003F7C50" w:rsidP="00D40BBB">
      <w:pPr>
        <w:pStyle w:val="Footnote"/>
        <w:ind w:left="567" w:hanging="567"/>
        <w:rPr>
          <w:rFonts w:ascii="Times New Roman" w:hAnsi="Times New Roman" w:cs="Times New Roman"/>
          <w:color w:val="auto"/>
          <w:sz w:val="20"/>
          <w:szCs w:val="20"/>
        </w:rPr>
      </w:pPr>
      <w:r w:rsidRPr="00AE5A69">
        <w:rPr>
          <w:rFonts w:ascii="Times New Roman" w:eastAsia="Times New Roman" w:hAnsi="Times New Roman" w:cs="Times New Roman"/>
          <w:color w:val="auto"/>
          <w:sz w:val="20"/>
          <w:szCs w:val="20"/>
          <w:vertAlign w:val="superscript"/>
        </w:rPr>
        <w:footnoteRef/>
      </w:r>
      <w:r w:rsidRPr="00AE5A69">
        <w:rPr>
          <w:rFonts w:ascii="Times New Roman" w:hAnsi="Times New Roman" w:cs="Times New Roman"/>
          <w:color w:val="auto"/>
          <w:sz w:val="20"/>
          <w:szCs w:val="20"/>
          <w:lang w:val="en-US"/>
        </w:rPr>
        <w:t xml:space="preserve"> </w:t>
      </w:r>
      <w:r w:rsidRPr="00AE5A69">
        <w:rPr>
          <w:rFonts w:ascii="Times New Roman" w:hAnsi="Times New Roman" w:cs="Times New Roman"/>
          <w:color w:val="auto"/>
          <w:sz w:val="20"/>
          <w:szCs w:val="20"/>
          <w:lang w:val="en-US"/>
        </w:rPr>
        <w:tab/>
        <w:t xml:space="preserve">Australian Law Reform Commission, </w:t>
      </w:r>
      <w:r w:rsidRPr="00AE5A69">
        <w:rPr>
          <w:rFonts w:ascii="Times New Roman" w:hAnsi="Times New Roman" w:cs="Times New Roman"/>
          <w:i/>
          <w:iCs/>
          <w:color w:val="auto"/>
          <w:sz w:val="20"/>
          <w:szCs w:val="20"/>
          <w:lang w:val="en-US"/>
        </w:rPr>
        <w:t xml:space="preserve">Elder Abuse, </w:t>
      </w:r>
      <w:r w:rsidRPr="00AE5A69">
        <w:rPr>
          <w:rFonts w:ascii="Times New Roman" w:hAnsi="Times New Roman" w:cs="Times New Roman"/>
          <w:color w:val="auto"/>
          <w:sz w:val="20"/>
          <w:szCs w:val="20"/>
          <w:lang w:val="en-US"/>
        </w:rPr>
        <w:t>Issue Paper No 47 (2016) 19 [50].</w:t>
      </w:r>
    </w:p>
  </w:footnote>
  <w:footnote w:id="2">
    <w:p w:rsidR="003F7C50" w:rsidRPr="00AE5A69" w:rsidRDefault="003F7C50" w:rsidP="00D40BBB">
      <w:pPr>
        <w:pStyle w:val="Footnote"/>
        <w:ind w:left="567" w:hanging="567"/>
        <w:rPr>
          <w:rFonts w:ascii="Times New Roman" w:hAnsi="Times New Roman" w:cs="Times New Roman"/>
          <w:color w:val="auto"/>
          <w:sz w:val="20"/>
          <w:szCs w:val="20"/>
        </w:rPr>
      </w:pPr>
      <w:r w:rsidRPr="00AE5A69">
        <w:rPr>
          <w:rFonts w:ascii="Times New Roman" w:eastAsia="Times New Roman" w:hAnsi="Times New Roman" w:cs="Times New Roman"/>
          <w:color w:val="auto"/>
          <w:sz w:val="20"/>
          <w:szCs w:val="20"/>
          <w:vertAlign w:val="superscript"/>
        </w:rPr>
        <w:footnoteRef/>
      </w:r>
      <w:r w:rsidRPr="00AE5A69">
        <w:rPr>
          <w:rFonts w:ascii="Times New Roman" w:hAnsi="Times New Roman" w:cs="Times New Roman"/>
          <w:color w:val="auto"/>
          <w:sz w:val="20"/>
          <w:szCs w:val="20"/>
          <w:lang w:val="en-US"/>
        </w:rPr>
        <w:t xml:space="preserve"> </w:t>
      </w:r>
      <w:r w:rsidRPr="00AE5A69">
        <w:rPr>
          <w:rFonts w:ascii="Times New Roman" w:hAnsi="Times New Roman" w:cs="Times New Roman"/>
          <w:color w:val="auto"/>
          <w:sz w:val="20"/>
          <w:szCs w:val="20"/>
          <w:lang w:val="en-US"/>
        </w:rPr>
        <w:tab/>
      </w:r>
      <w:proofErr w:type="gramStart"/>
      <w:r w:rsidRPr="00AE5A69">
        <w:rPr>
          <w:rFonts w:ascii="Times New Roman" w:hAnsi="Times New Roman" w:cs="Times New Roman"/>
          <w:color w:val="auto"/>
          <w:sz w:val="20"/>
          <w:szCs w:val="20"/>
          <w:lang w:val="en-US"/>
        </w:rPr>
        <w:t>Department of Human Services (</w:t>
      </w:r>
      <w:proofErr w:type="spellStart"/>
      <w:r w:rsidRPr="00AE5A69">
        <w:rPr>
          <w:rFonts w:ascii="Times New Roman" w:hAnsi="Times New Roman" w:cs="Times New Roman"/>
          <w:color w:val="auto"/>
          <w:sz w:val="20"/>
          <w:szCs w:val="20"/>
          <w:lang w:val="en-US"/>
        </w:rPr>
        <w:t>Cth</w:t>
      </w:r>
      <w:proofErr w:type="spellEnd"/>
      <w:r w:rsidRPr="00AE5A69">
        <w:rPr>
          <w:rFonts w:ascii="Times New Roman" w:hAnsi="Times New Roman" w:cs="Times New Roman"/>
          <w:color w:val="auto"/>
          <w:sz w:val="20"/>
          <w:szCs w:val="20"/>
          <w:lang w:val="en-US"/>
        </w:rPr>
        <w:t>), ‘</w:t>
      </w:r>
      <w:r w:rsidRPr="00AE5A69">
        <w:rPr>
          <w:rFonts w:ascii="Times New Roman" w:hAnsi="Times New Roman" w:cs="Times New Roman"/>
          <w:iCs/>
          <w:color w:val="auto"/>
          <w:sz w:val="20"/>
          <w:szCs w:val="20"/>
          <w:lang w:val="en-US"/>
        </w:rPr>
        <w:t>Family and Domestic Violence Strategy 2016–2019’ (Strategy Paper, 2016)</w:t>
      </w:r>
      <w:r w:rsidRPr="00AE5A69">
        <w:rPr>
          <w:rFonts w:ascii="Times New Roman" w:hAnsi="Times New Roman" w:cs="Times New Roman"/>
          <w:color w:val="auto"/>
          <w:sz w:val="20"/>
          <w:szCs w:val="20"/>
          <w:lang w:val="en-US"/>
        </w:rPr>
        <w:t xml:space="preserve"> 3 &lt;</w:t>
      </w:r>
      <w:r w:rsidRPr="00AE5A69">
        <w:rPr>
          <w:rStyle w:val="Hyperlink0"/>
          <w:rFonts w:ascii="Times New Roman" w:hAnsi="Times New Roman" w:cs="Times New Roman"/>
          <w:color w:val="auto"/>
          <w:sz w:val="20"/>
          <w:szCs w:val="20"/>
          <w:u w:val="none"/>
        </w:rPr>
        <w:t>https://www.humanservices.gov.au/corporate/publications-and-resources/family-and-domestic-violence-strategy-2016-2019&gt;.</w:t>
      </w:r>
      <w:proofErr w:type="gramEnd"/>
    </w:p>
  </w:footnote>
  <w:footnote w:id="3">
    <w:p w:rsidR="003F7C50" w:rsidRPr="00AE5A69" w:rsidRDefault="003F7C50" w:rsidP="00D40BBB">
      <w:pPr>
        <w:pStyle w:val="Footnote"/>
        <w:ind w:left="567" w:hanging="567"/>
        <w:rPr>
          <w:rFonts w:ascii="Times New Roman" w:hAnsi="Times New Roman" w:cs="Times New Roman"/>
          <w:color w:val="auto"/>
          <w:sz w:val="20"/>
          <w:szCs w:val="20"/>
        </w:rPr>
      </w:pPr>
      <w:r w:rsidRPr="00AE5A69">
        <w:rPr>
          <w:rStyle w:val="None"/>
          <w:rFonts w:ascii="Times New Roman" w:eastAsia="Times New Roman" w:hAnsi="Times New Roman" w:cs="Times New Roman"/>
          <w:color w:val="auto"/>
          <w:sz w:val="20"/>
          <w:szCs w:val="20"/>
          <w:vertAlign w:val="superscript"/>
        </w:rPr>
        <w:footnoteRef/>
      </w:r>
      <w:r w:rsidRPr="00AE5A69">
        <w:rPr>
          <w:rStyle w:val="None"/>
          <w:rFonts w:ascii="Times New Roman" w:hAnsi="Times New Roman" w:cs="Times New Roman"/>
          <w:color w:val="auto"/>
          <w:sz w:val="20"/>
          <w:szCs w:val="20"/>
        </w:rPr>
        <w:t xml:space="preserve"> </w:t>
      </w:r>
      <w:r w:rsidRPr="00AE5A69">
        <w:rPr>
          <w:rStyle w:val="None"/>
          <w:rFonts w:ascii="Times New Roman" w:hAnsi="Times New Roman" w:cs="Times New Roman"/>
          <w:color w:val="auto"/>
          <w:sz w:val="20"/>
          <w:szCs w:val="20"/>
        </w:rPr>
        <w:tab/>
        <w:t xml:space="preserve">Sarah Ellison et al, </w:t>
      </w:r>
      <w:r w:rsidRPr="00AE5A69">
        <w:rPr>
          <w:rStyle w:val="None"/>
          <w:rFonts w:ascii="Times New Roman" w:hAnsi="Times New Roman" w:cs="Times New Roman"/>
          <w:i/>
          <w:color w:val="auto"/>
          <w:sz w:val="20"/>
          <w:szCs w:val="20"/>
        </w:rPr>
        <w:t xml:space="preserve">Access to Justice and Legal Needs: </w:t>
      </w:r>
      <w:proofErr w:type="gramStart"/>
      <w:r w:rsidRPr="00AE5A69">
        <w:rPr>
          <w:rStyle w:val="None"/>
          <w:rFonts w:ascii="Times New Roman" w:hAnsi="Times New Roman" w:cs="Times New Roman"/>
          <w:i/>
          <w:color w:val="auto"/>
          <w:sz w:val="20"/>
          <w:szCs w:val="20"/>
        </w:rPr>
        <w:t>The</w:t>
      </w:r>
      <w:proofErr w:type="gramEnd"/>
      <w:r w:rsidRPr="00AE5A69">
        <w:rPr>
          <w:rStyle w:val="None"/>
          <w:rFonts w:ascii="Times New Roman" w:hAnsi="Times New Roman" w:cs="Times New Roman"/>
          <w:color w:val="auto"/>
          <w:sz w:val="20"/>
          <w:szCs w:val="20"/>
        </w:rPr>
        <w:t xml:space="preserve"> </w:t>
      </w:r>
      <w:r w:rsidRPr="00AE5A69">
        <w:rPr>
          <w:rStyle w:val="None"/>
          <w:rFonts w:ascii="Times New Roman" w:hAnsi="Times New Roman" w:cs="Times New Roman"/>
          <w:i/>
          <w:color w:val="auto"/>
          <w:sz w:val="20"/>
          <w:szCs w:val="20"/>
        </w:rPr>
        <w:t>Legal Needs of Older People in NSW</w:t>
      </w:r>
      <w:r w:rsidRPr="00AE5A69">
        <w:rPr>
          <w:rStyle w:val="None"/>
          <w:rFonts w:ascii="Times New Roman" w:hAnsi="Times New Roman" w:cs="Times New Roman"/>
          <w:color w:val="auto"/>
          <w:sz w:val="20"/>
          <w:szCs w:val="20"/>
        </w:rPr>
        <w:t xml:space="preserve"> (Law and Justice Foundation of New South Wales, 2004)</w:t>
      </w:r>
      <w:r w:rsidRPr="00AE5A69">
        <w:rPr>
          <w:rStyle w:val="None"/>
          <w:rFonts w:ascii="Times New Roman" w:hAnsi="Times New Roman" w:cs="Times New Roman"/>
          <w:i/>
          <w:iCs/>
          <w:color w:val="auto"/>
          <w:sz w:val="20"/>
          <w:szCs w:val="20"/>
        </w:rPr>
        <w:t xml:space="preserve"> </w:t>
      </w:r>
      <w:r w:rsidRPr="00AE5A69">
        <w:rPr>
          <w:rStyle w:val="None"/>
          <w:rFonts w:ascii="Times New Roman" w:hAnsi="Times New Roman" w:cs="Times New Roman"/>
          <w:color w:val="auto"/>
          <w:sz w:val="20"/>
          <w:szCs w:val="20"/>
        </w:rPr>
        <w:t xml:space="preserve">290–5. </w:t>
      </w:r>
    </w:p>
  </w:footnote>
  <w:footnote w:id="4">
    <w:p w:rsidR="003F7C50" w:rsidRPr="00AE5A69" w:rsidRDefault="003F7C50" w:rsidP="00D40BBB">
      <w:pPr>
        <w:pStyle w:val="Footnote"/>
        <w:ind w:left="567" w:hanging="567"/>
        <w:rPr>
          <w:rFonts w:ascii="Times New Roman" w:hAnsi="Times New Roman" w:cs="Times New Roman"/>
          <w:color w:val="auto"/>
          <w:sz w:val="20"/>
          <w:szCs w:val="20"/>
        </w:rPr>
      </w:pPr>
      <w:r w:rsidRPr="00AE5A69">
        <w:rPr>
          <w:rStyle w:val="None"/>
          <w:rFonts w:ascii="Times New Roman" w:eastAsia="Times New Roman" w:hAnsi="Times New Roman" w:cs="Times New Roman"/>
          <w:color w:val="auto"/>
          <w:sz w:val="20"/>
          <w:szCs w:val="20"/>
          <w:vertAlign w:val="superscript"/>
        </w:rPr>
        <w:footnoteRef/>
      </w:r>
      <w:r w:rsidRPr="00AE5A69">
        <w:rPr>
          <w:rStyle w:val="None"/>
          <w:rFonts w:ascii="Times New Roman" w:hAnsi="Times New Roman" w:cs="Times New Roman"/>
          <w:color w:val="auto"/>
          <w:sz w:val="20"/>
          <w:szCs w:val="20"/>
        </w:rPr>
        <w:t xml:space="preserve"> </w:t>
      </w:r>
      <w:r w:rsidRPr="00AE5A69">
        <w:rPr>
          <w:rStyle w:val="None"/>
          <w:rFonts w:ascii="Times New Roman" w:hAnsi="Times New Roman" w:cs="Times New Roman"/>
          <w:color w:val="auto"/>
          <w:sz w:val="20"/>
          <w:szCs w:val="20"/>
        </w:rPr>
        <w:tab/>
      </w:r>
      <w:proofErr w:type="gramStart"/>
      <w:r w:rsidRPr="00AE5A69">
        <w:rPr>
          <w:rFonts w:ascii="Times New Roman" w:hAnsi="Times New Roman" w:cs="Times New Roman"/>
          <w:color w:val="auto"/>
          <w:sz w:val="20"/>
          <w:szCs w:val="20"/>
          <w:lang w:val="en-US"/>
        </w:rPr>
        <w:t>Department of Human Services (</w:t>
      </w:r>
      <w:proofErr w:type="spellStart"/>
      <w:r w:rsidRPr="00AE5A69">
        <w:rPr>
          <w:rFonts w:ascii="Times New Roman" w:hAnsi="Times New Roman" w:cs="Times New Roman"/>
          <w:color w:val="auto"/>
          <w:sz w:val="20"/>
          <w:szCs w:val="20"/>
          <w:lang w:val="en-US"/>
        </w:rPr>
        <w:t>Cth</w:t>
      </w:r>
      <w:proofErr w:type="spellEnd"/>
      <w:r w:rsidRPr="00AE5A69">
        <w:rPr>
          <w:rFonts w:ascii="Times New Roman" w:hAnsi="Times New Roman" w:cs="Times New Roman"/>
          <w:color w:val="auto"/>
          <w:sz w:val="20"/>
          <w:szCs w:val="20"/>
          <w:lang w:val="en-US"/>
        </w:rPr>
        <w:t>), ‘</w:t>
      </w:r>
      <w:r w:rsidRPr="00AE5A69">
        <w:rPr>
          <w:rFonts w:ascii="Times New Roman" w:hAnsi="Times New Roman" w:cs="Times New Roman"/>
          <w:iCs/>
          <w:color w:val="auto"/>
          <w:sz w:val="20"/>
          <w:szCs w:val="20"/>
          <w:lang w:val="en-US"/>
        </w:rPr>
        <w:t>Family and Domestic Violence Strategy 2016–2019’ (Strategy Paper, 2016)</w:t>
      </w:r>
      <w:r w:rsidRPr="00AE5A69">
        <w:rPr>
          <w:rFonts w:ascii="Times New Roman" w:hAnsi="Times New Roman" w:cs="Times New Roman"/>
          <w:color w:val="auto"/>
          <w:sz w:val="20"/>
          <w:szCs w:val="20"/>
          <w:lang w:val="en-US"/>
        </w:rPr>
        <w:t xml:space="preserve"> 5–8 &lt;</w:t>
      </w:r>
      <w:r w:rsidRPr="00AE5A69">
        <w:rPr>
          <w:rStyle w:val="Hyperlink0"/>
          <w:rFonts w:ascii="Times New Roman" w:hAnsi="Times New Roman" w:cs="Times New Roman"/>
          <w:color w:val="auto"/>
          <w:sz w:val="20"/>
          <w:szCs w:val="20"/>
          <w:u w:val="none"/>
        </w:rPr>
        <w:t>https://www.humanservices.gov.au/corporate/publications-and-resources/family-and-domestic-violence-strategy-2016-2019&gt;.</w:t>
      </w:r>
      <w:proofErr w:type="gramEnd"/>
    </w:p>
  </w:footnote>
  <w:footnote w:id="5">
    <w:p w:rsidR="003F7C50" w:rsidRPr="00AE5A69" w:rsidRDefault="003F7C50" w:rsidP="00D40BBB">
      <w:pPr>
        <w:pStyle w:val="Footnote"/>
        <w:ind w:left="567" w:hanging="567"/>
        <w:rPr>
          <w:rFonts w:ascii="Times New Roman" w:hAnsi="Times New Roman" w:cs="Times New Roman"/>
          <w:color w:val="auto"/>
          <w:sz w:val="20"/>
          <w:szCs w:val="20"/>
        </w:rPr>
      </w:pPr>
      <w:r w:rsidRPr="00AE5A69">
        <w:rPr>
          <w:rStyle w:val="None"/>
          <w:rFonts w:ascii="Times New Roman" w:eastAsia="Times New Roman" w:hAnsi="Times New Roman" w:cs="Times New Roman"/>
          <w:color w:val="auto"/>
          <w:sz w:val="20"/>
          <w:szCs w:val="20"/>
          <w:vertAlign w:val="superscript"/>
        </w:rPr>
        <w:footnoteRef/>
      </w:r>
      <w:r w:rsidRPr="00AE5A69">
        <w:rPr>
          <w:rFonts w:ascii="Times New Roman" w:hAnsi="Times New Roman" w:cs="Times New Roman"/>
          <w:color w:val="auto"/>
          <w:sz w:val="20"/>
          <w:szCs w:val="20"/>
        </w:rPr>
        <w:t xml:space="preserve"> </w:t>
      </w:r>
      <w:r w:rsidRPr="00AE5A69">
        <w:rPr>
          <w:rFonts w:ascii="Times New Roman" w:hAnsi="Times New Roman" w:cs="Times New Roman"/>
          <w:color w:val="auto"/>
          <w:sz w:val="20"/>
          <w:szCs w:val="20"/>
        </w:rPr>
        <w:tab/>
      </w:r>
      <w:proofErr w:type="gramStart"/>
      <w:r w:rsidRPr="00AE5A69">
        <w:rPr>
          <w:rFonts w:ascii="Times New Roman" w:hAnsi="Times New Roman" w:cs="Times New Roman"/>
          <w:color w:val="auto"/>
          <w:sz w:val="20"/>
          <w:szCs w:val="20"/>
          <w:lang w:val="en-US"/>
        </w:rPr>
        <w:t xml:space="preserve">Ibid </w:t>
      </w:r>
      <w:r w:rsidRPr="00AE5A69">
        <w:rPr>
          <w:rStyle w:val="None"/>
          <w:rFonts w:ascii="Times New Roman" w:hAnsi="Times New Roman" w:cs="Times New Roman"/>
          <w:color w:val="auto"/>
          <w:sz w:val="20"/>
          <w:szCs w:val="20"/>
        </w:rPr>
        <w:t>6.</w:t>
      </w:r>
      <w:proofErr w:type="gramEnd"/>
    </w:p>
  </w:footnote>
  <w:footnote w:id="6">
    <w:p w:rsidR="003F7C50" w:rsidRPr="00AE5A69" w:rsidRDefault="003F7C50" w:rsidP="00D40BBB">
      <w:pPr>
        <w:pStyle w:val="Footnote"/>
        <w:ind w:left="567" w:hanging="567"/>
        <w:rPr>
          <w:rFonts w:ascii="Times New Roman" w:hAnsi="Times New Roman" w:cs="Times New Roman"/>
          <w:color w:val="auto"/>
          <w:sz w:val="20"/>
          <w:szCs w:val="20"/>
        </w:rPr>
      </w:pPr>
      <w:r w:rsidRPr="00AE5A69">
        <w:rPr>
          <w:rStyle w:val="None"/>
          <w:rFonts w:ascii="Times New Roman" w:eastAsia="Times New Roman" w:hAnsi="Times New Roman" w:cs="Times New Roman"/>
          <w:color w:val="auto"/>
          <w:sz w:val="20"/>
          <w:szCs w:val="20"/>
          <w:vertAlign w:val="superscript"/>
        </w:rPr>
        <w:footnoteRef/>
      </w:r>
      <w:r w:rsidRPr="00AE5A69">
        <w:rPr>
          <w:rStyle w:val="None"/>
          <w:rFonts w:ascii="Times New Roman" w:hAnsi="Times New Roman" w:cs="Times New Roman"/>
          <w:color w:val="auto"/>
          <w:sz w:val="20"/>
          <w:szCs w:val="20"/>
        </w:rPr>
        <w:t xml:space="preserve"> </w:t>
      </w:r>
      <w:r w:rsidRPr="00AE5A69">
        <w:rPr>
          <w:rStyle w:val="None"/>
          <w:rFonts w:ascii="Times New Roman" w:hAnsi="Times New Roman" w:cs="Times New Roman"/>
          <w:color w:val="auto"/>
          <w:sz w:val="20"/>
          <w:szCs w:val="20"/>
        </w:rPr>
        <w:tab/>
        <w:t xml:space="preserve">Justice Connect Seniors Law, Submission No 19 to General Purpose Committee No 2, Parliament of NSW, </w:t>
      </w:r>
      <w:r w:rsidRPr="00AE5A69">
        <w:rPr>
          <w:rStyle w:val="None"/>
          <w:rFonts w:ascii="Times New Roman" w:hAnsi="Times New Roman" w:cs="Times New Roman"/>
          <w:i/>
          <w:iCs/>
          <w:color w:val="auto"/>
          <w:sz w:val="20"/>
          <w:szCs w:val="20"/>
        </w:rPr>
        <w:t>Inquiry into Elder Abuse in NSW</w:t>
      </w:r>
      <w:r w:rsidRPr="00AE5A69">
        <w:rPr>
          <w:rStyle w:val="None"/>
          <w:rFonts w:ascii="Times New Roman" w:hAnsi="Times New Roman" w:cs="Times New Roman"/>
          <w:color w:val="auto"/>
          <w:sz w:val="20"/>
          <w:szCs w:val="20"/>
        </w:rPr>
        <w:t>, November 2015</w:t>
      </w:r>
      <w:r w:rsidRPr="00AE5A69">
        <w:rPr>
          <w:rStyle w:val="None"/>
          <w:rFonts w:ascii="Times New Roman" w:hAnsi="Times New Roman" w:cs="Times New Roman"/>
          <w:i/>
          <w:iCs/>
          <w:color w:val="auto"/>
          <w:sz w:val="20"/>
          <w:szCs w:val="20"/>
        </w:rPr>
        <w:t xml:space="preserve">, </w:t>
      </w:r>
      <w:r w:rsidRPr="00AE5A69">
        <w:rPr>
          <w:rStyle w:val="None"/>
          <w:rFonts w:ascii="Times New Roman" w:hAnsi="Times New Roman" w:cs="Times New Roman"/>
          <w:color w:val="auto"/>
          <w:sz w:val="20"/>
          <w:szCs w:val="20"/>
        </w:rPr>
        <w:t>15.</w:t>
      </w:r>
    </w:p>
  </w:footnote>
  <w:footnote w:id="7">
    <w:p w:rsidR="003F7C50" w:rsidRPr="00AE5A69" w:rsidRDefault="003F7C50" w:rsidP="00D40BBB">
      <w:pPr>
        <w:pStyle w:val="Footnote"/>
        <w:ind w:left="567" w:hanging="567"/>
        <w:rPr>
          <w:rFonts w:ascii="Times New Roman" w:hAnsi="Times New Roman" w:cs="Times New Roman"/>
          <w:color w:val="auto"/>
          <w:sz w:val="20"/>
          <w:szCs w:val="20"/>
        </w:rPr>
      </w:pPr>
      <w:r w:rsidRPr="00AE5A69">
        <w:rPr>
          <w:rStyle w:val="None"/>
          <w:rFonts w:ascii="Times New Roman" w:eastAsia="Times New Roman" w:hAnsi="Times New Roman" w:cs="Times New Roman"/>
          <w:color w:val="auto"/>
          <w:sz w:val="20"/>
          <w:szCs w:val="20"/>
          <w:vertAlign w:val="superscript"/>
        </w:rPr>
        <w:footnoteRef/>
      </w:r>
      <w:r w:rsidRPr="00AE5A69">
        <w:rPr>
          <w:rFonts w:ascii="Times New Roman" w:hAnsi="Times New Roman" w:cs="Times New Roman"/>
          <w:color w:val="auto"/>
          <w:sz w:val="20"/>
          <w:szCs w:val="20"/>
        </w:rPr>
        <w:t xml:space="preserve"> </w:t>
      </w:r>
      <w:r w:rsidRPr="00AE5A69">
        <w:rPr>
          <w:rFonts w:ascii="Times New Roman" w:hAnsi="Times New Roman" w:cs="Times New Roman"/>
          <w:color w:val="auto"/>
          <w:sz w:val="20"/>
          <w:szCs w:val="20"/>
        </w:rPr>
        <w:tab/>
      </w:r>
      <w:r w:rsidRPr="00AE5A69">
        <w:rPr>
          <w:rStyle w:val="None"/>
          <w:rFonts w:ascii="Times New Roman" w:hAnsi="Times New Roman" w:cs="Times New Roman"/>
          <w:color w:val="auto"/>
          <w:sz w:val="20"/>
          <w:szCs w:val="20"/>
        </w:rPr>
        <w:t xml:space="preserve">Sarah Ellison et al, </w:t>
      </w:r>
      <w:r w:rsidRPr="00AE5A69">
        <w:rPr>
          <w:rStyle w:val="None"/>
          <w:rFonts w:ascii="Times New Roman" w:hAnsi="Times New Roman" w:cs="Times New Roman"/>
          <w:i/>
          <w:color w:val="auto"/>
          <w:sz w:val="20"/>
          <w:szCs w:val="20"/>
        </w:rPr>
        <w:t xml:space="preserve">Access to Justice and Legal Needs: </w:t>
      </w:r>
      <w:proofErr w:type="gramStart"/>
      <w:r w:rsidRPr="00AE5A69">
        <w:rPr>
          <w:rStyle w:val="None"/>
          <w:rFonts w:ascii="Times New Roman" w:hAnsi="Times New Roman" w:cs="Times New Roman"/>
          <w:i/>
          <w:color w:val="auto"/>
          <w:sz w:val="20"/>
          <w:szCs w:val="20"/>
        </w:rPr>
        <w:t>The</w:t>
      </w:r>
      <w:proofErr w:type="gramEnd"/>
      <w:r w:rsidRPr="00AE5A69">
        <w:rPr>
          <w:rStyle w:val="None"/>
          <w:rFonts w:ascii="Times New Roman" w:hAnsi="Times New Roman" w:cs="Times New Roman"/>
          <w:color w:val="auto"/>
          <w:sz w:val="20"/>
          <w:szCs w:val="20"/>
        </w:rPr>
        <w:t xml:space="preserve"> </w:t>
      </w:r>
      <w:r w:rsidRPr="00AE5A69">
        <w:rPr>
          <w:rStyle w:val="None"/>
          <w:rFonts w:ascii="Times New Roman" w:hAnsi="Times New Roman" w:cs="Times New Roman"/>
          <w:i/>
          <w:color w:val="auto"/>
          <w:sz w:val="20"/>
          <w:szCs w:val="20"/>
        </w:rPr>
        <w:t>Legal Needs of Older People in NSW</w:t>
      </w:r>
      <w:r w:rsidRPr="00AE5A69">
        <w:rPr>
          <w:rStyle w:val="None"/>
          <w:rFonts w:ascii="Times New Roman" w:hAnsi="Times New Roman" w:cs="Times New Roman"/>
          <w:color w:val="auto"/>
          <w:sz w:val="20"/>
          <w:szCs w:val="20"/>
        </w:rPr>
        <w:t xml:space="preserve"> (Law and Justice Foundation of New South Wales, 2004) </w:t>
      </w:r>
      <w:r w:rsidRPr="00AE5A69">
        <w:rPr>
          <w:rFonts w:ascii="Times New Roman" w:hAnsi="Times New Roman" w:cs="Times New Roman"/>
          <w:color w:val="auto"/>
          <w:sz w:val="20"/>
          <w:szCs w:val="20"/>
          <w:lang w:val="en-US"/>
        </w:rPr>
        <w:t>291.</w:t>
      </w:r>
    </w:p>
  </w:footnote>
  <w:footnote w:id="8">
    <w:p w:rsidR="003F7C50" w:rsidRPr="00AE5A69" w:rsidRDefault="003F7C50" w:rsidP="00D40BBB">
      <w:pPr>
        <w:pStyle w:val="Footnote"/>
        <w:ind w:left="567" w:hanging="567"/>
        <w:rPr>
          <w:rFonts w:ascii="Times New Roman" w:hAnsi="Times New Roman" w:cs="Times New Roman"/>
          <w:color w:val="auto"/>
          <w:sz w:val="20"/>
          <w:szCs w:val="20"/>
        </w:rPr>
      </w:pPr>
      <w:r w:rsidRPr="00AE5A69">
        <w:rPr>
          <w:rStyle w:val="None"/>
          <w:rFonts w:ascii="Times New Roman" w:eastAsia="Times New Roman" w:hAnsi="Times New Roman" w:cs="Times New Roman"/>
          <w:color w:val="auto"/>
          <w:sz w:val="20"/>
          <w:szCs w:val="20"/>
          <w:vertAlign w:val="superscript"/>
        </w:rPr>
        <w:footnoteRef/>
      </w:r>
      <w:r w:rsidRPr="00AE5A69">
        <w:rPr>
          <w:rFonts w:ascii="Times New Roman" w:hAnsi="Times New Roman" w:cs="Times New Roman"/>
          <w:color w:val="auto"/>
          <w:sz w:val="20"/>
          <w:szCs w:val="20"/>
          <w:lang w:val="en-US"/>
        </w:rPr>
        <w:t xml:space="preserve"> </w:t>
      </w:r>
      <w:r w:rsidRPr="00AE5A69">
        <w:rPr>
          <w:rFonts w:ascii="Times New Roman" w:hAnsi="Times New Roman" w:cs="Times New Roman"/>
          <w:color w:val="auto"/>
          <w:sz w:val="20"/>
          <w:szCs w:val="20"/>
          <w:lang w:val="en-US"/>
        </w:rPr>
        <w:tab/>
        <w:t xml:space="preserve">Melanie </w:t>
      </w:r>
      <w:proofErr w:type="spellStart"/>
      <w:r w:rsidRPr="00AE5A69">
        <w:rPr>
          <w:rFonts w:ascii="Times New Roman" w:hAnsi="Times New Roman" w:cs="Times New Roman"/>
          <w:color w:val="auto"/>
          <w:sz w:val="20"/>
          <w:szCs w:val="20"/>
          <w:lang w:val="en-US"/>
        </w:rPr>
        <w:t>Joosten</w:t>
      </w:r>
      <w:proofErr w:type="spellEnd"/>
      <w:r w:rsidRPr="00AE5A69">
        <w:rPr>
          <w:rFonts w:ascii="Times New Roman" w:hAnsi="Times New Roman" w:cs="Times New Roman"/>
          <w:color w:val="auto"/>
          <w:sz w:val="20"/>
          <w:szCs w:val="20"/>
          <w:lang w:val="en-US"/>
        </w:rPr>
        <w:t xml:space="preserve">, </w:t>
      </w:r>
      <w:proofErr w:type="spellStart"/>
      <w:r w:rsidRPr="00AE5A69">
        <w:rPr>
          <w:rFonts w:ascii="Times New Roman" w:hAnsi="Times New Roman" w:cs="Times New Roman"/>
          <w:color w:val="auto"/>
          <w:sz w:val="20"/>
          <w:szCs w:val="20"/>
          <w:lang w:val="en-US"/>
        </w:rPr>
        <w:t>Briony</w:t>
      </w:r>
      <w:proofErr w:type="spellEnd"/>
      <w:r w:rsidRPr="00AE5A69">
        <w:rPr>
          <w:rFonts w:ascii="Times New Roman" w:hAnsi="Times New Roman" w:cs="Times New Roman"/>
          <w:color w:val="auto"/>
          <w:sz w:val="20"/>
          <w:szCs w:val="20"/>
          <w:lang w:val="en-US"/>
        </w:rPr>
        <w:t xml:space="preserve"> Dow and Jenny </w:t>
      </w:r>
      <w:proofErr w:type="spellStart"/>
      <w:r w:rsidRPr="00AE5A69">
        <w:rPr>
          <w:rFonts w:ascii="Times New Roman" w:hAnsi="Times New Roman" w:cs="Times New Roman"/>
          <w:color w:val="auto"/>
          <w:sz w:val="20"/>
          <w:szCs w:val="20"/>
          <w:lang w:val="en-US"/>
        </w:rPr>
        <w:t>Blakey</w:t>
      </w:r>
      <w:proofErr w:type="spellEnd"/>
      <w:r w:rsidRPr="00AE5A69">
        <w:rPr>
          <w:rFonts w:ascii="Times New Roman" w:hAnsi="Times New Roman" w:cs="Times New Roman"/>
          <w:color w:val="auto"/>
          <w:sz w:val="20"/>
          <w:szCs w:val="20"/>
          <w:lang w:val="en-US"/>
        </w:rPr>
        <w:t>, ‘Profile of Elder Abuse in Victoria: Analysis of Data about people Seeking Help from Seniors Rights Victoria’ (Summary Report, Seniors Rights Victoria and the National Ageing Research Institute, June 2015) 27.</w:t>
      </w:r>
    </w:p>
  </w:footnote>
  <w:footnote w:id="9">
    <w:p w:rsidR="003F7C50" w:rsidRPr="00AE5A69" w:rsidRDefault="003F7C50" w:rsidP="00D40BBB">
      <w:pPr>
        <w:pStyle w:val="Footnote"/>
        <w:ind w:left="567" w:hanging="567"/>
        <w:rPr>
          <w:rFonts w:ascii="Times New Roman" w:hAnsi="Times New Roman" w:cs="Times New Roman"/>
          <w:color w:val="auto"/>
          <w:sz w:val="20"/>
          <w:szCs w:val="20"/>
        </w:rPr>
      </w:pPr>
      <w:r w:rsidRPr="00AE5A69">
        <w:rPr>
          <w:rStyle w:val="None"/>
          <w:rFonts w:ascii="Times New Roman" w:eastAsia="Times New Roman" w:hAnsi="Times New Roman" w:cs="Times New Roman"/>
          <w:color w:val="auto"/>
          <w:sz w:val="20"/>
          <w:szCs w:val="20"/>
          <w:vertAlign w:val="superscript"/>
        </w:rPr>
        <w:footnoteRef/>
      </w:r>
      <w:r w:rsidRPr="00AE5A69">
        <w:rPr>
          <w:rFonts w:ascii="Times New Roman" w:hAnsi="Times New Roman" w:cs="Times New Roman"/>
          <w:color w:val="auto"/>
          <w:sz w:val="20"/>
          <w:szCs w:val="20"/>
        </w:rPr>
        <w:t xml:space="preserve"> </w:t>
      </w:r>
      <w:r w:rsidRPr="00AE5A69">
        <w:rPr>
          <w:rFonts w:ascii="Times New Roman" w:hAnsi="Times New Roman" w:cs="Times New Roman"/>
          <w:color w:val="auto"/>
          <w:sz w:val="20"/>
          <w:szCs w:val="20"/>
        </w:rPr>
        <w:tab/>
      </w:r>
      <w:r w:rsidRPr="00AE5A69">
        <w:rPr>
          <w:rStyle w:val="None"/>
          <w:rFonts w:ascii="Times New Roman" w:hAnsi="Times New Roman" w:cs="Times New Roman"/>
          <w:color w:val="auto"/>
          <w:sz w:val="20"/>
          <w:szCs w:val="20"/>
        </w:rPr>
        <w:t xml:space="preserve">Justice Connect Seniors Law, Submission No 19 to General Purpose Committee No 2, Parliament of NSW, </w:t>
      </w:r>
      <w:r w:rsidRPr="00AE5A69">
        <w:rPr>
          <w:rStyle w:val="None"/>
          <w:rFonts w:ascii="Times New Roman" w:hAnsi="Times New Roman" w:cs="Times New Roman"/>
          <w:i/>
          <w:iCs/>
          <w:color w:val="auto"/>
          <w:sz w:val="20"/>
          <w:szCs w:val="20"/>
        </w:rPr>
        <w:t>Inquiry into Elder Abuse in NSW</w:t>
      </w:r>
      <w:r w:rsidRPr="00AE5A69">
        <w:rPr>
          <w:rStyle w:val="None"/>
          <w:rFonts w:ascii="Times New Roman" w:hAnsi="Times New Roman" w:cs="Times New Roman"/>
          <w:color w:val="auto"/>
          <w:sz w:val="20"/>
          <w:szCs w:val="20"/>
        </w:rPr>
        <w:t>, November 2015</w:t>
      </w:r>
      <w:r w:rsidRPr="00AE5A69">
        <w:rPr>
          <w:rStyle w:val="None"/>
          <w:rFonts w:ascii="Times New Roman" w:hAnsi="Times New Roman" w:cs="Times New Roman"/>
          <w:i/>
          <w:iCs/>
          <w:color w:val="auto"/>
          <w:sz w:val="20"/>
          <w:szCs w:val="20"/>
        </w:rPr>
        <w:t xml:space="preserve">, </w:t>
      </w:r>
      <w:r w:rsidRPr="00AE5A69">
        <w:rPr>
          <w:rStyle w:val="None"/>
          <w:rFonts w:ascii="Times New Roman" w:hAnsi="Times New Roman" w:cs="Times New Roman"/>
          <w:color w:val="auto"/>
          <w:sz w:val="20"/>
          <w:szCs w:val="20"/>
        </w:rPr>
        <w:t>12.</w:t>
      </w:r>
    </w:p>
  </w:footnote>
  <w:footnote w:id="10">
    <w:p w:rsidR="003F7C50" w:rsidRPr="00AE5A69" w:rsidRDefault="003F7C50" w:rsidP="00D40BBB">
      <w:pPr>
        <w:pStyle w:val="Footnote"/>
        <w:ind w:left="567" w:hanging="567"/>
        <w:rPr>
          <w:rFonts w:ascii="Times New Roman" w:hAnsi="Times New Roman" w:cs="Times New Roman"/>
          <w:color w:val="auto"/>
          <w:sz w:val="20"/>
          <w:szCs w:val="20"/>
        </w:rPr>
      </w:pPr>
      <w:r w:rsidRPr="00AE5A69">
        <w:rPr>
          <w:rStyle w:val="None"/>
          <w:rFonts w:ascii="Times New Roman" w:eastAsia="Times New Roman" w:hAnsi="Times New Roman" w:cs="Times New Roman"/>
          <w:color w:val="auto"/>
          <w:sz w:val="20"/>
          <w:szCs w:val="20"/>
          <w:vertAlign w:val="superscript"/>
        </w:rPr>
        <w:footnoteRef/>
      </w:r>
      <w:r w:rsidRPr="00AE5A69">
        <w:rPr>
          <w:rStyle w:val="None"/>
          <w:rFonts w:ascii="Times New Roman" w:hAnsi="Times New Roman" w:cs="Times New Roman"/>
          <w:color w:val="auto"/>
          <w:sz w:val="20"/>
          <w:szCs w:val="20"/>
        </w:rPr>
        <w:t xml:space="preserve"> </w:t>
      </w:r>
      <w:r w:rsidRPr="00AE5A69">
        <w:rPr>
          <w:rStyle w:val="None"/>
          <w:rFonts w:ascii="Times New Roman" w:hAnsi="Times New Roman" w:cs="Times New Roman"/>
          <w:color w:val="auto"/>
          <w:sz w:val="20"/>
          <w:szCs w:val="20"/>
        </w:rPr>
        <w:tab/>
      </w:r>
      <w:r w:rsidRPr="00AE5A69">
        <w:rPr>
          <w:rStyle w:val="None"/>
          <w:rFonts w:ascii="Times New Roman" w:hAnsi="Times New Roman" w:cs="Times New Roman"/>
          <w:i/>
          <w:iCs/>
          <w:color w:val="auto"/>
          <w:sz w:val="20"/>
          <w:szCs w:val="20"/>
        </w:rPr>
        <w:t>Social Security (Administration) Act 1999</w:t>
      </w:r>
      <w:r w:rsidRPr="00AE5A69">
        <w:rPr>
          <w:rStyle w:val="None"/>
          <w:rFonts w:ascii="Times New Roman" w:hAnsi="Times New Roman" w:cs="Times New Roman"/>
          <w:color w:val="auto"/>
          <w:sz w:val="20"/>
          <w:szCs w:val="20"/>
        </w:rPr>
        <w:t xml:space="preserve"> (</w:t>
      </w:r>
      <w:proofErr w:type="spellStart"/>
      <w:r w:rsidRPr="00AE5A69">
        <w:rPr>
          <w:rStyle w:val="None"/>
          <w:rFonts w:ascii="Times New Roman" w:hAnsi="Times New Roman" w:cs="Times New Roman"/>
          <w:color w:val="auto"/>
          <w:sz w:val="20"/>
          <w:szCs w:val="20"/>
        </w:rPr>
        <w:t>Cth</w:t>
      </w:r>
      <w:proofErr w:type="spellEnd"/>
      <w:r w:rsidRPr="00AE5A69">
        <w:rPr>
          <w:rStyle w:val="None"/>
          <w:rFonts w:ascii="Times New Roman" w:hAnsi="Times New Roman" w:cs="Times New Roman"/>
          <w:color w:val="auto"/>
          <w:sz w:val="20"/>
          <w:szCs w:val="20"/>
        </w:rPr>
        <w:t>) s 123D.</w:t>
      </w:r>
    </w:p>
  </w:footnote>
  <w:footnote w:id="11">
    <w:p w:rsidR="003F7C50" w:rsidRPr="00AE5A69" w:rsidRDefault="003F7C50" w:rsidP="00D40BBB">
      <w:pPr>
        <w:pStyle w:val="Footnote"/>
        <w:ind w:left="567" w:hanging="567"/>
        <w:rPr>
          <w:rFonts w:ascii="Times New Roman" w:hAnsi="Times New Roman" w:cs="Times New Roman"/>
          <w:color w:val="auto"/>
          <w:sz w:val="20"/>
          <w:szCs w:val="20"/>
        </w:rPr>
      </w:pPr>
      <w:r w:rsidRPr="00AE5A69">
        <w:rPr>
          <w:rStyle w:val="None"/>
          <w:rFonts w:ascii="Times New Roman" w:eastAsia="Times New Roman" w:hAnsi="Times New Roman" w:cs="Times New Roman"/>
          <w:color w:val="auto"/>
          <w:sz w:val="20"/>
          <w:szCs w:val="20"/>
          <w:vertAlign w:val="superscript"/>
        </w:rPr>
        <w:footnoteRef/>
      </w:r>
      <w:r w:rsidRPr="00AE5A69">
        <w:rPr>
          <w:rFonts w:ascii="Times New Roman" w:hAnsi="Times New Roman" w:cs="Times New Roman"/>
          <w:color w:val="auto"/>
          <w:sz w:val="20"/>
          <w:szCs w:val="20"/>
          <w:lang w:val="en-US"/>
        </w:rPr>
        <w:t xml:space="preserve"> </w:t>
      </w:r>
      <w:r w:rsidRPr="00AE5A69">
        <w:rPr>
          <w:rFonts w:ascii="Times New Roman" w:hAnsi="Times New Roman" w:cs="Times New Roman"/>
          <w:color w:val="auto"/>
          <w:sz w:val="20"/>
          <w:szCs w:val="20"/>
          <w:lang w:val="en-US"/>
        </w:rPr>
        <w:tab/>
      </w:r>
      <w:proofErr w:type="gramStart"/>
      <w:r w:rsidRPr="00AE5A69">
        <w:rPr>
          <w:rFonts w:ascii="Times New Roman" w:hAnsi="Times New Roman" w:cs="Times New Roman"/>
          <w:color w:val="auto"/>
          <w:sz w:val="20"/>
          <w:szCs w:val="20"/>
          <w:lang w:val="en-US"/>
        </w:rPr>
        <w:t xml:space="preserve">Department of Social Services, </w:t>
      </w:r>
      <w:r w:rsidRPr="00AE5A69">
        <w:rPr>
          <w:rStyle w:val="None"/>
          <w:rFonts w:ascii="Times New Roman" w:hAnsi="Times New Roman" w:cs="Times New Roman"/>
          <w:i/>
          <w:iCs/>
          <w:color w:val="auto"/>
          <w:sz w:val="20"/>
          <w:szCs w:val="20"/>
        </w:rPr>
        <w:t>Guide to Social Security Law</w:t>
      </w:r>
      <w:r w:rsidRPr="00AE5A69">
        <w:rPr>
          <w:rFonts w:ascii="Times New Roman" w:hAnsi="Times New Roman" w:cs="Times New Roman"/>
          <w:color w:val="auto"/>
          <w:sz w:val="20"/>
          <w:szCs w:val="20"/>
          <w:lang w:val="pt-PT"/>
        </w:rPr>
        <w:t xml:space="preserve"> </w:t>
      </w:r>
      <w:r w:rsidRPr="00AE5A69">
        <w:rPr>
          <w:rFonts w:ascii="Times New Roman" w:hAnsi="Times New Roman" w:cs="Times New Roman"/>
          <w:color w:val="auto"/>
          <w:sz w:val="20"/>
          <w:szCs w:val="20"/>
          <w:lang w:val="pt-PT"/>
        </w:rPr>
        <w:t xml:space="preserve">(at </w:t>
      </w:r>
      <w:r w:rsidRPr="00AE5A69">
        <w:rPr>
          <w:rFonts w:ascii="Times New Roman" w:hAnsi="Times New Roman" w:cs="Times New Roman"/>
          <w:color w:val="auto"/>
          <w:sz w:val="20"/>
          <w:szCs w:val="20"/>
        </w:rPr>
        <w:t>19 September 2014</w:t>
      </w:r>
      <w:r w:rsidRPr="00AE5A69">
        <w:rPr>
          <w:rFonts w:ascii="Times New Roman" w:hAnsi="Times New Roman" w:cs="Times New Roman"/>
          <w:color w:val="auto"/>
          <w:sz w:val="20"/>
          <w:szCs w:val="20"/>
          <w:lang w:val="pt-PT"/>
        </w:rPr>
        <w:t>) [8.5.1], [8.5.2].</w:t>
      </w:r>
      <w:proofErr w:type="gramEnd"/>
      <w:r w:rsidRPr="00AE5A69">
        <w:rPr>
          <w:rFonts w:ascii="Times New Roman" w:hAnsi="Times New Roman" w:cs="Times New Roman"/>
          <w:color w:val="auto"/>
          <w:sz w:val="20"/>
          <w:szCs w:val="20"/>
          <w:lang w:val="en-US"/>
        </w:rPr>
        <w:t xml:space="preserve"> </w:t>
      </w:r>
    </w:p>
  </w:footnote>
  <w:footnote w:id="12">
    <w:p w:rsidR="003F7C50" w:rsidRPr="00AE5A69" w:rsidRDefault="003F7C50" w:rsidP="00D40BBB">
      <w:pPr>
        <w:pStyle w:val="Footnote"/>
        <w:ind w:left="567" w:hanging="567"/>
        <w:rPr>
          <w:rFonts w:ascii="Times New Roman" w:hAnsi="Times New Roman" w:cs="Times New Roman"/>
          <w:color w:val="auto"/>
          <w:sz w:val="20"/>
          <w:szCs w:val="20"/>
        </w:rPr>
      </w:pPr>
      <w:r w:rsidRPr="00AE5A69">
        <w:rPr>
          <w:rStyle w:val="None"/>
          <w:rFonts w:ascii="Times New Roman" w:eastAsia="Times New Roman" w:hAnsi="Times New Roman" w:cs="Times New Roman"/>
          <w:color w:val="auto"/>
          <w:sz w:val="20"/>
          <w:szCs w:val="20"/>
          <w:vertAlign w:val="superscript"/>
        </w:rPr>
        <w:footnoteRef/>
      </w:r>
      <w:r w:rsidRPr="00AE5A69">
        <w:rPr>
          <w:rFonts w:ascii="Times New Roman" w:hAnsi="Times New Roman" w:cs="Times New Roman"/>
          <w:color w:val="auto"/>
          <w:sz w:val="20"/>
          <w:szCs w:val="20"/>
          <w:lang w:val="en-US"/>
        </w:rPr>
        <w:t xml:space="preserve"> </w:t>
      </w:r>
      <w:r w:rsidRPr="00AE5A69">
        <w:rPr>
          <w:rFonts w:ascii="Times New Roman" w:hAnsi="Times New Roman" w:cs="Times New Roman"/>
          <w:color w:val="auto"/>
          <w:sz w:val="20"/>
          <w:szCs w:val="20"/>
          <w:lang w:val="en-US"/>
        </w:rPr>
        <w:tab/>
      </w:r>
      <w:r w:rsidRPr="00AE5A69">
        <w:rPr>
          <w:rFonts w:ascii="Times New Roman" w:hAnsi="Times New Roman" w:cs="Times New Roman"/>
          <w:color w:val="auto"/>
          <w:sz w:val="20"/>
          <w:szCs w:val="20"/>
          <w:lang w:val="pt-PT"/>
        </w:rPr>
        <w:t>Ibid.</w:t>
      </w:r>
    </w:p>
  </w:footnote>
  <w:footnote w:id="13">
    <w:p w:rsidR="003F7C50" w:rsidRPr="00AE5A69" w:rsidRDefault="003F7C50" w:rsidP="00D40BBB">
      <w:pPr>
        <w:pStyle w:val="Footnote"/>
        <w:ind w:left="567" w:hanging="567"/>
        <w:rPr>
          <w:rFonts w:ascii="Times New Roman" w:hAnsi="Times New Roman" w:cs="Times New Roman"/>
          <w:color w:val="auto"/>
          <w:sz w:val="20"/>
          <w:szCs w:val="20"/>
        </w:rPr>
      </w:pPr>
      <w:r w:rsidRPr="00AE5A69">
        <w:rPr>
          <w:rStyle w:val="None"/>
          <w:rFonts w:ascii="Times New Roman" w:eastAsia="Times New Roman" w:hAnsi="Times New Roman" w:cs="Times New Roman"/>
          <w:color w:val="auto"/>
          <w:sz w:val="20"/>
          <w:szCs w:val="20"/>
          <w:vertAlign w:val="superscript"/>
        </w:rPr>
        <w:footnoteRef/>
      </w:r>
      <w:r w:rsidRPr="00AE5A69">
        <w:rPr>
          <w:rStyle w:val="None"/>
          <w:rFonts w:ascii="Times New Roman" w:hAnsi="Times New Roman" w:cs="Times New Roman"/>
          <w:color w:val="auto"/>
          <w:sz w:val="20"/>
          <w:szCs w:val="20"/>
        </w:rPr>
        <w:t xml:space="preserve"> </w:t>
      </w:r>
      <w:r w:rsidRPr="00AE5A69">
        <w:rPr>
          <w:rStyle w:val="None"/>
          <w:rFonts w:ascii="Times New Roman" w:hAnsi="Times New Roman" w:cs="Times New Roman"/>
          <w:color w:val="auto"/>
          <w:sz w:val="20"/>
          <w:szCs w:val="20"/>
        </w:rPr>
        <w:tab/>
        <w:t xml:space="preserve">Sarah Ellison et al, </w:t>
      </w:r>
      <w:r w:rsidRPr="00AE5A69">
        <w:rPr>
          <w:rStyle w:val="None"/>
          <w:rFonts w:ascii="Times New Roman" w:hAnsi="Times New Roman" w:cs="Times New Roman"/>
          <w:i/>
          <w:color w:val="auto"/>
          <w:sz w:val="20"/>
          <w:szCs w:val="20"/>
        </w:rPr>
        <w:t xml:space="preserve">Access to Justice and Legal Needs: </w:t>
      </w:r>
      <w:proofErr w:type="gramStart"/>
      <w:r w:rsidRPr="00AE5A69">
        <w:rPr>
          <w:rStyle w:val="None"/>
          <w:rFonts w:ascii="Times New Roman" w:hAnsi="Times New Roman" w:cs="Times New Roman"/>
          <w:i/>
          <w:color w:val="auto"/>
          <w:sz w:val="20"/>
          <w:szCs w:val="20"/>
        </w:rPr>
        <w:t>The</w:t>
      </w:r>
      <w:proofErr w:type="gramEnd"/>
      <w:r w:rsidRPr="00AE5A69">
        <w:rPr>
          <w:rStyle w:val="None"/>
          <w:rFonts w:ascii="Times New Roman" w:hAnsi="Times New Roman" w:cs="Times New Roman"/>
          <w:color w:val="auto"/>
          <w:sz w:val="20"/>
          <w:szCs w:val="20"/>
        </w:rPr>
        <w:t xml:space="preserve"> </w:t>
      </w:r>
      <w:r w:rsidRPr="00AE5A69">
        <w:rPr>
          <w:rStyle w:val="None"/>
          <w:rFonts w:ascii="Times New Roman" w:hAnsi="Times New Roman" w:cs="Times New Roman"/>
          <w:i/>
          <w:color w:val="auto"/>
          <w:sz w:val="20"/>
          <w:szCs w:val="20"/>
        </w:rPr>
        <w:t>Legal Needs of Older People in NSW</w:t>
      </w:r>
      <w:r w:rsidRPr="00AE5A69">
        <w:rPr>
          <w:rStyle w:val="None"/>
          <w:rFonts w:ascii="Times New Roman" w:hAnsi="Times New Roman" w:cs="Times New Roman"/>
          <w:color w:val="auto"/>
          <w:sz w:val="20"/>
          <w:szCs w:val="20"/>
        </w:rPr>
        <w:t xml:space="preserve"> (Law and Justice Foundation of New South Wales, 2004) 335.</w:t>
      </w:r>
    </w:p>
  </w:footnote>
  <w:footnote w:id="14">
    <w:p w:rsidR="003F7C50" w:rsidRPr="00AE5A69" w:rsidRDefault="003F7C50" w:rsidP="00D40BBB">
      <w:pPr>
        <w:pStyle w:val="Footnote"/>
        <w:ind w:left="567" w:hanging="567"/>
        <w:rPr>
          <w:rFonts w:ascii="Times New Roman" w:hAnsi="Times New Roman" w:cs="Times New Roman"/>
          <w:color w:val="auto"/>
          <w:sz w:val="20"/>
          <w:szCs w:val="20"/>
        </w:rPr>
      </w:pPr>
      <w:r w:rsidRPr="00AE5A69">
        <w:rPr>
          <w:rStyle w:val="None"/>
          <w:rFonts w:ascii="Times New Roman" w:eastAsia="Times New Roman" w:hAnsi="Times New Roman" w:cs="Times New Roman"/>
          <w:color w:val="auto"/>
          <w:sz w:val="20"/>
          <w:szCs w:val="20"/>
          <w:vertAlign w:val="superscript"/>
        </w:rPr>
        <w:footnoteRef/>
      </w:r>
      <w:r w:rsidRPr="00AE5A69">
        <w:rPr>
          <w:rFonts w:ascii="Times New Roman" w:hAnsi="Times New Roman" w:cs="Times New Roman"/>
          <w:color w:val="auto"/>
          <w:sz w:val="20"/>
          <w:szCs w:val="20"/>
        </w:rPr>
        <w:t xml:space="preserve"> </w:t>
      </w:r>
      <w:r w:rsidRPr="00AE5A69">
        <w:rPr>
          <w:rFonts w:ascii="Times New Roman" w:hAnsi="Times New Roman" w:cs="Times New Roman"/>
          <w:color w:val="auto"/>
          <w:sz w:val="20"/>
          <w:szCs w:val="20"/>
        </w:rPr>
        <w:tab/>
      </w:r>
      <w:r w:rsidRPr="00AE5A69">
        <w:rPr>
          <w:rFonts w:ascii="Times New Roman" w:hAnsi="Times New Roman" w:cs="Times New Roman"/>
          <w:color w:val="auto"/>
          <w:sz w:val="20"/>
          <w:szCs w:val="20"/>
          <w:lang w:val="en-US"/>
        </w:rPr>
        <w:t xml:space="preserve">Australian Law Reform Commission, </w:t>
      </w:r>
      <w:r w:rsidRPr="00AE5A69">
        <w:rPr>
          <w:rStyle w:val="None"/>
          <w:rFonts w:ascii="Times New Roman" w:hAnsi="Times New Roman" w:cs="Times New Roman"/>
          <w:i/>
          <w:iCs/>
          <w:color w:val="auto"/>
          <w:sz w:val="20"/>
          <w:szCs w:val="20"/>
        </w:rPr>
        <w:t>Family Violence and Commonwealth Laws: Improving Legal Frameworks</w:t>
      </w:r>
      <w:r w:rsidRPr="00AE5A69">
        <w:rPr>
          <w:rFonts w:ascii="Times New Roman" w:hAnsi="Times New Roman" w:cs="Times New Roman"/>
          <w:color w:val="auto"/>
          <w:sz w:val="20"/>
          <w:szCs w:val="20"/>
          <w:lang w:val="en-US"/>
        </w:rPr>
        <w:t>, Report No 117 (2011) 236 [9.50].</w:t>
      </w:r>
    </w:p>
  </w:footnote>
  <w:footnote w:id="15">
    <w:p w:rsidR="003F7C50" w:rsidRPr="00AE5A69" w:rsidRDefault="003F7C50" w:rsidP="00D40BBB">
      <w:pPr>
        <w:pStyle w:val="Footnote"/>
        <w:ind w:left="567" w:hanging="567"/>
        <w:rPr>
          <w:rFonts w:ascii="Times New Roman" w:hAnsi="Times New Roman" w:cs="Times New Roman"/>
          <w:color w:val="auto"/>
          <w:sz w:val="20"/>
          <w:szCs w:val="20"/>
        </w:rPr>
      </w:pPr>
      <w:r w:rsidRPr="00AE5A69">
        <w:rPr>
          <w:rStyle w:val="None"/>
          <w:rFonts w:ascii="Times New Roman" w:eastAsia="Times New Roman" w:hAnsi="Times New Roman" w:cs="Times New Roman"/>
          <w:color w:val="auto"/>
          <w:sz w:val="20"/>
          <w:szCs w:val="20"/>
          <w:vertAlign w:val="superscript"/>
        </w:rPr>
        <w:footnoteRef/>
      </w:r>
      <w:r w:rsidRPr="00AE5A69">
        <w:rPr>
          <w:rFonts w:ascii="Times New Roman" w:hAnsi="Times New Roman" w:cs="Times New Roman"/>
          <w:color w:val="auto"/>
          <w:sz w:val="20"/>
          <w:szCs w:val="20"/>
          <w:lang w:val="en-US"/>
        </w:rPr>
        <w:t xml:space="preserve"> </w:t>
      </w:r>
      <w:r w:rsidRPr="00AE5A69">
        <w:rPr>
          <w:rFonts w:ascii="Times New Roman" w:hAnsi="Times New Roman" w:cs="Times New Roman"/>
          <w:color w:val="auto"/>
          <w:sz w:val="20"/>
          <w:szCs w:val="20"/>
          <w:lang w:val="en-US"/>
        </w:rPr>
        <w:tab/>
      </w:r>
      <w:proofErr w:type="gramStart"/>
      <w:r w:rsidRPr="00AE5A69">
        <w:rPr>
          <w:rFonts w:ascii="Times New Roman" w:hAnsi="Times New Roman" w:cs="Times New Roman"/>
          <w:color w:val="auto"/>
          <w:sz w:val="20"/>
          <w:szCs w:val="20"/>
          <w:lang w:val="en-US"/>
        </w:rPr>
        <w:t xml:space="preserve">Department of Social Services, </w:t>
      </w:r>
      <w:r w:rsidRPr="00AE5A69">
        <w:rPr>
          <w:rStyle w:val="None"/>
          <w:rFonts w:ascii="Times New Roman" w:hAnsi="Times New Roman" w:cs="Times New Roman"/>
          <w:i/>
          <w:iCs/>
          <w:color w:val="auto"/>
          <w:sz w:val="20"/>
          <w:szCs w:val="20"/>
        </w:rPr>
        <w:t>Guide to Social Security Law</w:t>
      </w:r>
      <w:r w:rsidRPr="00AE5A69">
        <w:rPr>
          <w:rFonts w:ascii="Times New Roman" w:hAnsi="Times New Roman" w:cs="Times New Roman"/>
          <w:color w:val="auto"/>
          <w:sz w:val="20"/>
          <w:szCs w:val="20"/>
          <w:lang w:val="pt-PT"/>
        </w:rPr>
        <w:t xml:space="preserve"> </w:t>
      </w:r>
      <w:r w:rsidRPr="00AE5A69">
        <w:rPr>
          <w:rFonts w:ascii="Times New Roman" w:hAnsi="Times New Roman" w:cs="Times New Roman"/>
          <w:color w:val="auto"/>
          <w:sz w:val="20"/>
          <w:szCs w:val="20"/>
          <w:lang w:val="pt-PT"/>
        </w:rPr>
        <w:t>(at 21 March 2016) [8.5.3].</w:t>
      </w:r>
      <w:proofErr w:type="gramEnd"/>
      <w:r w:rsidRPr="00AE5A69">
        <w:rPr>
          <w:rFonts w:ascii="Times New Roman" w:hAnsi="Times New Roman" w:cs="Times New Roman"/>
          <w:color w:val="auto"/>
          <w:sz w:val="20"/>
          <w:szCs w:val="20"/>
          <w:lang w:val="pt-PT"/>
        </w:rPr>
        <w:t xml:space="preserve"> </w:t>
      </w:r>
    </w:p>
  </w:footnote>
  <w:footnote w:id="16">
    <w:p w:rsidR="003F7C50" w:rsidRPr="00AE5A69" w:rsidRDefault="003F7C50" w:rsidP="00D40BBB">
      <w:pPr>
        <w:pStyle w:val="Footnote"/>
        <w:ind w:left="567" w:hanging="567"/>
        <w:rPr>
          <w:rFonts w:ascii="Times New Roman" w:hAnsi="Times New Roman" w:cs="Times New Roman"/>
          <w:color w:val="auto"/>
          <w:sz w:val="20"/>
          <w:szCs w:val="20"/>
        </w:rPr>
      </w:pPr>
      <w:r w:rsidRPr="00AE5A69">
        <w:rPr>
          <w:rStyle w:val="None"/>
          <w:rFonts w:ascii="Times New Roman" w:eastAsia="Times New Roman" w:hAnsi="Times New Roman" w:cs="Times New Roman"/>
          <w:color w:val="auto"/>
          <w:sz w:val="20"/>
          <w:szCs w:val="20"/>
          <w:vertAlign w:val="superscript"/>
        </w:rPr>
        <w:footnoteRef/>
      </w:r>
      <w:r w:rsidRPr="00AE5A69">
        <w:rPr>
          <w:rStyle w:val="None"/>
          <w:rFonts w:ascii="Times New Roman" w:hAnsi="Times New Roman" w:cs="Times New Roman"/>
          <w:i/>
          <w:iCs/>
          <w:color w:val="auto"/>
          <w:sz w:val="20"/>
          <w:szCs w:val="20"/>
        </w:rPr>
        <w:t xml:space="preserve"> </w:t>
      </w:r>
      <w:r w:rsidRPr="00AE5A69">
        <w:rPr>
          <w:rStyle w:val="None"/>
          <w:rFonts w:ascii="Times New Roman" w:hAnsi="Times New Roman" w:cs="Times New Roman"/>
          <w:i/>
          <w:iCs/>
          <w:color w:val="auto"/>
          <w:sz w:val="20"/>
          <w:szCs w:val="20"/>
        </w:rPr>
        <w:tab/>
      </w:r>
      <w:proofErr w:type="gramStart"/>
      <w:r w:rsidRPr="00AE5A69">
        <w:rPr>
          <w:rFonts w:ascii="Times New Roman" w:hAnsi="Times New Roman" w:cs="Times New Roman"/>
          <w:color w:val="auto"/>
          <w:sz w:val="20"/>
          <w:szCs w:val="20"/>
          <w:lang w:val="en-US"/>
        </w:rPr>
        <w:t>Ibid.</w:t>
      </w:r>
      <w:proofErr w:type="gramEnd"/>
      <w:r w:rsidRPr="00AE5A69">
        <w:rPr>
          <w:rFonts w:ascii="Times New Roman" w:hAnsi="Times New Roman" w:cs="Times New Roman"/>
          <w:color w:val="auto"/>
          <w:sz w:val="20"/>
          <w:szCs w:val="20"/>
          <w:lang w:val="en-US"/>
        </w:rPr>
        <w:t xml:space="preserve"> </w:t>
      </w:r>
    </w:p>
  </w:footnote>
  <w:footnote w:id="17">
    <w:p w:rsidR="003F7C50" w:rsidRPr="00AE5A69" w:rsidRDefault="003F7C50" w:rsidP="00D40BBB">
      <w:pPr>
        <w:pStyle w:val="Footnote"/>
        <w:ind w:left="567" w:hanging="567"/>
        <w:rPr>
          <w:rFonts w:ascii="Times New Roman" w:hAnsi="Times New Roman" w:cs="Times New Roman"/>
          <w:color w:val="auto"/>
          <w:sz w:val="20"/>
          <w:szCs w:val="20"/>
        </w:rPr>
      </w:pPr>
      <w:r w:rsidRPr="00AE5A69">
        <w:rPr>
          <w:rStyle w:val="None"/>
          <w:rFonts w:ascii="Times New Roman" w:eastAsia="Times New Roman" w:hAnsi="Times New Roman" w:cs="Times New Roman"/>
          <w:color w:val="auto"/>
          <w:sz w:val="20"/>
          <w:szCs w:val="20"/>
          <w:vertAlign w:val="superscript"/>
        </w:rPr>
        <w:footnoteRef/>
      </w:r>
      <w:r w:rsidRPr="00AE5A69">
        <w:rPr>
          <w:rFonts w:ascii="Times New Roman" w:hAnsi="Times New Roman" w:cs="Times New Roman"/>
          <w:color w:val="auto"/>
          <w:sz w:val="20"/>
          <w:szCs w:val="20"/>
          <w:lang w:val="en-US"/>
        </w:rPr>
        <w:t xml:space="preserve"> </w:t>
      </w:r>
      <w:r w:rsidRPr="00AE5A69">
        <w:rPr>
          <w:rFonts w:ascii="Times New Roman" w:hAnsi="Times New Roman" w:cs="Times New Roman"/>
          <w:color w:val="auto"/>
          <w:sz w:val="20"/>
          <w:szCs w:val="20"/>
          <w:lang w:val="en-US"/>
        </w:rPr>
        <w:tab/>
        <w:t>Ibid.</w:t>
      </w:r>
    </w:p>
  </w:footnote>
  <w:footnote w:id="18">
    <w:p w:rsidR="003F7C50" w:rsidRPr="00AE5A69" w:rsidRDefault="003F7C50" w:rsidP="00D40BBB">
      <w:pPr>
        <w:pStyle w:val="Footnote"/>
        <w:ind w:left="567" w:hanging="567"/>
        <w:rPr>
          <w:rFonts w:ascii="Times New Roman" w:hAnsi="Times New Roman" w:cs="Times New Roman"/>
          <w:color w:val="auto"/>
          <w:sz w:val="20"/>
          <w:szCs w:val="20"/>
        </w:rPr>
      </w:pPr>
      <w:r w:rsidRPr="00AE5A69">
        <w:rPr>
          <w:rStyle w:val="None"/>
          <w:rFonts w:ascii="Times New Roman" w:eastAsia="Times New Roman" w:hAnsi="Times New Roman" w:cs="Times New Roman"/>
          <w:color w:val="auto"/>
          <w:sz w:val="20"/>
          <w:szCs w:val="20"/>
          <w:vertAlign w:val="superscript"/>
        </w:rPr>
        <w:footnoteRef/>
      </w:r>
      <w:r w:rsidRPr="00AE5A69">
        <w:rPr>
          <w:rFonts w:ascii="Times New Roman" w:hAnsi="Times New Roman" w:cs="Times New Roman"/>
          <w:color w:val="auto"/>
          <w:sz w:val="20"/>
          <w:szCs w:val="20"/>
          <w:lang w:val="en-US"/>
        </w:rPr>
        <w:t xml:space="preserve"> </w:t>
      </w:r>
      <w:r w:rsidRPr="00AE5A69">
        <w:rPr>
          <w:rFonts w:ascii="Times New Roman" w:hAnsi="Times New Roman" w:cs="Times New Roman"/>
          <w:color w:val="auto"/>
          <w:sz w:val="20"/>
          <w:szCs w:val="20"/>
          <w:lang w:val="en-US"/>
        </w:rPr>
        <w:tab/>
        <w:t>Ibid.</w:t>
      </w:r>
    </w:p>
  </w:footnote>
  <w:footnote w:id="19">
    <w:p w:rsidR="003F7C50" w:rsidRPr="00AE5A69" w:rsidRDefault="003F7C50" w:rsidP="00D40BBB">
      <w:pPr>
        <w:pStyle w:val="Footnote"/>
        <w:ind w:left="567" w:hanging="567"/>
        <w:rPr>
          <w:rFonts w:ascii="Times New Roman" w:hAnsi="Times New Roman" w:cs="Times New Roman"/>
          <w:color w:val="auto"/>
          <w:sz w:val="20"/>
          <w:szCs w:val="20"/>
        </w:rPr>
      </w:pPr>
      <w:r w:rsidRPr="00AE5A69">
        <w:rPr>
          <w:rStyle w:val="None"/>
          <w:rFonts w:ascii="Times New Roman" w:eastAsia="Times New Roman" w:hAnsi="Times New Roman" w:cs="Times New Roman"/>
          <w:color w:val="auto"/>
          <w:sz w:val="20"/>
          <w:szCs w:val="20"/>
          <w:vertAlign w:val="superscript"/>
        </w:rPr>
        <w:footnoteRef/>
      </w:r>
      <w:r w:rsidRPr="00AE5A69">
        <w:rPr>
          <w:rFonts w:ascii="Times New Roman" w:hAnsi="Times New Roman" w:cs="Times New Roman"/>
          <w:color w:val="auto"/>
          <w:sz w:val="20"/>
          <w:szCs w:val="20"/>
          <w:lang w:val="en-US"/>
        </w:rPr>
        <w:t xml:space="preserve"> </w:t>
      </w:r>
      <w:r w:rsidRPr="00AE5A69">
        <w:rPr>
          <w:rFonts w:ascii="Times New Roman" w:hAnsi="Times New Roman" w:cs="Times New Roman"/>
          <w:color w:val="auto"/>
          <w:sz w:val="20"/>
          <w:szCs w:val="20"/>
          <w:lang w:val="en-US"/>
        </w:rPr>
        <w:tab/>
      </w:r>
      <w:proofErr w:type="gramStart"/>
      <w:r w:rsidRPr="00AE5A69">
        <w:rPr>
          <w:rFonts w:ascii="Times New Roman" w:hAnsi="Times New Roman" w:cs="Times New Roman"/>
          <w:color w:val="auto"/>
          <w:sz w:val="20"/>
          <w:szCs w:val="20"/>
          <w:lang w:val="en-US"/>
        </w:rPr>
        <w:t xml:space="preserve">Department of Social Services, </w:t>
      </w:r>
      <w:r w:rsidRPr="00AE5A69">
        <w:rPr>
          <w:rStyle w:val="None"/>
          <w:rFonts w:ascii="Times New Roman" w:hAnsi="Times New Roman" w:cs="Times New Roman"/>
          <w:i/>
          <w:iCs/>
          <w:color w:val="auto"/>
          <w:sz w:val="20"/>
          <w:szCs w:val="20"/>
        </w:rPr>
        <w:t>Guide to Social Security Law</w:t>
      </w:r>
      <w:r w:rsidRPr="00AE5A69">
        <w:rPr>
          <w:rFonts w:ascii="Times New Roman" w:hAnsi="Times New Roman" w:cs="Times New Roman"/>
          <w:color w:val="auto"/>
          <w:sz w:val="20"/>
          <w:szCs w:val="20"/>
        </w:rPr>
        <w:t xml:space="preserve"> (</w:t>
      </w:r>
      <w:r w:rsidRPr="00AE5A69">
        <w:rPr>
          <w:rFonts w:ascii="Times New Roman" w:hAnsi="Times New Roman" w:cs="Times New Roman"/>
          <w:color w:val="auto"/>
          <w:sz w:val="20"/>
          <w:szCs w:val="20"/>
          <w:lang w:val="pt-PT"/>
        </w:rPr>
        <w:t>at 1 July 2015</w:t>
      </w:r>
      <w:r w:rsidRPr="00AE5A69">
        <w:rPr>
          <w:rFonts w:ascii="Times New Roman" w:hAnsi="Times New Roman" w:cs="Times New Roman"/>
          <w:color w:val="auto"/>
          <w:sz w:val="20"/>
          <w:szCs w:val="20"/>
        </w:rPr>
        <w:t xml:space="preserve">) </w:t>
      </w:r>
      <w:r w:rsidRPr="00AE5A69">
        <w:rPr>
          <w:rFonts w:ascii="Times New Roman" w:hAnsi="Times New Roman" w:cs="Times New Roman"/>
          <w:color w:val="auto"/>
          <w:sz w:val="20"/>
          <w:szCs w:val="20"/>
          <w:lang w:val="en-US"/>
        </w:rPr>
        <w:t>[</w:t>
      </w:r>
      <w:r w:rsidRPr="00AE5A69">
        <w:rPr>
          <w:rFonts w:ascii="Times New Roman" w:hAnsi="Times New Roman" w:cs="Times New Roman"/>
          <w:color w:val="auto"/>
          <w:sz w:val="20"/>
          <w:szCs w:val="20"/>
        </w:rPr>
        <w:t>11.1.1</w:t>
      </w:r>
      <w:r w:rsidRPr="00AE5A69">
        <w:rPr>
          <w:rFonts w:ascii="Times New Roman" w:hAnsi="Times New Roman" w:cs="Times New Roman"/>
          <w:color w:val="auto"/>
          <w:sz w:val="20"/>
          <w:szCs w:val="20"/>
          <w:lang w:val="en-US"/>
        </w:rPr>
        <w:t>].</w:t>
      </w:r>
      <w:proofErr w:type="gramEnd"/>
      <w:r w:rsidRPr="00AE5A69">
        <w:rPr>
          <w:rFonts w:ascii="Times New Roman" w:hAnsi="Times New Roman" w:cs="Times New Roman"/>
          <w:color w:val="auto"/>
          <w:sz w:val="20"/>
          <w:szCs w:val="20"/>
          <w:lang w:val="en-US"/>
        </w:rPr>
        <w:t xml:space="preserve"> </w:t>
      </w:r>
    </w:p>
  </w:footnote>
  <w:footnote w:id="20">
    <w:p w:rsidR="003F7C50" w:rsidRPr="00AE5A69" w:rsidRDefault="003F7C50" w:rsidP="00D40BBB">
      <w:pPr>
        <w:pStyle w:val="Footnote"/>
        <w:ind w:left="567" w:hanging="567"/>
        <w:rPr>
          <w:rFonts w:ascii="Times New Roman" w:hAnsi="Times New Roman" w:cs="Times New Roman"/>
          <w:color w:val="auto"/>
          <w:sz w:val="20"/>
          <w:szCs w:val="20"/>
        </w:rPr>
      </w:pPr>
      <w:r w:rsidRPr="00AE5A69">
        <w:rPr>
          <w:rStyle w:val="None"/>
          <w:rFonts w:ascii="Times New Roman" w:eastAsia="Times New Roman" w:hAnsi="Times New Roman" w:cs="Times New Roman"/>
          <w:color w:val="auto"/>
          <w:sz w:val="20"/>
          <w:szCs w:val="20"/>
          <w:vertAlign w:val="superscript"/>
        </w:rPr>
        <w:footnoteRef/>
      </w:r>
      <w:r w:rsidRPr="00AE5A69">
        <w:rPr>
          <w:rFonts w:ascii="Times New Roman" w:hAnsi="Times New Roman" w:cs="Times New Roman"/>
          <w:color w:val="auto"/>
          <w:sz w:val="20"/>
          <w:szCs w:val="20"/>
          <w:lang w:val="en-US"/>
        </w:rPr>
        <w:t xml:space="preserve"> </w:t>
      </w:r>
      <w:r w:rsidRPr="00AE5A69">
        <w:rPr>
          <w:rFonts w:ascii="Times New Roman" w:hAnsi="Times New Roman" w:cs="Times New Roman"/>
          <w:color w:val="auto"/>
          <w:sz w:val="20"/>
          <w:szCs w:val="20"/>
          <w:lang w:val="en-US"/>
        </w:rPr>
        <w:tab/>
      </w:r>
      <w:proofErr w:type="gramStart"/>
      <w:r w:rsidRPr="00AE5A69">
        <w:rPr>
          <w:rFonts w:ascii="Times New Roman" w:hAnsi="Times New Roman" w:cs="Times New Roman"/>
          <w:color w:val="auto"/>
          <w:sz w:val="20"/>
          <w:szCs w:val="20"/>
          <w:lang w:val="en-US"/>
        </w:rPr>
        <w:t xml:space="preserve">Department of Social Services, </w:t>
      </w:r>
      <w:r w:rsidRPr="00AE5A69">
        <w:rPr>
          <w:rStyle w:val="None"/>
          <w:rFonts w:ascii="Times New Roman" w:hAnsi="Times New Roman" w:cs="Times New Roman"/>
          <w:i/>
          <w:iCs/>
          <w:color w:val="auto"/>
          <w:sz w:val="20"/>
          <w:szCs w:val="20"/>
        </w:rPr>
        <w:t>Guide to Social Security Law</w:t>
      </w:r>
      <w:r w:rsidRPr="00AE5A69">
        <w:rPr>
          <w:rFonts w:ascii="Times New Roman" w:hAnsi="Times New Roman" w:cs="Times New Roman"/>
          <w:color w:val="auto"/>
          <w:sz w:val="20"/>
          <w:szCs w:val="20"/>
          <w:lang w:val="pt-PT"/>
        </w:rPr>
        <w:t xml:space="preserve"> </w:t>
      </w:r>
      <w:r w:rsidRPr="00AE5A69">
        <w:rPr>
          <w:rFonts w:ascii="Times New Roman" w:hAnsi="Times New Roman" w:cs="Times New Roman"/>
          <w:color w:val="auto"/>
          <w:sz w:val="20"/>
          <w:szCs w:val="20"/>
          <w:lang w:val="pt-PT"/>
        </w:rPr>
        <w:t xml:space="preserve">(at 1 July 2015) </w:t>
      </w:r>
      <w:r w:rsidRPr="00AE5A69">
        <w:rPr>
          <w:rFonts w:ascii="Times New Roman" w:hAnsi="Times New Roman" w:cs="Times New Roman"/>
          <w:color w:val="auto"/>
          <w:sz w:val="20"/>
          <w:szCs w:val="20"/>
          <w:lang w:val="en-US"/>
        </w:rPr>
        <w:t>[</w:t>
      </w:r>
      <w:r w:rsidRPr="00AE5A69">
        <w:rPr>
          <w:rFonts w:ascii="Times New Roman" w:hAnsi="Times New Roman" w:cs="Times New Roman"/>
          <w:color w:val="auto"/>
          <w:sz w:val="20"/>
          <w:szCs w:val="20"/>
        </w:rPr>
        <w:t>11.1.1.30</w:t>
      </w:r>
      <w:r w:rsidRPr="00AE5A69">
        <w:rPr>
          <w:rFonts w:ascii="Times New Roman" w:hAnsi="Times New Roman" w:cs="Times New Roman"/>
          <w:color w:val="auto"/>
          <w:sz w:val="20"/>
          <w:szCs w:val="20"/>
          <w:lang w:val="en-US"/>
        </w:rPr>
        <w:t>].</w:t>
      </w:r>
      <w:proofErr w:type="gramEnd"/>
    </w:p>
  </w:footnote>
  <w:footnote w:id="21">
    <w:p w:rsidR="003F7C50" w:rsidRPr="00AE5A69" w:rsidRDefault="003F7C50" w:rsidP="00D40BBB">
      <w:pPr>
        <w:pStyle w:val="Footnote"/>
        <w:ind w:left="567" w:hanging="567"/>
        <w:rPr>
          <w:rFonts w:ascii="Times New Roman" w:hAnsi="Times New Roman" w:cs="Times New Roman"/>
          <w:color w:val="auto"/>
          <w:sz w:val="20"/>
          <w:szCs w:val="20"/>
        </w:rPr>
      </w:pPr>
      <w:r w:rsidRPr="00AE5A69">
        <w:rPr>
          <w:rStyle w:val="None"/>
          <w:rFonts w:ascii="Times New Roman" w:eastAsia="Times New Roman" w:hAnsi="Times New Roman" w:cs="Times New Roman"/>
          <w:color w:val="auto"/>
          <w:sz w:val="20"/>
          <w:szCs w:val="20"/>
          <w:vertAlign w:val="superscript"/>
        </w:rPr>
        <w:footnoteRef/>
      </w:r>
      <w:r w:rsidRPr="00AE5A69">
        <w:rPr>
          <w:rFonts w:ascii="Times New Roman" w:hAnsi="Times New Roman" w:cs="Times New Roman"/>
          <w:color w:val="auto"/>
          <w:sz w:val="20"/>
          <w:szCs w:val="20"/>
        </w:rPr>
        <w:t xml:space="preserve"> </w:t>
      </w:r>
      <w:r w:rsidRPr="00AE5A69">
        <w:rPr>
          <w:rFonts w:ascii="Times New Roman" w:hAnsi="Times New Roman" w:cs="Times New Roman"/>
          <w:color w:val="auto"/>
          <w:sz w:val="20"/>
          <w:szCs w:val="20"/>
        </w:rPr>
        <w:tab/>
      </w:r>
      <w:r w:rsidRPr="00AE5A69">
        <w:rPr>
          <w:rFonts w:ascii="Times New Roman" w:hAnsi="Times New Roman" w:cs="Times New Roman"/>
          <w:color w:val="auto"/>
          <w:sz w:val="20"/>
          <w:szCs w:val="20"/>
          <w:lang w:val="en-US"/>
        </w:rPr>
        <w:t xml:space="preserve">Australian Law Reform Commission, </w:t>
      </w:r>
      <w:r w:rsidRPr="00AE5A69">
        <w:rPr>
          <w:rStyle w:val="None"/>
          <w:rFonts w:ascii="Times New Roman" w:hAnsi="Times New Roman" w:cs="Times New Roman"/>
          <w:i/>
          <w:iCs/>
          <w:color w:val="auto"/>
          <w:sz w:val="20"/>
          <w:szCs w:val="20"/>
        </w:rPr>
        <w:t>Family Violence and Commonwealth Laws: Improving Legal Frameworks</w:t>
      </w:r>
      <w:r w:rsidRPr="00AE5A69">
        <w:rPr>
          <w:rFonts w:ascii="Times New Roman" w:hAnsi="Times New Roman" w:cs="Times New Roman"/>
          <w:color w:val="auto"/>
          <w:sz w:val="20"/>
          <w:szCs w:val="20"/>
          <w:lang w:val="en-US"/>
        </w:rPr>
        <w:t>, Report No 117 (2011) 256 [10.33].</w:t>
      </w:r>
    </w:p>
  </w:footnote>
  <w:footnote w:id="22">
    <w:p w:rsidR="003F7C50" w:rsidRPr="00AE5A69" w:rsidRDefault="003F7C50" w:rsidP="00D40BBB">
      <w:pPr>
        <w:pStyle w:val="Footnote"/>
        <w:ind w:left="567" w:hanging="567"/>
        <w:rPr>
          <w:rFonts w:ascii="Times New Roman" w:hAnsi="Times New Roman" w:cs="Times New Roman"/>
          <w:color w:val="auto"/>
          <w:sz w:val="20"/>
          <w:szCs w:val="20"/>
        </w:rPr>
      </w:pPr>
      <w:r w:rsidRPr="00AE5A69">
        <w:rPr>
          <w:rStyle w:val="None"/>
          <w:rFonts w:ascii="Times New Roman" w:eastAsia="Times New Roman" w:hAnsi="Times New Roman" w:cs="Times New Roman"/>
          <w:color w:val="auto"/>
          <w:sz w:val="20"/>
          <w:szCs w:val="20"/>
          <w:vertAlign w:val="superscript"/>
        </w:rPr>
        <w:footnoteRef/>
      </w:r>
      <w:r w:rsidRPr="00AE5A69">
        <w:rPr>
          <w:rFonts w:ascii="Times New Roman" w:hAnsi="Times New Roman" w:cs="Times New Roman"/>
          <w:color w:val="auto"/>
          <w:sz w:val="20"/>
          <w:szCs w:val="20"/>
        </w:rPr>
        <w:t xml:space="preserve"> </w:t>
      </w:r>
      <w:r w:rsidRPr="00AE5A69">
        <w:rPr>
          <w:rFonts w:ascii="Times New Roman" w:hAnsi="Times New Roman" w:cs="Times New Roman"/>
          <w:color w:val="auto"/>
          <w:sz w:val="20"/>
          <w:szCs w:val="20"/>
        </w:rPr>
        <w:tab/>
      </w:r>
      <w:proofErr w:type="gramStart"/>
      <w:r w:rsidRPr="00AE5A69">
        <w:rPr>
          <w:rFonts w:ascii="Times New Roman" w:hAnsi="Times New Roman" w:cs="Times New Roman"/>
          <w:color w:val="auto"/>
          <w:sz w:val="20"/>
          <w:szCs w:val="20"/>
          <w:lang w:val="en-US"/>
        </w:rPr>
        <w:t>Ibid 260 [10.49].</w:t>
      </w:r>
      <w:proofErr w:type="gramEnd"/>
    </w:p>
  </w:footnote>
  <w:footnote w:id="23">
    <w:p w:rsidR="003F7C50" w:rsidRPr="00AE5A69" w:rsidRDefault="003F7C50" w:rsidP="00D40BBB">
      <w:pPr>
        <w:pStyle w:val="Footnote"/>
        <w:ind w:left="567" w:hanging="567"/>
        <w:rPr>
          <w:rFonts w:ascii="Times New Roman" w:hAnsi="Times New Roman" w:cs="Times New Roman"/>
          <w:color w:val="auto"/>
          <w:sz w:val="20"/>
          <w:szCs w:val="20"/>
        </w:rPr>
      </w:pPr>
      <w:r w:rsidRPr="00AE5A69">
        <w:rPr>
          <w:rStyle w:val="None"/>
          <w:rFonts w:ascii="Times New Roman" w:eastAsia="Times New Roman" w:hAnsi="Times New Roman" w:cs="Times New Roman"/>
          <w:color w:val="auto"/>
          <w:sz w:val="20"/>
          <w:szCs w:val="20"/>
          <w:vertAlign w:val="superscript"/>
        </w:rPr>
        <w:footnoteRef/>
      </w:r>
      <w:r w:rsidRPr="00AE5A69">
        <w:rPr>
          <w:rFonts w:ascii="Times New Roman" w:hAnsi="Times New Roman" w:cs="Times New Roman"/>
          <w:color w:val="auto"/>
          <w:sz w:val="20"/>
          <w:szCs w:val="20"/>
        </w:rPr>
        <w:t xml:space="preserve"> </w:t>
      </w:r>
      <w:r w:rsidRPr="00AE5A69">
        <w:rPr>
          <w:rFonts w:ascii="Times New Roman" w:hAnsi="Times New Roman" w:cs="Times New Roman"/>
          <w:color w:val="auto"/>
          <w:sz w:val="20"/>
          <w:szCs w:val="20"/>
        </w:rPr>
        <w:tab/>
      </w:r>
      <w:proofErr w:type="gramStart"/>
      <w:r w:rsidRPr="00AE5A69">
        <w:rPr>
          <w:rFonts w:ascii="Times New Roman" w:hAnsi="Times New Roman" w:cs="Times New Roman"/>
          <w:color w:val="auto"/>
          <w:sz w:val="20"/>
          <w:szCs w:val="20"/>
          <w:lang w:val="en-US"/>
        </w:rPr>
        <w:t>Ibid 263[10.59].</w:t>
      </w:r>
      <w:proofErr w:type="gramEnd"/>
    </w:p>
  </w:footnote>
  <w:footnote w:id="24">
    <w:p w:rsidR="003F7C50" w:rsidRPr="00AE5A69" w:rsidRDefault="003F7C50" w:rsidP="00D40BBB">
      <w:pPr>
        <w:pStyle w:val="Footnote"/>
        <w:ind w:left="567" w:hanging="567"/>
        <w:rPr>
          <w:rFonts w:ascii="Times New Roman" w:hAnsi="Times New Roman" w:cs="Times New Roman"/>
          <w:color w:val="auto"/>
          <w:sz w:val="20"/>
          <w:szCs w:val="20"/>
        </w:rPr>
      </w:pPr>
      <w:r w:rsidRPr="00AE5A69">
        <w:rPr>
          <w:rStyle w:val="None"/>
          <w:rFonts w:ascii="Times New Roman" w:eastAsia="Times New Roman" w:hAnsi="Times New Roman" w:cs="Times New Roman"/>
          <w:color w:val="auto"/>
          <w:sz w:val="20"/>
          <w:szCs w:val="20"/>
          <w:vertAlign w:val="superscript"/>
        </w:rPr>
        <w:footnoteRef/>
      </w:r>
      <w:r w:rsidRPr="00AE5A69">
        <w:rPr>
          <w:rFonts w:ascii="Times New Roman" w:hAnsi="Times New Roman" w:cs="Times New Roman"/>
          <w:color w:val="auto"/>
          <w:sz w:val="20"/>
          <w:szCs w:val="20"/>
          <w:lang w:val="en-US"/>
        </w:rPr>
        <w:t xml:space="preserve"> </w:t>
      </w:r>
      <w:r w:rsidRPr="00AE5A69">
        <w:rPr>
          <w:rFonts w:ascii="Times New Roman" w:hAnsi="Times New Roman" w:cs="Times New Roman"/>
          <w:color w:val="auto"/>
          <w:sz w:val="20"/>
          <w:szCs w:val="20"/>
          <w:lang w:val="en-US"/>
        </w:rPr>
        <w:tab/>
      </w:r>
      <w:proofErr w:type="gramStart"/>
      <w:r w:rsidRPr="00AE5A69">
        <w:rPr>
          <w:rFonts w:ascii="Times New Roman" w:hAnsi="Times New Roman" w:cs="Times New Roman"/>
          <w:color w:val="auto"/>
          <w:sz w:val="20"/>
          <w:szCs w:val="20"/>
          <w:lang w:val="en-US"/>
        </w:rPr>
        <w:t>Ibid 267 [10.1].</w:t>
      </w:r>
      <w:proofErr w:type="gramEnd"/>
    </w:p>
  </w:footnote>
  <w:footnote w:id="25">
    <w:p w:rsidR="003F7C50" w:rsidRPr="00AE5A69" w:rsidRDefault="003F7C50" w:rsidP="00D40BBB">
      <w:pPr>
        <w:pStyle w:val="Footnote"/>
        <w:ind w:left="567" w:hanging="567"/>
        <w:rPr>
          <w:rFonts w:ascii="Times New Roman" w:hAnsi="Times New Roman" w:cs="Times New Roman"/>
          <w:color w:val="auto"/>
          <w:sz w:val="20"/>
          <w:szCs w:val="20"/>
        </w:rPr>
      </w:pPr>
      <w:r w:rsidRPr="00AE5A69">
        <w:rPr>
          <w:rStyle w:val="None"/>
          <w:rFonts w:ascii="Times New Roman" w:eastAsia="Times New Roman" w:hAnsi="Times New Roman" w:cs="Times New Roman"/>
          <w:color w:val="auto"/>
          <w:sz w:val="20"/>
          <w:szCs w:val="20"/>
          <w:vertAlign w:val="superscript"/>
        </w:rPr>
        <w:footnoteRef/>
      </w:r>
      <w:r w:rsidRPr="00AE5A69">
        <w:rPr>
          <w:rFonts w:ascii="Times New Roman" w:hAnsi="Times New Roman" w:cs="Times New Roman"/>
          <w:color w:val="auto"/>
          <w:sz w:val="20"/>
          <w:szCs w:val="20"/>
        </w:rPr>
        <w:t xml:space="preserve"> </w:t>
      </w:r>
      <w:r w:rsidRPr="00AE5A69">
        <w:rPr>
          <w:rFonts w:ascii="Times New Roman" w:hAnsi="Times New Roman" w:cs="Times New Roman"/>
          <w:color w:val="auto"/>
          <w:sz w:val="20"/>
          <w:szCs w:val="20"/>
        </w:rPr>
        <w:tab/>
      </w:r>
      <w:proofErr w:type="gramStart"/>
      <w:r w:rsidRPr="00AE5A69">
        <w:rPr>
          <w:rFonts w:ascii="Times New Roman" w:hAnsi="Times New Roman" w:cs="Times New Roman"/>
          <w:color w:val="auto"/>
          <w:sz w:val="20"/>
          <w:szCs w:val="20"/>
          <w:lang w:val="en-US"/>
        </w:rPr>
        <w:t>Ibid 264 [10.67].</w:t>
      </w:r>
      <w:proofErr w:type="gramEnd"/>
    </w:p>
  </w:footnote>
  <w:footnote w:id="26">
    <w:p w:rsidR="003F7C50" w:rsidRPr="00AE5A69" w:rsidRDefault="003F7C50" w:rsidP="00D40BBB">
      <w:pPr>
        <w:pStyle w:val="Footnote"/>
        <w:ind w:left="567" w:hanging="567"/>
        <w:rPr>
          <w:rFonts w:ascii="Times New Roman" w:hAnsi="Times New Roman" w:cs="Times New Roman"/>
          <w:color w:val="auto"/>
          <w:sz w:val="20"/>
          <w:szCs w:val="20"/>
        </w:rPr>
      </w:pPr>
      <w:r w:rsidRPr="00AE5A69">
        <w:rPr>
          <w:rStyle w:val="None"/>
          <w:rFonts w:ascii="Times New Roman" w:eastAsia="Times New Roman" w:hAnsi="Times New Roman" w:cs="Times New Roman"/>
          <w:color w:val="auto"/>
          <w:sz w:val="20"/>
          <w:szCs w:val="20"/>
          <w:vertAlign w:val="superscript"/>
        </w:rPr>
        <w:footnoteRef/>
      </w:r>
      <w:r w:rsidRPr="00AE5A69">
        <w:rPr>
          <w:rFonts w:ascii="Times New Roman" w:hAnsi="Times New Roman" w:cs="Times New Roman"/>
          <w:color w:val="auto"/>
          <w:sz w:val="20"/>
          <w:szCs w:val="20"/>
        </w:rPr>
        <w:t xml:space="preserve"> </w:t>
      </w:r>
      <w:r w:rsidRPr="00AE5A69">
        <w:rPr>
          <w:rFonts w:ascii="Times New Roman" w:hAnsi="Times New Roman" w:cs="Times New Roman"/>
          <w:color w:val="auto"/>
          <w:sz w:val="20"/>
          <w:szCs w:val="20"/>
        </w:rPr>
        <w:tab/>
      </w:r>
      <w:proofErr w:type="gramStart"/>
      <w:r w:rsidR="00F82B80">
        <w:rPr>
          <w:rFonts w:ascii="Times New Roman" w:hAnsi="Times New Roman" w:cs="Times New Roman"/>
          <w:color w:val="auto"/>
          <w:sz w:val="20"/>
          <w:szCs w:val="20"/>
          <w:lang w:val="en-US"/>
        </w:rPr>
        <w:t>Ibid</w:t>
      </w:r>
      <w:r w:rsidRPr="00AE5A69">
        <w:rPr>
          <w:rFonts w:ascii="Times New Roman" w:hAnsi="Times New Roman" w:cs="Times New Roman"/>
          <w:color w:val="auto"/>
          <w:sz w:val="20"/>
          <w:szCs w:val="20"/>
          <w:lang w:val="en-US"/>
        </w:rPr>
        <w:t xml:space="preserve"> 256 [10.34].</w:t>
      </w:r>
      <w:proofErr w:type="gramEnd"/>
    </w:p>
  </w:footnote>
  <w:footnote w:id="27">
    <w:p w:rsidR="003F7C50" w:rsidRPr="00AE5A69" w:rsidRDefault="003F7C50" w:rsidP="00D40BBB">
      <w:pPr>
        <w:pStyle w:val="Footnote"/>
        <w:ind w:left="567" w:hanging="567"/>
        <w:rPr>
          <w:rFonts w:ascii="Times New Roman" w:hAnsi="Times New Roman" w:cs="Times New Roman"/>
          <w:color w:val="auto"/>
          <w:sz w:val="20"/>
          <w:szCs w:val="20"/>
        </w:rPr>
      </w:pPr>
      <w:r w:rsidRPr="00AE5A69">
        <w:rPr>
          <w:rStyle w:val="None"/>
          <w:rFonts w:ascii="Times New Roman" w:eastAsia="Times New Roman" w:hAnsi="Times New Roman" w:cs="Times New Roman"/>
          <w:color w:val="auto"/>
          <w:sz w:val="20"/>
          <w:szCs w:val="20"/>
          <w:vertAlign w:val="superscript"/>
        </w:rPr>
        <w:footnoteRef/>
      </w:r>
      <w:r w:rsidRPr="00AE5A69">
        <w:rPr>
          <w:rFonts w:ascii="Times New Roman" w:hAnsi="Times New Roman" w:cs="Times New Roman"/>
          <w:color w:val="auto"/>
          <w:sz w:val="20"/>
          <w:szCs w:val="20"/>
        </w:rPr>
        <w:t xml:space="preserve"> </w:t>
      </w:r>
      <w:r w:rsidRPr="00AE5A69">
        <w:rPr>
          <w:rFonts w:ascii="Times New Roman" w:hAnsi="Times New Roman" w:cs="Times New Roman"/>
          <w:color w:val="auto"/>
          <w:sz w:val="20"/>
          <w:szCs w:val="20"/>
        </w:rPr>
        <w:tab/>
      </w:r>
      <w:proofErr w:type="gramStart"/>
      <w:r w:rsidRPr="00AE5A69">
        <w:rPr>
          <w:rFonts w:ascii="Times New Roman" w:hAnsi="Times New Roman" w:cs="Times New Roman"/>
          <w:color w:val="auto"/>
          <w:sz w:val="20"/>
          <w:szCs w:val="20"/>
          <w:lang w:val="en-US"/>
        </w:rPr>
        <w:t xml:space="preserve">Department of Human Services, </w:t>
      </w:r>
      <w:r w:rsidRPr="00AE5A69">
        <w:rPr>
          <w:rStyle w:val="None"/>
          <w:rFonts w:ascii="Times New Roman" w:hAnsi="Times New Roman" w:cs="Times New Roman"/>
          <w:i/>
          <w:iCs/>
          <w:color w:val="auto"/>
          <w:sz w:val="20"/>
          <w:szCs w:val="20"/>
        </w:rPr>
        <w:t>About</w:t>
      </w:r>
      <w:r w:rsidRPr="00AE5A69">
        <w:rPr>
          <w:rFonts w:ascii="Times New Roman" w:hAnsi="Times New Roman" w:cs="Times New Roman"/>
          <w:color w:val="auto"/>
          <w:sz w:val="20"/>
          <w:szCs w:val="20"/>
          <w:lang w:val="en-US"/>
        </w:rPr>
        <w:t xml:space="preserve"> </w:t>
      </w:r>
      <w:r w:rsidRPr="00AE5A69">
        <w:rPr>
          <w:rStyle w:val="None"/>
          <w:rFonts w:ascii="Times New Roman" w:hAnsi="Times New Roman" w:cs="Times New Roman"/>
          <w:i/>
          <w:iCs/>
          <w:color w:val="auto"/>
          <w:sz w:val="20"/>
          <w:szCs w:val="20"/>
        </w:rPr>
        <w:t xml:space="preserve">Income Management </w:t>
      </w:r>
      <w:r w:rsidRPr="00AE5A69">
        <w:rPr>
          <w:rFonts w:ascii="Times New Roman" w:hAnsi="Times New Roman" w:cs="Times New Roman"/>
          <w:color w:val="auto"/>
          <w:sz w:val="20"/>
          <w:szCs w:val="20"/>
          <w:lang w:val="en-US"/>
        </w:rPr>
        <w:t>(15 March 2016) &lt;https://www.humanservices.gov.au/customer/enablers/about-income-management&gt;.</w:t>
      </w:r>
      <w:proofErr w:type="gramEnd"/>
    </w:p>
  </w:footnote>
  <w:footnote w:id="28">
    <w:p w:rsidR="003F7C50" w:rsidRPr="00AE5A69" w:rsidRDefault="003F7C50" w:rsidP="00D40BBB">
      <w:pPr>
        <w:ind w:left="567" w:hanging="567"/>
        <w:rPr>
          <w:rFonts w:ascii="Times New Roman" w:hAnsi="Times New Roman" w:cs="Times New Roman"/>
          <w:sz w:val="20"/>
          <w:szCs w:val="20"/>
        </w:rPr>
      </w:pPr>
      <w:r w:rsidRPr="00AE5A69">
        <w:rPr>
          <w:rFonts w:ascii="Times New Roman" w:hAnsi="Times New Roman" w:cs="Times New Roman"/>
          <w:sz w:val="20"/>
          <w:szCs w:val="20"/>
          <w:vertAlign w:val="superscript"/>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 xml:space="preserve">Rosalie Wolf, </w:t>
      </w:r>
      <w:proofErr w:type="spellStart"/>
      <w:r w:rsidRPr="00AE5A69">
        <w:rPr>
          <w:rFonts w:ascii="Times New Roman" w:hAnsi="Times New Roman" w:cs="Times New Roman"/>
          <w:sz w:val="20"/>
          <w:szCs w:val="20"/>
        </w:rPr>
        <w:t>Lia</w:t>
      </w:r>
      <w:proofErr w:type="spellEnd"/>
      <w:r w:rsidRPr="00AE5A69">
        <w:rPr>
          <w:rFonts w:ascii="Times New Roman" w:hAnsi="Times New Roman" w:cs="Times New Roman"/>
          <w:sz w:val="20"/>
          <w:szCs w:val="20"/>
        </w:rPr>
        <w:t xml:space="preserve"> </w:t>
      </w:r>
      <w:proofErr w:type="spellStart"/>
      <w:r w:rsidRPr="00AE5A69">
        <w:rPr>
          <w:rFonts w:ascii="Times New Roman" w:hAnsi="Times New Roman" w:cs="Times New Roman"/>
          <w:sz w:val="20"/>
          <w:szCs w:val="20"/>
        </w:rPr>
        <w:t>Daichman</w:t>
      </w:r>
      <w:proofErr w:type="spellEnd"/>
      <w:r w:rsidRPr="00AE5A69">
        <w:rPr>
          <w:rFonts w:ascii="Times New Roman" w:hAnsi="Times New Roman" w:cs="Times New Roman"/>
          <w:sz w:val="20"/>
          <w:szCs w:val="20"/>
        </w:rPr>
        <w:t xml:space="preserve"> and Gerry Bennett, ‘Abuse of the Elderly’ in Etienne G Krug et al (</w:t>
      </w:r>
      <w:proofErr w:type="spellStart"/>
      <w:r w:rsidRPr="00AE5A69">
        <w:rPr>
          <w:rFonts w:ascii="Times New Roman" w:hAnsi="Times New Roman" w:cs="Times New Roman"/>
          <w:sz w:val="20"/>
          <w:szCs w:val="20"/>
        </w:rPr>
        <w:t>eds</w:t>
      </w:r>
      <w:proofErr w:type="spellEnd"/>
      <w:r w:rsidRPr="00AE5A69">
        <w:rPr>
          <w:rFonts w:ascii="Times New Roman" w:hAnsi="Times New Roman" w:cs="Times New Roman"/>
          <w:sz w:val="20"/>
          <w:szCs w:val="20"/>
        </w:rPr>
        <w:t xml:space="preserve">), </w:t>
      </w:r>
      <w:r w:rsidRPr="00AE5A69">
        <w:rPr>
          <w:rFonts w:ascii="Times New Roman" w:hAnsi="Times New Roman" w:cs="Times New Roman"/>
          <w:i/>
          <w:sz w:val="20"/>
          <w:szCs w:val="20"/>
        </w:rPr>
        <w:t xml:space="preserve">World Report on Violence and Health </w:t>
      </w:r>
      <w:r w:rsidRPr="00AE5A69">
        <w:rPr>
          <w:rFonts w:ascii="Times New Roman" w:hAnsi="Times New Roman" w:cs="Times New Roman"/>
          <w:sz w:val="20"/>
          <w:szCs w:val="20"/>
        </w:rPr>
        <w:t xml:space="preserve">(World Health Organisation, 2002) 123, 126, citing Margaret F Hudson, ‘Elder Mistreatment: A Taxonomy with Definitions by </w:t>
      </w:r>
      <w:proofErr w:type="spellStart"/>
      <w:r w:rsidRPr="00AE5A69">
        <w:rPr>
          <w:rFonts w:ascii="Times New Roman" w:hAnsi="Times New Roman" w:cs="Times New Roman"/>
          <w:sz w:val="20"/>
          <w:szCs w:val="20"/>
        </w:rPr>
        <w:t>Delphy</w:t>
      </w:r>
      <w:proofErr w:type="spellEnd"/>
      <w:r w:rsidRPr="00AE5A69">
        <w:rPr>
          <w:rFonts w:ascii="Times New Roman" w:hAnsi="Times New Roman" w:cs="Times New Roman"/>
          <w:sz w:val="20"/>
          <w:szCs w:val="20"/>
        </w:rPr>
        <w:t xml:space="preserve">’ (1991) 3(2) </w:t>
      </w:r>
      <w:r w:rsidRPr="00AE5A69">
        <w:rPr>
          <w:rFonts w:ascii="Times New Roman" w:hAnsi="Times New Roman" w:cs="Times New Roman"/>
          <w:i/>
          <w:sz w:val="20"/>
          <w:szCs w:val="20"/>
        </w:rPr>
        <w:t xml:space="preserve">Journal of Elder Abuse &amp; Neglect </w:t>
      </w:r>
      <w:r w:rsidRPr="00AE5A69">
        <w:rPr>
          <w:rFonts w:ascii="Times New Roman" w:hAnsi="Times New Roman" w:cs="Times New Roman"/>
          <w:sz w:val="20"/>
          <w:szCs w:val="20"/>
        </w:rPr>
        <w:t xml:space="preserve">1. </w:t>
      </w:r>
    </w:p>
  </w:footnote>
  <w:footnote w:id="29">
    <w:p w:rsidR="003F7C50" w:rsidRPr="00AE5A69" w:rsidRDefault="003F7C50" w:rsidP="00D40BBB">
      <w:pPr>
        <w:ind w:left="567" w:hanging="567"/>
        <w:rPr>
          <w:rFonts w:ascii="Times New Roman" w:hAnsi="Times New Roman" w:cs="Times New Roman"/>
          <w:sz w:val="20"/>
          <w:szCs w:val="20"/>
        </w:rPr>
      </w:pPr>
      <w:r w:rsidRPr="00AE5A69">
        <w:rPr>
          <w:rFonts w:ascii="Times New Roman" w:hAnsi="Times New Roman" w:cs="Times New Roman"/>
          <w:sz w:val="20"/>
          <w:szCs w:val="20"/>
          <w:vertAlign w:val="superscript"/>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 xml:space="preserve">World Health Organisation, ‘Elder Abuse’ (Fact Sheet No 357, October 2015) &lt;http://www.who.int/mediacentre/factsheets/fs357/en/&gt;; Rosalie Wolf, </w:t>
      </w:r>
      <w:proofErr w:type="spellStart"/>
      <w:r w:rsidRPr="00AE5A69">
        <w:rPr>
          <w:rFonts w:ascii="Times New Roman" w:hAnsi="Times New Roman" w:cs="Times New Roman"/>
          <w:sz w:val="20"/>
          <w:szCs w:val="20"/>
        </w:rPr>
        <w:t>Lia</w:t>
      </w:r>
      <w:proofErr w:type="spellEnd"/>
      <w:r w:rsidRPr="00AE5A69">
        <w:rPr>
          <w:rFonts w:ascii="Times New Roman" w:hAnsi="Times New Roman" w:cs="Times New Roman"/>
          <w:sz w:val="20"/>
          <w:szCs w:val="20"/>
        </w:rPr>
        <w:t xml:space="preserve"> </w:t>
      </w:r>
      <w:proofErr w:type="spellStart"/>
      <w:r w:rsidRPr="00AE5A69">
        <w:rPr>
          <w:rFonts w:ascii="Times New Roman" w:hAnsi="Times New Roman" w:cs="Times New Roman"/>
          <w:sz w:val="20"/>
          <w:szCs w:val="20"/>
        </w:rPr>
        <w:t>Daichman</w:t>
      </w:r>
      <w:proofErr w:type="spellEnd"/>
      <w:r w:rsidRPr="00AE5A69">
        <w:rPr>
          <w:rFonts w:ascii="Times New Roman" w:hAnsi="Times New Roman" w:cs="Times New Roman"/>
          <w:sz w:val="20"/>
          <w:szCs w:val="20"/>
        </w:rPr>
        <w:t xml:space="preserve"> and Gerry Bennett, ‘Abuse of the Elderly’ in Etienne G Krug et al, </w:t>
      </w:r>
      <w:r w:rsidRPr="00AE5A69">
        <w:rPr>
          <w:rFonts w:ascii="Times New Roman" w:hAnsi="Times New Roman" w:cs="Times New Roman"/>
          <w:i/>
          <w:sz w:val="20"/>
          <w:szCs w:val="20"/>
        </w:rPr>
        <w:t xml:space="preserve">World Report on Violence and Health </w:t>
      </w:r>
      <w:r w:rsidRPr="00AE5A69">
        <w:rPr>
          <w:rFonts w:ascii="Times New Roman" w:hAnsi="Times New Roman" w:cs="Times New Roman"/>
          <w:sz w:val="20"/>
          <w:szCs w:val="20"/>
        </w:rPr>
        <w:t>(World Health Organisation, 2002) 123, 126–7.</w:t>
      </w:r>
    </w:p>
  </w:footnote>
  <w:footnote w:id="30">
    <w:p w:rsidR="003F7C50" w:rsidRPr="00AE5A69" w:rsidRDefault="003F7C50" w:rsidP="00D40BBB">
      <w:pPr>
        <w:ind w:left="567" w:hanging="567"/>
        <w:rPr>
          <w:rFonts w:ascii="Times New Roman" w:hAnsi="Times New Roman" w:cs="Times New Roman"/>
          <w:sz w:val="20"/>
          <w:szCs w:val="20"/>
        </w:rPr>
      </w:pPr>
      <w:r w:rsidRPr="00AE5A69">
        <w:rPr>
          <w:rFonts w:ascii="Times New Roman" w:hAnsi="Times New Roman" w:cs="Times New Roman"/>
          <w:sz w:val="20"/>
          <w:szCs w:val="20"/>
          <w:vertAlign w:val="superscript"/>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proofErr w:type="gramStart"/>
      <w:r w:rsidRPr="00AE5A69">
        <w:rPr>
          <w:rFonts w:ascii="Times New Roman" w:hAnsi="Times New Roman" w:cs="Times New Roman"/>
          <w:sz w:val="20"/>
          <w:szCs w:val="20"/>
        </w:rPr>
        <w:t xml:space="preserve">Aged Rights Advocacy Service, </w:t>
      </w:r>
      <w:r w:rsidRPr="00AE5A69">
        <w:rPr>
          <w:rFonts w:ascii="Times New Roman" w:hAnsi="Times New Roman" w:cs="Times New Roman"/>
          <w:i/>
          <w:sz w:val="20"/>
          <w:szCs w:val="20"/>
        </w:rPr>
        <w:t>Residential Care: Preventing Elder Abuse: Definition</w:t>
      </w:r>
      <w:r w:rsidRPr="00AE5A69">
        <w:rPr>
          <w:rFonts w:ascii="Times New Roman" w:hAnsi="Times New Roman" w:cs="Times New Roman"/>
          <w:sz w:val="20"/>
          <w:szCs w:val="20"/>
        </w:rPr>
        <w:t xml:space="preserve"> (2016) &lt;http://www.sa.agedrights.asn.au/residential_care/preventing_elder_abuse/definition&gt;.</w:t>
      </w:r>
      <w:proofErr w:type="gramEnd"/>
    </w:p>
  </w:footnote>
  <w:footnote w:id="31">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 xml:space="preserve">See </w:t>
      </w:r>
      <w:r w:rsidRPr="00AE5A69">
        <w:rPr>
          <w:rFonts w:ascii="Times New Roman" w:hAnsi="Times New Roman" w:cs="Times New Roman"/>
          <w:i/>
          <w:sz w:val="20"/>
          <w:szCs w:val="20"/>
        </w:rPr>
        <w:t xml:space="preserve">Aged Care Act 1997 </w:t>
      </w:r>
      <w:r w:rsidRPr="00AE5A69">
        <w:rPr>
          <w:rFonts w:ascii="Times New Roman" w:hAnsi="Times New Roman" w:cs="Times New Roman"/>
          <w:sz w:val="20"/>
          <w:szCs w:val="20"/>
        </w:rPr>
        <w:t>(</w:t>
      </w:r>
      <w:proofErr w:type="spellStart"/>
      <w:r w:rsidRPr="00AE5A69">
        <w:rPr>
          <w:rFonts w:ascii="Times New Roman" w:hAnsi="Times New Roman" w:cs="Times New Roman"/>
          <w:sz w:val="20"/>
          <w:szCs w:val="20"/>
        </w:rPr>
        <w:t>Cth</w:t>
      </w:r>
      <w:proofErr w:type="spellEnd"/>
      <w:r w:rsidRPr="00AE5A69">
        <w:rPr>
          <w:rFonts w:ascii="Times New Roman" w:hAnsi="Times New Roman" w:cs="Times New Roman"/>
          <w:sz w:val="20"/>
          <w:szCs w:val="20"/>
        </w:rPr>
        <w:t xml:space="preserve">) </w:t>
      </w:r>
      <w:proofErr w:type="spellStart"/>
      <w:r w:rsidRPr="00AE5A69">
        <w:rPr>
          <w:rFonts w:ascii="Times New Roman" w:hAnsi="Times New Roman" w:cs="Times New Roman"/>
          <w:sz w:val="20"/>
          <w:szCs w:val="20"/>
        </w:rPr>
        <w:t>ch</w:t>
      </w:r>
      <w:proofErr w:type="spellEnd"/>
      <w:r w:rsidRPr="00AE5A69">
        <w:rPr>
          <w:rFonts w:ascii="Times New Roman" w:hAnsi="Times New Roman" w:cs="Times New Roman"/>
          <w:sz w:val="20"/>
          <w:szCs w:val="20"/>
        </w:rPr>
        <w:t xml:space="preserve"> 4.</w:t>
      </w:r>
    </w:p>
  </w:footnote>
  <w:footnote w:id="32">
    <w:p w:rsidR="003F7C50" w:rsidRPr="00AE5A69" w:rsidRDefault="003F7C50" w:rsidP="00D40BBB">
      <w:pPr>
        <w:ind w:left="567" w:hanging="567"/>
        <w:rPr>
          <w:rFonts w:ascii="Times New Roman" w:hAnsi="Times New Roman" w:cs="Times New Roman"/>
          <w:sz w:val="20"/>
          <w:szCs w:val="20"/>
        </w:rPr>
      </w:pPr>
      <w:r w:rsidRPr="00AE5A69">
        <w:rPr>
          <w:rFonts w:ascii="Times New Roman" w:hAnsi="Times New Roman" w:cs="Times New Roman"/>
          <w:sz w:val="20"/>
          <w:szCs w:val="20"/>
          <w:vertAlign w:val="superscript"/>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r w:rsidRPr="00AE5A69">
        <w:rPr>
          <w:rFonts w:ascii="Times New Roman" w:eastAsia="Times New Roman" w:hAnsi="Times New Roman" w:cs="Times New Roman"/>
          <w:i/>
          <w:sz w:val="20"/>
          <w:szCs w:val="20"/>
        </w:rPr>
        <w:t xml:space="preserve">Aged Care Act 1997 </w:t>
      </w:r>
      <w:r w:rsidRPr="00AE5A69">
        <w:rPr>
          <w:rFonts w:ascii="Times New Roman" w:eastAsia="Times New Roman" w:hAnsi="Times New Roman" w:cs="Times New Roman"/>
          <w:sz w:val="20"/>
          <w:szCs w:val="20"/>
        </w:rPr>
        <w:t>(</w:t>
      </w:r>
      <w:proofErr w:type="spellStart"/>
      <w:r w:rsidRPr="00AE5A69">
        <w:rPr>
          <w:rFonts w:ascii="Times New Roman" w:eastAsia="Times New Roman" w:hAnsi="Times New Roman" w:cs="Times New Roman"/>
          <w:sz w:val="20"/>
          <w:szCs w:val="20"/>
        </w:rPr>
        <w:t>Cth</w:t>
      </w:r>
      <w:proofErr w:type="spellEnd"/>
      <w:r w:rsidRPr="00AE5A69">
        <w:rPr>
          <w:rFonts w:ascii="Times New Roman" w:eastAsia="Times New Roman" w:hAnsi="Times New Roman" w:cs="Times New Roman"/>
          <w:sz w:val="20"/>
          <w:szCs w:val="20"/>
        </w:rPr>
        <w:t>) s 63-</w:t>
      </w:r>
      <w:proofErr w:type="gramStart"/>
      <w:r w:rsidRPr="00AE5A69">
        <w:rPr>
          <w:rFonts w:ascii="Times New Roman" w:eastAsia="Times New Roman" w:hAnsi="Times New Roman" w:cs="Times New Roman"/>
          <w:sz w:val="20"/>
          <w:szCs w:val="20"/>
        </w:rPr>
        <w:t>1AA(</w:t>
      </w:r>
      <w:proofErr w:type="gramEnd"/>
      <w:r w:rsidRPr="00AE5A69">
        <w:rPr>
          <w:rFonts w:ascii="Times New Roman" w:eastAsia="Times New Roman" w:hAnsi="Times New Roman" w:cs="Times New Roman"/>
          <w:sz w:val="20"/>
          <w:szCs w:val="20"/>
        </w:rPr>
        <w:t>9).</w:t>
      </w:r>
    </w:p>
  </w:footnote>
  <w:footnote w:id="33">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While s 63-</w:t>
      </w:r>
      <w:proofErr w:type="gramStart"/>
      <w:r w:rsidRPr="00AE5A69">
        <w:rPr>
          <w:rFonts w:ascii="Times New Roman" w:hAnsi="Times New Roman" w:cs="Times New Roman"/>
          <w:sz w:val="20"/>
          <w:szCs w:val="20"/>
        </w:rPr>
        <w:t>1AA(</w:t>
      </w:r>
      <w:proofErr w:type="gramEnd"/>
      <w:r w:rsidRPr="00AE5A69">
        <w:rPr>
          <w:rFonts w:ascii="Times New Roman" w:hAnsi="Times New Roman" w:cs="Times New Roman"/>
          <w:sz w:val="20"/>
          <w:szCs w:val="20"/>
        </w:rPr>
        <w:t xml:space="preserve">9) also includes assaults specified in the </w:t>
      </w:r>
      <w:r w:rsidRPr="00AE5A69">
        <w:rPr>
          <w:rFonts w:ascii="Times New Roman" w:hAnsi="Times New Roman" w:cs="Times New Roman"/>
          <w:i/>
          <w:sz w:val="20"/>
          <w:szCs w:val="20"/>
        </w:rPr>
        <w:t xml:space="preserve">Accountability Principles 2014 </w:t>
      </w:r>
      <w:r w:rsidRPr="00AE5A69">
        <w:rPr>
          <w:rFonts w:ascii="Times New Roman" w:hAnsi="Times New Roman" w:cs="Times New Roman"/>
          <w:sz w:val="20"/>
          <w:szCs w:val="20"/>
        </w:rPr>
        <w:t>(</w:t>
      </w:r>
      <w:proofErr w:type="spellStart"/>
      <w:r w:rsidRPr="00AE5A69">
        <w:rPr>
          <w:rFonts w:ascii="Times New Roman" w:hAnsi="Times New Roman" w:cs="Times New Roman"/>
          <w:sz w:val="20"/>
          <w:szCs w:val="20"/>
        </w:rPr>
        <w:t>Cth</w:t>
      </w:r>
      <w:proofErr w:type="spellEnd"/>
      <w:r w:rsidRPr="00AE5A69">
        <w:rPr>
          <w:rFonts w:ascii="Times New Roman" w:hAnsi="Times New Roman" w:cs="Times New Roman"/>
          <w:sz w:val="20"/>
          <w:szCs w:val="20"/>
        </w:rPr>
        <w:t xml:space="preserve">), the </w:t>
      </w:r>
      <w:r w:rsidRPr="00AE5A69">
        <w:rPr>
          <w:rFonts w:ascii="Times New Roman" w:hAnsi="Times New Roman" w:cs="Times New Roman"/>
          <w:i/>
          <w:sz w:val="20"/>
          <w:szCs w:val="20"/>
        </w:rPr>
        <w:t>Principles</w:t>
      </w:r>
      <w:r w:rsidRPr="00AE5A69">
        <w:rPr>
          <w:rFonts w:ascii="Times New Roman" w:hAnsi="Times New Roman" w:cs="Times New Roman"/>
          <w:sz w:val="20"/>
          <w:szCs w:val="20"/>
        </w:rPr>
        <w:t xml:space="preserve"> do not currently broaden the definition by including a list of additional forms of assault.</w:t>
      </w:r>
    </w:p>
  </w:footnote>
  <w:footnote w:id="34">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proofErr w:type="spellStart"/>
      <w:r w:rsidRPr="00AE5A69">
        <w:rPr>
          <w:rFonts w:ascii="Times New Roman" w:hAnsi="Times New Roman" w:cs="Times New Roman"/>
          <w:sz w:val="20"/>
          <w:szCs w:val="20"/>
        </w:rPr>
        <w:t>Peteris</w:t>
      </w:r>
      <w:proofErr w:type="spellEnd"/>
      <w:r w:rsidRPr="00AE5A69">
        <w:rPr>
          <w:rFonts w:ascii="Times New Roman" w:hAnsi="Times New Roman" w:cs="Times New Roman"/>
          <w:sz w:val="20"/>
          <w:szCs w:val="20"/>
        </w:rPr>
        <w:t xml:space="preserve"> </w:t>
      </w:r>
      <w:proofErr w:type="spellStart"/>
      <w:r w:rsidRPr="00AE5A69">
        <w:rPr>
          <w:rFonts w:ascii="Times New Roman" w:hAnsi="Times New Roman" w:cs="Times New Roman"/>
          <w:sz w:val="20"/>
          <w:szCs w:val="20"/>
        </w:rPr>
        <w:t>Darzins</w:t>
      </w:r>
      <w:proofErr w:type="spellEnd"/>
      <w:r w:rsidRPr="00AE5A69">
        <w:rPr>
          <w:rFonts w:ascii="Times New Roman" w:hAnsi="Times New Roman" w:cs="Times New Roman"/>
          <w:sz w:val="20"/>
          <w:szCs w:val="20"/>
        </w:rPr>
        <w:t xml:space="preserve"> et al, </w:t>
      </w:r>
      <w:r w:rsidRPr="00AE5A69">
        <w:rPr>
          <w:rFonts w:ascii="Times New Roman" w:hAnsi="Times New Roman" w:cs="Times New Roman"/>
          <w:i/>
          <w:sz w:val="20"/>
          <w:szCs w:val="20"/>
        </w:rPr>
        <w:t>Financial Abuse of Elders: A Review of the Evidence – Protecting Elders’ Assets Study</w:t>
      </w:r>
      <w:r w:rsidRPr="00AE5A69">
        <w:rPr>
          <w:rFonts w:ascii="Times New Roman" w:hAnsi="Times New Roman" w:cs="Times New Roman"/>
          <w:sz w:val="20"/>
          <w:szCs w:val="20"/>
        </w:rPr>
        <w:t xml:space="preserve"> (Monash Institute of Health Services Research – Faculty of Medicine, Nursing and Health Sciences, 2009) 4–5, quoting Rosalie Wolf, </w:t>
      </w:r>
      <w:proofErr w:type="spellStart"/>
      <w:r w:rsidRPr="00AE5A69">
        <w:rPr>
          <w:rFonts w:ascii="Times New Roman" w:hAnsi="Times New Roman" w:cs="Times New Roman"/>
          <w:sz w:val="20"/>
          <w:szCs w:val="20"/>
        </w:rPr>
        <w:t>Lia</w:t>
      </w:r>
      <w:proofErr w:type="spellEnd"/>
      <w:r w:rsidRPr="00AE5A69">
        <w:rPr>
          <w:rFonts w:ascii="Times New Roman" w:hAnsi="Times New Roman" w:cs="Times New Roman"/>
          <w:sz w:val="20"/>
          <w:szCs w:val="20"/>
        </w:rPr>
        <w:t xml:space="preserve"> </w:t>
      </w:r>
      <w:proofErr w:type="spellStart"/>
      <w:r w:rsidRPr="00AE5A69">
        <w:rPr>
          <w:rFonts w:ascii="Times New Roman" w:hAnsi="Times New Roman" w:cs="Times New Roman"/>
          <w:sz w:val="20"/>
          <w:szCs w:val="20"/>
        </w:rPr>
        <w:t>Daichman</w:t>
      </w:r>
      <w:proofErr w:type="spellEnd"/>
      <w:r w:rsidRPr="00AE5A69">
        <w:rPr>
          <w:rFonts w:ascii="Times New Roman" w:hAnsi="Times New Roman" w:cs="Times New Roman"/>
          <w:sz w:val="20"/>
          <w:szCs w:val="20"/>
        </w:rPr>
        <w:t xml:space="preserve"> and Gerry Bennett, ‘Abuse of the Elderly’ in Etienne G Krug et al (</w:t>
      </w:r>
      <w:proofErr w:type="spellStart"/>
      <w:r w:rsidRPr="00AE5A69">
        <w:rPr>
          <w:rFonts w:ascii="Times New Roman" w:hAnsi="Times New Roman" w:cs="Times New Roman"/>
          <w:sz w:val="20"/>
          <w:szCs w:val="20"/>
        </w:rPr>
        <w:t>eds</w:t>
      </w:r>
      <w:proofErr w:type="spellEnd"/>
      <w:r w:rsidRPr="00AE5A69">
        <w:rPr>
          <w:rFonts w:ascii="Times New Roman" w:hAnsi="Times New Roman" w:cs="Times New Roman"/>
          <w:sz w:val="20"/>
          <w:szCs w:val="20"/>
        </w:rPr>
        <w:t xml:space="preserve">), </w:t>
      </w:r>
      <w:r w:rsidRPr="00AE5A69">
        <w:rPr>
          <w:rFonts w:ascii="Times New Roman" w:hAnsi="Times New Roman" w:cs="Times New Roman"/>
          <w:i/>
          <w:sz w:val="20"/>
          <w:szCs w:val="20"/>
        </w:rPr>
        <w:t>World Report on Violence and Health</w:t>
      </w:r>
      <w:r w:rsidRPr="00AE5A69">
        <w:rPr>
          <w:rFonts w:ascii="Times New Roman" w:hAnsi="Times New Roman" w:cs="Times New Roman"/>
          <w:sz w:val="20"/>
          <w:szCs w:val="20"/>
        </w:rPr>
        <w:t xml:space="preserve"> (World Health Organisation, 2002) 123, 127.</w:t>
      </w:r>
    </w:p>
  </w:footnote>
  <w:footnote w:id="35">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 xml:space="preserve">General Purpose Standing Committee No 2, Parliament of New South Wales, </w:t>
      </w:r>
      <w:r w:rsidRPr="00AE5A69">
        <w:rPr>
          <w:rFonts w:ascii="Times New Roman" w:hAnsi="Times New Roman" w:cs="Times New Roman"/>
          <w:i/>
          <w:sz w:val="20"/>
          <w:szCs w:val="20"/>
        </w:rPr>
        <w:t>Elder Abuse in New South Wales</w:t>
      </w:r>
      <w:r w:rsidRPr="00AE5A69">
        <w:rPr>
          <w:rFonts w:ascii="Times New Roman" w:hAnsi="Times New Roman" w:cs="Times New Roman"/>
          <w:sz w:val="20"/>
          <w:szCs w:val="20"/>
        </w:rPr>
        <w:t xml:space="preserve"> (24 June 2016) 77 [6.1].</w:t>
      </w:r>
    </w:p>
  </w:footnote>
  <w:footnote w:id="36">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 xml:space="preserve">Legal Aid NSW, Submission No 49 to General Purpose Standing Committee No 2, Parliament of New South Wales, </w:t>
      </w:r>
      <w:r w:rsidRPr="00AE5A69">
        <w:rPr>
          <w:rFonts w:ascii="Times New Roman" w:hAnsi="Times New Roman" w:cs="Times New Roman"/>
          <w:i/>
          <w:sz w:val="20"/>
          <w:szCs w:val="20"/>
        </w:rPr>
        <w:t>Elder Abuse in New South Wales</w:t>
      </w:r>
      <w:r w:rsidRPr="00AE5A69">
        <w:rPr>
          <w:rFonts w:ascii="Times New Roman" w:hAnsi="Times New Roman" w:cs="Times New Roman"/>
          <w:sz w:val="20"/>
          <w:szCs w:val="20"/>
        </w:rPr>
        <w:t>, 17 November 2015, 4.</w:t>
      </w:r>
    </w:p>
  </w:footnote>
  <w:footnote w:id="37">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proofErr w:type="spellStart"/>
      <w:r w:rsidRPr="00AE5A69">
        <w:rPr>
          <w:rFonts w:ascii="Times New Roman" w:hAnsi="Times New Roman" w:cs="Times New Roman"/>
          <w:sz w:val="20"/>
          <w:szCs w:val="20"/>
        </w:rPr>
        <w:t>Peteris</w:t>
      </w:r>
      <w:proofErr w:type="spellEnd"/>
      <w:r w:rsidRPr="00AE5A69">
        <w:rPr>
          <w:rFonts w:ascii="Times New Roman" w:hAnsi="Times New Roman" w:cs="Times New Roman"/>
          <w:sz w:val="20"/>
          <w:szCs w:val="20"/>
        </w:rPr>
        <w:t xml:space="preserve"> </w:t>
      </w:r>
      <w:proofErr w:type="spellStart"/>
      <w:r w:rsidRPr="00AE5A69">
        <w:rPr>
          <w:rFonts w:ascii="Times New Roman" w:hAnsi="Times New Roman" w:cs="Times New Roman"/>
          <w:sz w:val="20"/>
          <w:szCs w:val="20"/>
        </w:rPr>
        <w:t>Darzins</w:t>
      </w:r>
      <w:proofErr w:type="spellEnd"/>
      <w:r w:rsidRPr="00AE5A69">
        <w:rPr>
          <w:rFonts w:ascii="Times New Roman" w:hAnsi="Times New Roman" w:cs="Times New Roman"/>
          <w:sz w:val="20"/>
          <w:szCs w:val="20"/>
        </w:rPr>
        <w:t xml:space="preserve"> et al, </w:t>
      </w:r>
      <w:r w:rsidRPr="00AE5A69">
        <w:rPr>
          <w:rFonts w:ascii="Times New Roman" w:hAnsi="Times New Roman" w:cs="Times New Roman"/>
          <w:i/>
          <w:sz w:val="20"/>
          <w:szCs w:val="20"/>
        </w:rPr>
        <w:t xml:space="preserve">Financial Abuse of Elders: </w:t>
      </w:r>
      <w:proofErr w:type="gramStart"/>
      <w:r w:rsidRPr="00AE5A69">
        <w:rPr>
          <w:rFonts w:ascii="Times New Roman" w:hAnsi="Times New Roman" w:cs="Times New Roman"/>
          <w:i/>
          <w:sz w:val="20"/>
          <w:szCs w:val="20"/>
        </w:rPr>
        <w:t>A Review of the Evidence – Protecting Elders’</w:t>
      </w:r>
      <w:proofErr w:type="gramEnd"/>
      <w:r w:rsidRPr="00AE5A69">
        <w:rPr>
          <w:rFonts w:ascii="Times New Roman" w:hAnsi="Times New Roman" w:cs="Times New Roman"/>
          <w:i/>
          <w:sz w:val="20"/>
          <w:szCs w:val="20"/>
        </w:rPr>
        <w:t xml:space="preserve"> Assets Study</w:t>
      </w:r>
      <w:r w:rsidRPr="00AE5A69">
        <w:rPr>
          <w:rFonts w:ascii="Times New Roman" w:hAnsi="Times New Roman" w:cs="Times New Roman"/>
          <w:sz w:val="20"/>
          <w:szCs w:val="20"/>
        </w:rPr>
        <w:t xml:space="preserve"> (Monash Institute of Health Services Research – Faculty of Medicine, Nursing and Health Sciences, 2009) 18.</w:t>
      </w:r>
    </w:p>
  </w:footnote>
  <w:footnote w:id="38">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proofErr w:type="gramStart"/>
      <w:r w:rsidRPr="00AE5A69">
        <w:rPr>
          <w:rFonts w:ascii="Times New Roman" w:hAnsi="Times New Roman" w:cs="Times New Roman"/>
          <w:sz w:val="20"/>
          <w:szCs w:val="20"/>
        </w:rPr>
        <w:t>Ibid 24.</w:t>
      </w:r>
      <w:proofErr w:type="gramEnd"/>
    </w:p>
  </w:footnote>
  <w:footnote w:id="39">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 xml:space="preserve">Redfern Legal Centre, Submission No 65 to General Purpose Standing Committee No 2, Parliament of New South Wales, </w:t>
      </w:r>
      <w:r w:rsidRPr="00AE5A69">
        <w:rPr>
          <w:rFonts w:ascii="Times New Roman" w:hAnsi="Times New Roman" w:cs="Times New Roman"/>
          <w:i/>
          <w:sz w:val="20"/>
          <w:szCs w:val="20"/>
        </w:rPr>
        <w:t>Elder Abuse in New South Wales</w:t>
      </w:r>
      <w:r w:rsidRPr="00AE5A69">
        <w:rPr>
          <w:rFonts w:ascii="Times New Roman" w:hAnsi="Times New Roman" w:cs="Times New Roman"/>
          <w:sz w:val="20"/>
          <w:szCs w:val="20"/>
        </w:rPr>
        <w:t>, 23 November 2015, 8–9.</w:t>
      </w:r>
    </w:p>
  </w:footnote>
  <w:footnote w:id="40">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 xml:space="preserve">General Purpose Standing Committee No 2, Parliament of New South Wales, </w:t>
      </w:r>
      <w:r w:rsidRPr="00AE5A69">
        <w:rPr>
          <w:rFonts w:ascii="Times New Roman" w:hAnsi="Times New Roman" w:cs="Times New Roman"/>
          <w:i/>
          <w:sz w:val="20"/>
          <w:szCs w:val="20"/>
        </w:rPr>
        <w:t>Elder Abuse in New South Wales</w:t>
      </w:r>
      <w:r w:rsidRPr="00AE5A69">
        <w:rPr>
          <w:rFonts w:ascii="Times New Roman" w:hAnsi="Times New Roman" w:cs="Times New Roman"/>
          <w:sz w:val="20"/>
          <w:szCs w:val="20"/>
        </w:rPr>
        <w:t xml:space="preserve"> (24 June 2016) 82 [6.12]–[6.14].</w:t>
      </w:r>
    </w:p>
  </w:footnote>
  <w:footnote w:id="41">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 xml:space="preserve">Redfern Legal Centre, Submission No 65 to General Purpose Standing Committee No 2, Parliament of New South Wales, </w:t>
      </w:r>
      <w:r w:rsidRPr="00AE5A69">
        <w:rPr>
          <w:rFonts w:ascii="Times New Roman" w:hAnsi="Times New Roman" w:cs="Times New Roman"/>
          <w:i/>
          <w:sz w:val="20"/>
          <w:szCs w:val="20"/>
        </w:rPr>
        <w:t>Elder Abuse in New South Wales</w:t>
      </w:r>
      <w:r w:rsidRPr="00AE5A69">
        <w:rPr>
          <w:rFonts w:ascii="Times New Roman" w:hAnsi="Times New Roman" w:cs="Times New Roman"/>
          <w:sz w:val="20"/>
          <w:szCs w:val="20"/>
        </w:rPr>
        <w:t>, 23 November 2015, 8.</w:t>
      </w:r>
    </w:p>
  </w:footnote>
  <w:footnote w:id="42">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proofErr w:type="spellStart"/>
      <w:r w:rsidRPr="00AE5A69">
        <w:rPr>
          <w:rFonts w:ascii="Times New Roman" w:hAnsi="Times New Roman" w:cs="Times New Roman"/>
          <w:sz w:val="20"/>
          <w:szCs w:val="20"/>
        </w:rPr>
        <w:t>Peteris</w:t>
      </w:r>
      <w:proofErr w:type="spellEnd"/>
      <w:r w:rsidRPr="00AE5A69">
        <w:rPr>
          <w:rFonts w:ascii="Times New Roman" w:hAnsi="Times New Roman" w:cs="Times New Roman"/>
          <w:sz w:val="20"/>
          <w:szCs w:val="20"/>
        </w:rPr>
        <w:t xml:space="preserve"> </w:t>
      </w:r>
      <w:proofErr w:type="spellStart"/>
      <w:r w:rsidRPr="00AE5A69">
        <w:rPr>
          <w:rFonts w:ascii="Times New Roman" w:hAnsi="Times New Roman" w:cs="Times New Roman"/>
          <w:sz w:val="20"/>
          <w:szCs w:val="20"/>
        </w:rPr>
        <w:t>Darzins</w:t>
      </w:r>
      <w:proofErr w:type="spellEnd"/>
      <w:r w:rsidRPr="00AE5A69">
        <w:rPr>
          <w:rFonts w:ascii="Times New Roman" w:hAnsi="Times New Roman" w:cs="Times New Roman"/>
          <w:sz w:val="20"/>
          <w:szCs w:val="20"/>
        </w:rPr>
        <w:t xml:space="preserve"> et al, </w:t>
      </w:r>
      <w:r w:rsidRPr="00AE5A69">
        <w:rPr>
          <w:rFonts w:ascii="Times New Roman" w:hAnsi="Times New Roman" w:cs="Times New Roman"/>
          <w:i/>
          <w:sz w:val="20"/>
          <w:szCs w:val="20"/>
        </w:rPr>
        <w:t xml:space="preserve">Financial Abuse of Elders: </w:t>
      </w:r>
      <w:proofErr w:type="gramStart"/>
      <w:r w:rsidRPr="00AE5A69">
        <w:rPr>
          <w:rFonts w:ascii="Times New Roman" w:hAnsi="Times New Roman" w:cs="Times New Roman"/>
          <w:i/>
          <w:sz w:val="20"/>
          <w:szCs w:val="20"/>
        </w:rPr>
        <w:t>A Review of the Evidence – Protecting Elders’</w:t>
      </w:r>
      <w:proofErr w:type="gramEnd"/>
      <w:r w:rsidRPr="00AE5A69">
        <w:rPr>
          <w:rFonts w:ascii="Times New Roman" w:hAnsi="Times New Roman" w:cs="Times New Roman"/>
          <w:i/>
          <w:sz w:val="20"/>
          <w:szCs w:val="20"/>
        </w:rPr>
        <w:t xml:space="preserve"> Assets Study</w:t>
      </w:r>
      <w:r w:rsidRPr="00AE5A69">
        <w:rPr>
          <w:rFonts w:ascii="Times New Roman" w:hAnsi="Times New Roman" w:cs="Times New Roman"/>
          <w:sz w:val="20"/>
          <w:szCs w:val="20"/>
        </w:rPr>
        <w:t xml:space="preserve"> (Monash Institute of Health Services Research – Faculty of Medicine, Nursing and Health Sciences, 2009) 6–7, 27.</w:t>
      </w:r>
    </w:p>
  </w:footnote>
  <w:footnote w:id="43">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 xml:space="preserve">General Purpose Standing Committee No 2, Parliament of New South Wales, </w:t>
      </w:r>
      <w:r w:rsidRPr="00AE5A69">
        <w:rPr>
          <w:rFonts w:ascii="Times New Roman" w:hAnsi="Times New Roman" w:cs="Times New Roman"/>
          <w:i/>
          <w:sz w:val="20"/>
          <w:szCs w:val="20"/>
        </w:rPr>
        <w:t>Elder Abuse in New South Wales</w:t>
      </w:r>
      <w:r w:rsidRPr="00AE5A69">
        <w:rPr>
          <w:rFonts w:ascii="Times New Roman" w:hAnsi="Times New Roman" w:cs="Times New Roman"/>
          <w:sz w:val="20"/>
          <w:szCs w:val="20"/>
        </w:rPr>
        <w:t xml:space="preserve"> (24 June 2016) 103.</w:t>
      </w:r>
    </w:p>
  </w:footnote>
  <w:footnote w:id="44">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proofErr w:type="spellStart"/>
      <w:r w:rsidRPr="00AE5A69">
        <w:rPr>
          <w:rFonts w:ascii="Times New Roman" w:hAnsi="Times New Roman" w:cs="Times New Roman"/>
          <w:sz w:val="20"/>
          <w:szCs w:val="20"/>
        </w:rPr>
        <w:t>Peteris</w:t>
      </w:r>
      <w:proofErr w:type="spellEnd"/>
      <w:r w:rsidRPr="00AE5A69">
        <w:rPr>
          <w:rFonts w:ascii="Times New Roman" w:hAnsi="Times New Roman" w:cs="Times New Roman"/>
          <w:sz w:val="20"/>
          <w:szCs w:val="20"/>
        </w:rPr>
        <w:t xml:space="preserve"> </w:t>
      </w:r>
      <w:proofErr w:type="spellStart"/>
      <w:r w:rsidRPr="00AE5A69">
        <w:rPr>
          <w:rFonts w:ascii="Times New Roman" w:hAnsi="Times New Roman" w:cs="Times New Roman"/>
          <w:sz w:val="20"/>
          <w:szCs w:val="20"/>
        </w:rPr>
        <w:t>Darzins</w:t>
      </w:r>
      <w:proofErr w:type="spellEnd"/>
      <w:r w:rsidRPr="00AE5A69">
        <w:rPr>
          <w:rFonts w:ascii="Times New Roman" w:hAnsi="Times New Roman" w:cs="Times New Roman"/>
          <w:sz w:val="20"/>
          <w:szCs w:val="20"/>
        </w:rPr>
        <w:t xml:space="preserve"> et al, </w:t>
      </w:r>
      <w:r w:rsidRPr="00AE5A69">
        <w:rPr>
          <w:rFonts w:ascii="Times New Roman" w:hAnsi="Times New Roman" w:cs="Times New Roman"/>
          <w:i/>
          <w:sz w:val="20"/>
          <w:szCs w:val="20"/>
        </w:rPr>
        <w:t xml:space="preserve">Financial Abuse of Elders: </w:t>
      </w:r>
      <w:proofErr w:type="gramStart"/>
      <w:r w:rsidRPr="00AE5A69">
        <w:rPr>
          <w:rFonts w:ascii="Times New Roman" w:hAnsi="Times New Roman" w:cs="Times New Roman"/>
          <w:i/>
          <w:sz w:val="20"/>
          <w:szCs w:val="20"/>
        </w:rPr>
        <w:t>A Review of the Evidence – Protecting Elders’</w:t>
      </w:r>
      <w:proofErr w:type="gramEnd"/>
      <w:r w:rsidRPr="00AE5A69">
        <w:rPr>
          <w:rFonts w:ascii="Times New Roman" w:hAnsi="Times New Roman" w:cs="Times New Roman"/>
          <w:i/>
          <w:sz w:val="20"/>
          <w:szCs w:val="20"/>
        </w:rPr>
        <w:t xml:space="preserve"> Assets Study</w:t>
      </w:r>
      <w:r w:rsidRPr="00AE5A69">
        <w:rPr>
          <w:rFonts w:ascii="Times New Roman" w:hAnsi="Times New Roman" w:cs="Times New Roman"/>
          <w:sz w:val="20"/>
          <w:szCs w:val="20"/>
        </w:rPr>
        <w:t xml:space="preserve"> (Monash Institute of Health Services Research – Faculty of Medicine, Nursing and Health Sciences, 2009) 19.</w:t>
      </w:r>
    </w:p>
  </w:footnote>
  <w:footnote w:id="45">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 xml:space="preserve">Australian Law Reform Commission, </w:t>
      </w:r>
      <w:r w:rsidRPr="00AE5A69">
        <w:rPr>
          <w:rFonts w:ascii="Times New Roman" w:hAnsi="Times New Roman" w:cs="Times New Roman"/>
          <w:i/>
          <w:sz w:val="20"/>
          <w:szCs w:val="20"/>
        </w:rPr>
        <w:t>Elder Abuse</w:t>
      </w:r>
      <w:r w:rsidRPr="00AE5A69">
        <w:rPr>
          <w:rFonts w:ascii="Times New Roman" w:hAnsi="Times New Roman" w:cs="Times New Roman"/>
          <w:sz w:val="20"/>
          <w:szCs w:val="20"/>
        </w:rPr>
        <w:t>, Issues Paper No 47 (15 June 2016) 29 [105]–[106].</w:t>
      </w:r>
    </w:p>
  </w:footnote>
  <w:footnote w:id="46">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 xml:space="preserve">General Purpose Standing Committee No 2, Parliament of New South Wales, </w:t>
      </w:r>
      <w:r w:rsidRPr="00AE5A69">
        <w:rPr>
          <w:rFonts w:ascii="Times New Roman" w:hAnsi="Times New Roman" w:cs="Times New Roman"/>
          <w:i/>
          <w:sz w:val="20"/>
          <w:szCs w:val="20"/>
        </w:rPr>
        <w:t>Elder Abuse in New South Wales</w:t>
      </w:r>
      <w:r w:rsidRPr="00AE5A69">
        <w:rPr>
          <w:rFonts w:ascii="Times New Roman" w:hAnsi="Times New Roman" w:cs="Times New Roman"/>
          <w:sz w:val="20"/>
          <w:szCs w:val="20"/>
        </w:rPr>
        <w:t xml:space="preserve"> (24 June 2016) 114 [7.37].</w:t>
      </w:r>
    </w:p>
  </w:footnote>
  <w:footnote w:id="47">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 xml:space="preserve">Ibid 114 [7.40], 116 [7.45]; Redfern Legal Centre, Submission No 65 to General Purpose Standing Committee No 2, Parliament of New South Wales, </w:t>
      </w:r>
      <w:r w:rsidRPr="00AE5A69">
        <w:rPr>
          <w:rFonts w:ascii="Times New Roman" w:hAnsi="Times New Roman" w:cs="Times New Roman"/>
          <w:i/>
          <w:sz w:val="20"/>
          <w:szCs w:val="20"/>
        </w:rPr>
        <w:t>Elder Abuse in New South Wales</w:t>
      </w:r>
      <w:r w:rsidRPr="00AE5A69">
        <w:rPr>
          <w:rFonts w:ascii="Times New Roman" w:hAnsi="Times New Roman" w:cs="Times New Roman"/>
          <w:sz w:val="20"/>
          <w:szCs w:val="20"/>
        </w:rPr>
        <w:t>, 23 November 2015, 10.</w:t>
      </w:r>
    </w:p>
  </w:footnote>
  <w:footnote w:id="48">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 xml:space="preserve">General Purpose Standing Committee No 2, Parliament of New South Wales, </w:t>
      </w:r>
      <w:r w:rsidRPr="00AE5A69">
        <w:rPr>
          <w:rFonts w:ascii="Times New Roman" w:hAnsi="Times New Roman" w:cs="Times New Roman"/>
          <w:i/>
          <w:sz w:val="20"/>
          <w:szCs w:val="20"/>
        </w:rPr>
        <w:t>Elder Abuse in New South Wales</w:t>
      </w:r>
      <w:r w:rsidRPr="00AE5A69">
        <w:rPr>
          <w:rFonts w:ascii="Times New Roman" w:hAnsi="Times New Roman" w:cs="Times New Roman"/>
          <w:sz w:val="20"/>
          <w:szCs w:val="20"/>
        </w:rPr>
        <w:t xml:space="preserve"> (24 June 2016)</w:t>
      </w:r>
      <w:r>
        <w:rPr>
          <w:rFonts w:ascii="Times New Roman" w:hAnsi="Times New Roman" w:cs="Times New Roman"/>
          <w:sz w:val="20"/>
          <w:szCs w:val="20"/>
        </w:rPr>
        <w:t xml:space="preserve"> </w:t>
      </w:r>
      <w:r w:rsidRPr="00AE5A69">
        <w:rPr>
          <w:rFonts w:ascii="Times New Roman" w:hAnsi="Times New Roman" w:cs="Times New Roman"/>
          <w:sz w:val="20"/>
          <w:szCs w:val="20"/>
        </w:rPr>
        <w:t xml:space="preserve">116–17 [7.46]; Capacity Australia, Submission No 81 to General Purpose Standing Committee No 2, Parliament of New South Wales, </w:t>
      </w:r>
      <w:r w:rsidRPr="00AE5A69">
        <w:rPr>
          <w:rFonts w:ascii="Times New Roman" w:hAnsi="Times New Roman" w:cs="Times New Roman"/>
          <w:i/>
          <w:sz w:val="20"/>
          <w:szCs w:val="20"/>
        </w:rPr>
        <w:t>Elder Abuse in New South Wales</w:t>
      </w:r>
      <w:r w:rsidRPr="00AE5A69">
        <w:rPr>
          <w:rFonts w:ascii="Times New Roman" w:hAnsi="Times New Roman" w:cs="Times New Roman"/>
          <w:sz w:val="20"/>
          <w:szCs w:val="20"/>
        </w:rPr>
        <w:t>, 27 January 2016, 15–16.</w:t>
      </w:r>
    </w:p>
  </w:footnote>
  <w:footnote w:id="49">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 xml:space="preserve">General Purpose Standing Committee No 2, Parliament of New South Wales, </w:t>
      </w:r>
      <w:r w:rsidRPr="00AE5A69">
        <w:rPr>
          <w:rFonts w:ascii="Times New Roman" w:hAnsi="Times New Roman" w:cs="Times New Roman"/>
          <w:i/>
          <w:sz w:val="20"/>
          <w:szCs w:val="20"/>
        </w:rPr>
        <w:t>Elder Abuse in New South Wales</w:t>
      </w:r>
      <w:r w:rsidRPr="00AE5A69">
        <w:rPr>
          <w:rFonts w:ascii="Times New Roman" w:hAnsi="Times New Roman" w:cs="Times New Roman"/>
          <w:sz w:val="20"/>
          <w:szCs w:val="20"/>
        </w:rPr>
        <w:t xml:space="preserve"> (24 June 2016) 116 [7.45].</w:t>
      </w:r>
    </w:p>
  </w:footnote>
  <w:footnote w:id="50">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 xml:space="preserve">Redfern Legal Centre, Submission No 65 to General Purpose Standing Committee No 2, Parliament of New South Wales, </w:t>
      </w:r>
      <w:r w:rsidRPr="00AE5A69">
        <w:rPr>
          <w:rFonts w:ascii="Times New Roman" w:hAnsi="Times New Roman" w:cs="Times New Roman"/>
          <w:i/>
          <w:sz w:val="20"/>
          <w:szCs w:val="20"/>
        </w:rPr>
        <w:t xml:space="preserve">Elder </w:t>
      </w:r>
      <w:r w:rsidR="00D6573D">
        <w:rPr>
          <w:rFonts w:ascii="Times New Roman" w:hAnsi="Times New Roman" w:cs="Times New Roman"/>
          <w:i/>
          <w:sz w:val="20"/>
          <w:szCs w:val="20"/>
        </w:rPr>
        <w:t>A</w:t>
      </w:r>
      <w:r w:rsidRPr="00AE5A69">
        <w:rPr>
          <w:rFonts w:ascii="Times New Roman" w:hAnsi="Times New Roman" w:cs="Times New Roman"/>
          <w:i/>
          <w:sz w:val="20"/>
          <w:szCs w:val="20"/>
        </w:rPr>
        <w:t>buse in New South Wales</w:t>
      </w:r>
      <w:r w:rsidRPr="00AE5A69">
        <w:rPr>
          <w:rFonts w:ascii="Times New Roman" w:hAnsi="Times New Roman" w:cs="Times New Roman"/>
          <w:sz w:val="20"/>
          <w:szCs w:val="20"/>
        </w:rPr>
        <w:t>, 23 November 2015, 8.</w:t>
      </w:r>
    </w:p>
  </w:footnote>
  <w:footnote w:id="51">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 xml:space="preserve">General Purpose Standing Committee No 2, Parliament of New South Wales, </w:t>
      </w:r>
      <w:r w:rsidRPr="00AE5A69">
        <w:rPr>
          <w:rFonts w:ascii="Times New Roman" w:hAnsi="Times New Roman" w:cs="Times New Roman"/>
          <w:i/>
          <w:sz w:val="20"/>
          <w:szCs w:val="20"/>
        </w:rPr>
        <w:t>Elder Abuse in New South Wales</w:t>
      </w:r>
      <w:r w:rsidRPr="00AE5A69">
        <w:rPr>
          <w:rFonts w:ascii="Times New Roman" w:hAnsi="Times New Roman" w:cs="Times New Roman"/>
          <w:sz w:val="20"/>
          <w:szCs w:val="20"/>
        </w:rPr>
        <w:t xml:space="preserve"> (24 June 2016) 114 [7.40].</w:t>
      </w:r>
    </w:p>
  </w:footnote>
  <w:footnote w:id="52">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 xml:space="preserve">Ibid 115 [7.42]; Australian Bankers’ Association, Submission No 113 to General Purpose Standing Committee No 2, Parliament of New South Wales, </w:t>
      </w:r>
      <w:r w:rsidRPr="00AE5A69">
        <w:rPr>
          <w:rFonts w:ascii="Times New Roman" w:hAnsi="Times New Roman" w:cs="Times New Roman"/>
          <w:i/>
          <w:sz w:val="20"/>
          <w:szCs w:val="20"/>
        </w:rPr>
        <w:t>Elder Abuse in New South Wales</w:t>
      </w:r>
      <w:r w:rsidRPr="00AE5A69">
        <w:rPr>
          <w:rFonts w:ascii="Times New Roman" w:hAnsi="Times New Roman" w:cs="Times New Roman"/>
          <w:sz w:val="20"/>
          <w:szCs w:val="20"/>
        </w:rPr>
        <w:t>, 7 March 2016, 2.</w:t>
      </w:r>
    </w:p>
  </w:footnote>
  <w:footnote w:id="53">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proofErr w:type="spellStart"/>
      <w:r w:rsidRPr="00AE5A69">
        <w:rPr>
          <w:rFonts w:ascii="Times New Roman" w:hAnsi="Times New Roman" w:cs="Times New Roman"/>
          <w:sz w:val="20"/>
          <w:szCs w:val="20"/>
        </w:rPr>
        <w:t>Peteris</w:t>
      </w:r>
      <w:proofErr w:type="spellEnd"/>
      <w:r w:rsidRPr="00AE5A69">
        <w:rPr>
          <w:rFonts w:ascii="Times New Roman" w:hAnsi="Times New Roman" w:cs="Times New Roman"/>
          <w:sz w:val="20"/>
          <w:szCs w:val="20"/>
        </w:rPr>
        <w:t xml:space="preserve"> </w:t>
      </w:r>
      <w:proofErr w:type="spellStart"/>
      <w:r w:rsidRPr="00AE5A69">
        <w:rPr>
          <w:rFonts w:ascii="Times New Roman" w:hAnsi="Times New Roman" w:cs="Times New Roman"/>
          <w:sz w:val="20"/>
          <w:szCs w:val="20"/>
        </w:rPr>
        <w:t>Darzins</w:t>
      </w:r>
      <w:proofErr w:type="spellEnd"/>
      <w:r w:rsidRPr="00AE5A69">
        <w:rPr>
          <w:rFonts w:ascii="Times New Roman" w:hAnsi="Times New Roman" w:cs="Times New Roman"/>
          <w:sz w:val="20"/>
          <w:szCs w:val="20"/>
        </w:rPr>
        <w:t xml:space="preserve"> et al, </w:t>
      </w:r>
      <w:r w:rsidRPr="00AE5A69">
        <w:rPr>
          <w:rFonts w:ascii="Times New Roman" w:hAnsi="Times New Roman" w:cs="Times New Roman"/>
          <w:i/>
          <w:sz w:val="20"/>
          <w:szCs w:val="20"/>
        </w:rPr>
        <w:t xml:space="preserve">Financial Abuse of Elders: </w:t>
      </w:r>
      <w:proofErr w:type="gramStart"/>
      <w:r w:rsidRPr="00AE5A69">
        <w:rPr>
          <w:rFonts w:ascii="Times New Roman" w:hAnsi="Times New Roman" w:cs="Times New Roman"/>
          <w:i/>
          <w:sz w:val="20"/>
          <w:szCs w:val="20"/>
        </w:rPr>
        <w:t>A Review of the Evidence – Protecting Elders’</w:t>
      </w:r>
      <w:proofErr w:type="gramEnd"/>
      <w:r w:rsidRPr="00AE5A69">
        <w:rPr>
          <w:rFonts w:ascii="Times New Roman" w:hAnsi="Times New Roman" w:cs="Times New Roman"/>
          <w:i/>
          <w:sz w:val="20"/>
          <w:szCs w:val="20"/>
        </w:rPr>
        <w:t xml:space="preserve"> Assets Study</w:t>
      </w:r>
      <w:r w:rsidRPr="00AE5A69">
        <w:rPr>
          <w:rFonts w:ascii="Times New Roman" w:hAnsi="Times New Roman" w:cs="Times New Roman"/>
          <w:sz w:val="20"/>
          <w:szCs w:val="20"/>
        </w:rPr>
        <w:t xml:space="preserve"> (Monash Institute of Health Services Research – Faculty of Medicine, Nursing and Health Sciences, 2009) 28.</w:t>
      </w:r>
    </w:p>
  </w:footnote>
  <w:footnote w:id="54">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 xml:space="preserve">Legal Aid NSW, Submission No 49 to General Purpose Standing Committee No 2, Parliament of New South Wales, </w:t>
      </w:r>
      <w:r w:rsidRPr="00AE5A69">
        <w:rPr>
          <w:rFonts w:ascii="Times New Roman" w:hAnsi="Times New Roman" w:cs="Times New Roman"/>
          <w:i/>
          <w:sz w:val="20"/>
          <w:szCs w:val="20"/>
        </w:rPr>
        <w:t xml:space="preserve">Elder </w:t>
      </w:r>
      <w:r w:rsidR="00D6573D">
        <w:rPr>
          <w:rFonts w:ascii="Times New Roman" w:hAnsi="Times New Roman" w:cs="Times New Roman"/>
          <w:i/>
          <w:sz w:val="20"/>
          <w:szCs w:val="20"/>
        </w:rPr>
        <w:t>A</w:t>
      </w:r>
      <w:r w:rsidRPr="00AE5A69">
        <w:rPr>
          <w:rFonts w:ascii="Times New Roman" w:hAnsi="Times New Roman" w:cs="Times New Roman"/>
          <w:i/>
          <w:sz w:val="20"/>
          <w:szCs w:val="20"/>
        </w:rPr>
        <w:t>buse in New South Wales</w:t>
      </w:r>
      <w:r w:rsidRPr="00AE5A69">
        <w:rPr>
          <w:rFonts w:ascii="Times New Roman" w:hAnsi="Times New Roman" w:cs="Times New Roman"/>
          <w:sz w:val="20"/>
          <w:szCs w:val="20"/>
        </w:rPr>
        <w:t>, 17 November 2015, 17.</w:t>
      </w:r>
    </w:p>
  </w:footnote>
  <w:footnote w:id="55">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 xml:space="preserve">General Purpose Standing Committee No 2, Parliament of New South Wales, </w:t>
      </w:r>
      <w:r w:rsidR="00D6573D">
        <w:rPr>
          <w:rFonts w:ascii="Times New Roman" w:hAnsi="Times New Roman" w:cs="Times New Roman"/>
          <w:i/>
          <w:sz w:val="20"/>
          <w:szCs w:val="20"/>
        </w:rPr>
        <w:t>Elder A</w:t>
      </w:r>
      <w:r w:rsidRPr="00AE5A69">
        <w:rPr>
          <w:rFonts w:ascii="Times New Roman" w:hAnsi="Times New Roman" w:cs="Times New Roman"/>
          <w:i/>
          <w:sz w:val="20"/>
          <w:szCs w:val="20"/>
        </w:rPr>
        <w:t>buse in New South Wales</w:t>
      </w:r>
      <w:r w:rsidRPr="00AE5A69">
        <w:rPr>
          <w:rFonts w:ascii="Times New Roman" w:hAnsi="Times New Roman" w:cs="Times New Roman"/>
          <w:sz w:val="20"/>
          <w:szCs w:val="20"/>
        </w:rPr>
        <w:t xml:space="preserve"> (24 June 2016) 119 [7.54]–[7.55].</w:t>
      </w:r>
    </w:p>
  </w:footnote>
  <w:footnote w:id="56">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 xml:space="preserve">Australian Bankers’ Association, Submission No 113 to General Purpose Standing Committee No 2, Parliament of New South Wales, </w:t>
      </w:r>
      <w:r w:rsidRPr="00AE5A69">
        <w:rPr>
          <w:rFonts w:ascii="Times New Roman" w:hAnsi="Times New Roman" w:cs="Times New Roman"/>
          <w:i/>
          <w:sz w:val="20"/>
          <w:szCs w:val="20"/>
        </w:rPr>
        <w:t>Elder Abuse in New South Wales</w:t>
      </w:r>
      <w:r w:rsidRPr="00AE5A69">
        <w:rPr>
          <w:rFonts w:ascii="Times New Roman" w:hAnsi="Times New Roman" w:cs="Times New Roman"/>
          <w:sz w:val="20"/>
          <w:szCs w:val="20"/>
        </w:rPr>
        <w:t>, 7 March 2016, 4.</w:t>
      </w:r>
    </w:p>
  </w:footnote>
  <w:footnote w:id="57">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 xml:space="preserve">Financial System Inquiry, Commonwealth Treasury, </w:t>
      </w:r>
      <w:r w:rsidRPr="00AE5A69">
        <w:rPr>
          <w:rFonts w:ascii="Times New Roman" w:hAnsi="Times New Roman" w:cs="Times New Roman"/>
          <w:i/>
          <w:sz w:val="20"/>
          <w:szCs w:val="20"/>
        </w:rPr>
        <w:t>Financial System Inquiry Final Report</w:t>
      </w:r>
      <w:r w:rsidRPr="00AE5A69">
        <w:rPr>
          <w:rFonts w:ascii="Times New Roman" w:hAnsi="Times New Roman" w:cs="Times New Roman"/>
          <w:sz w:val="20"/>
          <w:szCs w:val="20"/>
        </w:rPr>
        <w:t xml:space="preserve"> (28 November 2014) 213.</w:t>
      </w:r>
    </w:p>
  </w:footnote>
  <w:footnote w:id="58">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proofErr w:type="gramStart"/>
      <w:r w:rsidRPr="00AE5A69">
        <w:rPr>
          <w:rFonts w:ascii="Times New Roman" w:hAnsi="Times New Roman" w:cs="Times New Roman"/>
          <w:sz w:val="20"/>
          <w:szCs w:val="20"/>
        </w:rPr>
        <w:t>Commonwealth Treasury,</w:t>
      </w:r>
      <w:r w:rsidRPr="00AE5A69">
        <w:rPr>
          <w:rFonts w:ascii="Times New Roman" w:hAnsi="Times New Roman" w:cs="Times New Roman"/>
          <w:i/>
          <w:sz w:val="20"/>
          <w:szCs w:val="20"/>
        </w:rPr>
        <w:t xml:space="preserve"> Improving Australia’s Financial System – Government response to the Financial System Inquiry</w:t>
      </w:r>
      <w:r w:rsidRPr="00AE5A69">
        <w:rPr>
          <w:rFonts w:ascii="Times New Roman" w:hAnsi="Times New Roman" w:cs="Times New Roman"/>
          <w:sz w:val="20"/>
          <w:szCs w:val="20"/>
        </w:rPr>
        <w:t xml:space="preserve"> (20 October 2015) 19.</w:t>
      </w:r>
      <w:proofErr w:type="gramEnd"/>
    </w:p>
  </w:footnote>
  <w:footnote w:id="59">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 xml:space="preserve">Australian Bankers’ Association, Submission No 113 to General Purpose Standing Committee No 2, Parliament of New South Wales, </w:t>
      </w:r>
      <w:r w:rsidRPr="00AE5A69">
        <w:rPr>
          <w:rFonts w:ascii="Times New Roman" w:hAnsi="Times New Roman" w:cs="Times New Roman"/>
          <w:i/>
          <w:sz w:val="20"/>
          <w:szCs w:val="20"/>
        </w:rPr>
        <w:t>Elder Abuse in New South Wales</w:t>
      </w:r>
      <w:r w:rsidRPr="00AE5A69">
        <w:rPr>
          <w:rFonts w:ascii="Times New Roman" w:hAnsi="Times New Roman" w:cs="Times New Roman"/>
          <w:sz w:val="20"/>
          <w:szCs w:val="20"/>
        </w:rPr>
        <w:t xml:space="preserve">, 7 March 2016, 2; Australian Bankers’ Association, </w:t>
      </w:r>
      <w:r w:rsidR="003A642F">
        <w:rPr>
          <w:rFonts w:ascii="Times New Roman" w:hAnsi="Times New Roman" w:cs="Times New Roman"/>
          <w:sz w:val="20"/>
          <w:szCs w:val="20"/>
        </w:rPr>
        <w:t>‘</w:t>
      </w:r>
      <w:r w:rsidRPr="00AE5A69">
        <w:rPr>
          <w:rFonts w:ascii="Times New Roman" w:hAnsi="Times New Roman" w:cs="Times New Roman"/>
          <w:sz w:val="20"/>
          <w:szCs w:val="20"/>
        </w:rPr>
        <w:t>Protecting Vulnerable Customers from Potential Financial Abuse</w:t>
      </w:r>
      <w:r w:rsidR="003A642F">
        <w:rPr>
          <w:rFonts w:ascii="Times New Roman" w:hAnsi="Times New Roman" w:cs="Times New Roman"/>
          <w:sz w:val="20"/>
          <w:szCs w:val="20"/>
        </w:rPr>
        <w:t>’</w:t>
      </w:r>
      <w:r w:rsidRPr="00AE5A69">
        <w:rPr>
          <w:rFonts w:ascii="Times New Roman" w:hAnsi="Times New Roman" w:cs="Times New Roman"/>
          <w:sz w:val="20"/>
          <w:szCs w:val="20"/>
        </w:rPr>
        <w:t xml:space="preserve"> (Industry Guideline, December 2014); Australian Bankers’ Association, </w:t>
      </w:r>
      <w:r w:rsidR="003A642F">
        <w:rPr>
          <w:rFonts w:ascii="Times New Roman" w:hAnsi="Times New Roman" w:cs="Times New Roman"/>
          <w:sz w:val="20"/>
          <w:szCs w:val="20"/>
        </w:rPr>
        <w:t>‘</w:t>
      </w:r>
      <w:r w:rsidRPr="00AE5A69">
        <w:rPr>
          <w:rFonts w:ascii="Times New Roman" w:hAnsi="Times New Roman" w:cs="Times New Roman"/>
          <w:sz w:val="20"/>
          <w:szCs w:val="20"/>
        </w:rPr>
        <w:t>Responding to Requests from a Power of Attorney or Court-Appointed Administrator</w:t>
      </w:r>
      <w:r w:rsidR="003A642F">
        <w:rPr>
          <w:rFonts w:ascii="Times New Roman" w:hAnsi="Times New Roman" w:cs="Times New Roman"/>
          <w:sz w:val="20"/>
          <w:szCs w:val="20"/>
        </w:rPr>
        <w:t>’</w:t>
      </w:r>
      <w:r w:rsidRPr="00AE5A69">
        <w:rPr>
          <w:rFonts w:ascii="Times New Roman" w:hAnsi="Times New Roman" w:cs="Times New Roman"/>
          <w:sz w:val="20"/>
          <w:szCs w:val="20"/>
        </w:rPr>
        <w:t xml:space="preserve"> (Industry Guideline, December 2014).</w:t>
      </w:r>
    </w:p>
  </w:footnote>
  <w:footnote w:id="60">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 xml:space="preserve">Australian Bankers’ Association, Submission No 113 to General Purpose Standing Committee No 2, Parliament of New South Wales, </w:t>
      </w:r>
      <w:r w:rsidRPr="00AE5A69">
        <w:rPr>
          <w:rFonts w:ascii="Times New Roman" w:hAnsi="Times New Roman" w:cs="Times New Roman"/>
          <w:i/>
          <w:sz w:val="20"/>
          <w:szCs w:val="20"/>
        </w:rPr>
        <w:t>Elder Abuse in New South Wales</w:t>
      </w:r>
      <w:r w:rsidRPr="00AE5A69">
        <w:rPr>
          <w:rFonts w:ascii="Times New Roman" w:hAnsi="Times New Roman" w:cs="Times New Roman"/>
          <w:sz w:val="20"/>
          <w:szCs w:val="20"/>
        </w:rPr>
        <w:t>, 7 March 2016, 2–3.</w:t>
      </w:r>
    </w:p>
  </w:footnote>
  <w:footnote w:id="61">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r w:rsidRPr="00AE5A69">
        <w:rPr>
          <w:rFonts w:ascii="Times New Roman" w:hAnsi="Times New Roman" w:cs="Times New Roman"/>
          <w:sz w:val="20"/>
          <w:szCs w:val="20"/>
          <w:shd w:val="clear" w:color="auto" w:fill="FFFFFF"/>
        </w:rPr>
        <w:t xml:space="preserve">General Purpose Standing Committee No 2, Parliament of New South Wales, </w:t>
      </w:r>
      <w:r w:rsidRPr="00AE5A69">
        <w:rPr>
          <w:rFonts w:ascii="Times New Roman" w:hAnsi="Times New Roman" w:cs="Times New Roman"/>
          <w:i/>
          <w:sz w:val="20"/>
          <w:szCs w:val="20"/>
        </w:rPr>
        <w:t>Elder Abuse in New South Wales</w:t>
      </w:r>
      <w:r w:rsidRPr="00AE5A69">
        <w:rPr>
          <w:rFonts w:ascii="Times New Roman" w:hAnsi="Times New Roman" w:cs="Times New Roman"/>
          <w:sz w:val="20"/>
          <w:szCs w:val="20"/>
        </w:rPr>
        <w:t xml:space="preserve"> </w:t>
      </w:r>
      <w:r w:rsidRPr="00AE5A69">
        <w:rPr>
          <w:rFonts w:ascii="Times New Roman" w:hAnsi="Times New Roman" w:cs="Times New Roman"/>
          <w:sz w:val="20"/>
          <w:szCs w:val="20"/>
          <w:shd w:val="clear" w:color="auto" w:fill="FFFFFF"/>
        </w:rPr>
        <w:t>(24 June 2016) 116 [7.45].</w:t>
      </w:r>
    </w:p>
  </w:footnote>
  <w:footnote w:id="62">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 xml:space="preserve">Law Society of NSW, Submission No 107 to General Purpose Standing Committee No 2, Parliament of New South Wales, </w:t>
      </w:r>
      <w:r w:rsidRPr="00AE5A69">
        <w:rPr>
          <w:rFonts w:ascii="Times New Roman" w:hAnsi="Times New Roman" w:cs="Times New Roman"/>
          <w:i/>
          <w:sz w:val="20"/>
          <w:szCs w:val="20"/>
        </w:rPr>
        <w:t>Elder Abuse in New South Wales</w:t>
      </w:r>
      <w:r w:rsidRPr="00AE5A69">
        <w:rPr>
          <w:rFonts w:ascii="Times New Roman" w:hAnsi="Times New Roman" w:cs="Times New Roman"/>
          <w:sz w:val="20"/>
          <w:szCs w:val="20"/>
        </w:rPr>
        <w:t>, 15 February 2016, 5 (pagination added) pt 1, s 6.</w:t>
      </w:r>
    </w:p>
  </w:footnote>
  <w:footnote w:id="63">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John Chesterman, ‘Responding to Violence, Abuse, Exploitation and Neglect: Improving Our Protection of At-Risk Adults’ (Fellowship Report, Winston Churchill Memorial Trust of Australia, 2013) 35; Wash Rev Code § 74.34.220 (2015).</w:t>
      </w:r>
    </w:p>
  </w:footnote>
  <w:footnote w:id="64">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 xml:space="preserve">Australian Bankers’ Association, </w:t>
      </w:r>
      <w:r w:rsidRPr="00AE5A69">
        <w:rPr>
          <w:rFonts w:ascii="Times New Roman" w:hAnsi="Times New Roman" w:cs="Times New Roman"/>
          <w:i/>
          <w:sz w:val="20"/>
          <w:szCs w:val="20"/>
        </w:rPr>
        <w:t>Code of Banking Practice 2013</w:t>
      </w:r>
      <w:r w:rsidRPr="00AE5A69">
        <w:rPr>
          <w:rFonts w:ascii="Times New Roman" w:hAnsi="Times New Roman" w:cs="Times New Roman"/>
          <w:sz w:val="20"/>
          <w:szCs w:val="20"/>
        </w:rPr>
        <w:t xml:space="preserve">, </w:t>
      </w:r>
      <w:proofErr w:type="spellStart"/>
      <w:r w:rsidRPr="00AE5A69">
        <w:rPr>
          <w:rFonts w:ascii="Times New Roman" w:hAnsi="Times New Roman" w:cs="Times New Roman"/>
          <w:sz w:val="20"/>
          <w:szCs w:val="20"/>
        </w:rPr>
        <w:t>cl</w:t>
      </w:r>
      <w:proofErr w:type="spellEnd"/>
      <w:r w:rsidRPr="00AE5A69">
        <w:rPr>
          <w:rFonts w:ascii="Times New Roman" w:hAnsi="Times New Roman" w:cs="Times New Roman"/>
          <w:sz w:val="20"/>
          <w:szCs w:val="20"/>
        </w:rPr>
        <w:t xml:space="preserve"> 7.</w:t>
      </w:r>
    </w:p>
  </w:footnote>
  <w:footnote w:id="65">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 xml:space="preserve">Financial System Inquiry, Commonwealth Treasury, </w:t>
      </w:r>
      <w:r w:rsidRPr="00AE5A69">
        <w:rPr>
          <w:rFonts w:ascii="Times New Roman" w:hAnsi="Times New Roman" w:cs="Times New Roman"/>
          <w:i/>
          <w:sz w:val="20"/>
          <w:szCs w:val="20"/>
        </w:rPr>
        <w:t>Financial System Inquiry Final Report</w:t>
      </w:r>
      <w:r w:rsidRPr="00AE5A69">
        <w:rPr>
          <w:rFonts w:ascii="Times New Roman" w:hAnsi="Times New Roman" w:cs="Times New Roman"/>
          <w:sz w:val="20"/>
          <w:szCs w:val="20"/>
        </w:rPr>
        <w:t xml:space="preserve"> (November 2014) 217–20.</w:t>
      </w:r>
    </w:p>
  </w:footnote>
  <w:footnote w:id="66">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proofErr w:type="gramStart"/>
      <w:r w:rsidRPr="00AE5A69">
        <w:rPr>
          <w:rFonts w:ascii="Times New Roman" w:hAnsi="Times New Roman" w:cs="Times New Roman"/>
          <w:sz w:val="20"/>
          <w:szCs w:val="20"/>
        </w:rPr>
        <w:t>Ibid 222.</w:t>
      </w:r>
      <w:proofErr w:type="gramEnd"/>
    </w:p>
  </w:footnote>
  <w:footnote w:id="67">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proofErr w:type="gramStart"/>
      <w:r w:rsidRPr="00AE5A69">
        <w:rPr>
          <w:rFonts w:ascii="Times New Roman" w:hAnsi="Times New Roman" w:cs="Times New Roman"/>
          <w:sz w:val="20"/>
          <w:szCs w:val="20"/>
        </w:rPr>
        <w:t>Ibid 218.</w:t>
      </w:r>
      <w:proofErr w:type="gramEnd"/>
    </w:p>
  </w:footnote>
  <w:footnote w:id="68">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proofErr w:type="gramStart"/>
      <w:r w:rsidRPr="00AE5A69">
        <w:rPr>
          <w:rFonts w:ascii="Times New Roman" w:hAnsi="Times New Roman" w:cs="Times New Roman"/>
          <w:sz w:val="20"/>
          <w:szCs w:val="20"/>
        </w:rPr>
        <w:t xml:space="preserve">Commonwealth Treasury, </w:t>
      </w:r>
      <w:r w:rsidRPr="00AE5A69">
        <w:rPr>
          <w:rFonts w:ascii="Times New Roman" w:hAnsi="Times New Roman" w:cs="Times New Roman"/>
          <w:i/>
          <w:sz w:val="20"/>
          <w:szCs w:val="20"/>
        </w:rPr>
        <w:t>Improving Australia’s Financial System – Government Response to the Financial System Inquiry</w:t>
      </w:r>
      <w:r w:rsidRPr="00AE5A69">
        <w:rPr>
          <w:rFonts w:ascii="Times New Roman" w:hAnsi="Times New Roman" w:cs="Times New Roman"/>
          <w:sz w:val="20"/>
          <w:szCs w:val="20"/>
        </w:rPr>
        <w:t xml:space="preserve"> (20 October 2015) 20.</w:t>
      </w:r>
      <w:proofErr w:type="gramEnd"/>
    </w:p>
  </w:footnote>
  <w:footnote w:id="69">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proofErr w:type="gramStart"/>
      <w:r w:rsidRPr="00AE5A69">
        <w:rPr>
          <w:rFonts w:ascii="Times New Roman" w:hAnsi="Times New Roman" w:cs="Times New Roman"/>
          <w:sz w:val="20"/>
          <w:szCs w:val="20"/>
        </w:rPr>
        <w:t>Commonwealth Treasury, ‘Industry Reform Proposal on Retail Life Insurance Welcomed’ (Media Release, 25 June 2015) &lt;http://jaf.ministers.treasury.gov.au/media-release/032-2015/&gt;.</w:t>
      </w:r>
      <w:proofErr w:type="gramEnd"/>
    </w:p>
  </w:footnote>
  <w:footnote w:id="70">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 xml:space="preserve">Australian Securities and Investment Commission, </w:t>
      </w:r>
      <w:r w:rsidRPr="00AE5A69">
        <w:rPr>
          <w:rFonts w:ascii="Times New Roman" w:hAnsi="Times New Roman" w:cs="Times New Roman"/>
          <w:i/>
          <w:sz w:val="20"/>
          <w:szCs w:val="20"/>
        </w:rPr>
        <w:t>Review of Retail Life Insurance Advice</w:t>
      </w:r>
      <w:r w:rsidRPr="00AE5A69">
        <w:rPr>
          <w:rFonts w:ascii="Times New Roman" w:hAnsi="Times New Roman" w:cs="Times New Roman"/>
          <w:sz w:val="20"/>
          <w:szCs w:val="20"/>
        </w:rPr>
        <w:t>, Report No 413 (2014).</w:t>
      </w:r>
    </w:p>
  </w:footnote>
  <w:footnote w:id="71">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 xml:space="preserve">Financial System Inquiry, Commonwealth Treasury, </w:t>
      </w:r>
      <w:r w:rsidRPr="00AE5A69">
        <w:rPr>
          <w:rFonts w:ascii="Times New Roman" w:hAnsi="Times New Roman" w:cs="Times New Roman"/>
          <w:i/>
          <w:sz w:val="20"/>
          <w:szCs w:val="20"/>
        </w:rPr>
        <w:t>Financial System Inquiry Final Report</w:t>
      </w:r>
      <w:r w:rsidRPr="00AE5A69">
        <w:rPr>
          <w:rFonts w:ascii="Times New Roman" w:hAnsi="Times New Roman" w:cs="Times New Roman"/>
          <w:sz w:val="20"/>
          <w:szCs w:val="20"/>
        </w:rPr>
        <w:t xml:space="preserve"> (28 November 2014) 224.</w:t>
      </w:r>
    </w:p>
  </w:footnote>
  <w:footnote w:id="72">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proofErr w:type="gramStart"/>
      <w:r w:rsidRPr="00AE5A69">
        <w:rPr>
          <w:rFonts w:ascii="Times New Roman" w:hAnsi="Times New Roman" w:cs="Times New Roman"/>
          <w:sz w:val="20"/>
          <w:szCs w:val="20"/>
        </w:rPr>
        <w:t xml:space="preserve">Commonwealth Treasury, </w:t>
      </w:r>
      <w:r w:rsidRPr="00AE5A69">
        <w:rPr>
          <w:rFonts w:ascii="Times New Roman" w:hAnsi="Times New Roman" w:cs="Times New Roman"/>
          <w:i/>
          <w:sz w:val="20"/>
          <w:szCs w:val="20"/>
        </w:rPr>
        <w:t>Improving Australia’s Financial System – Government Response to the Financial System Inquiry</w:t>
      </w:r>
      <w:r w:rsidRPr="00AE5A69">
        <w:rPr>
          <w:rFonts w:ascii="Times New Roman" w:hAnsi="Times New Roman" w:cs="Times New Roman"/>
          <w:sz w:val="20"/>
          <w:szCs w:val="20"/>
        </w:rPr>
        <w:t xml:space="preserve"> (20 October 2015) 21; Commonwealth Treasury, ‘Raising professional standards of financial advisers’ (Consultation Notice, 3 December 2015) &lt;http://www.treasury.gov.au/ConsultationsandReviews/Consultations/2015/Raising-professional-standards-of-financial-advisers&gt;.</w:t>
      </w:r>
      <w:proofErr w:type="gramEnd"/>
    </w:p>
  </w:footnote>
  <w:footnote w:id="73">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 xml:space="preserve">Australian Law Reform Commission, </w:t>
      </w:r>
      <w:r w:rsidRPr="00AE5A69">
        <w:rPr>
          <w:rFonts w:ascii="Times New Roman" w:hAnsi="Times New Roman" w:cs="Times New Roman"/>
          <w:i/>
          <w:sz w:val="20"/>
          <w:szCs w:val="20"/>
        </w:rPr>
        <w:t>Elder Abuse</w:t>
      </w:r>
      <w:r w:rsidRPr="00AE5A69">
        <w:rPr>
          <w:rFonts w:ascii="Times New Roman" w:hAnsi="Times New Roman" w:cs="Times New Roman"/>
          <w:sz w:val="20"/>
          <w:szCs w:val="20"/>
        </w:rPr>
        <w:t>, Issues Paper No 47 (15 June 2016) 30 [108].</w:t>
      </w:r>
    </w:p>
  </w:footnote>
  <w:footnote w:id="74">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proofErr w:type="gramStart"/>
      <w:r w:rsidRPr="00AE5A69">
        <w:rPr>
          <w:rFonts w:ascii="Times New Roman" w:hAnsi="Times New Roman" w:cs="Times New Roman"/>
          <w:sz w:val="20"/>
          <w:szCs w:val="20"/>
        </w:rPr>
        <w:t>Ibid 30 [109]–[111].</w:t>
      </w:r>
      <w:proofErr w:type="gramEnd"/>
    </w:p>
  </w:footnote>
  <w:footnote w:id="75">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proofErr w:type="gramStart"/>
      <w:r w:rsidRPr="00AE5A69">
        <w:rPr>
          <w:rFonts w:ascii="Times New Roman" w:hAnsi="Times New Roman" w:cs="Times New Roman"/>
          <w:sz w:val="20"/>
          <w:szCs w:val="20"/>
        </w:rPr>
        <w:t>Ibid 30–1 [112].</w:t>
      </w:r>
      <w:proofErr w:type="gramEnd"/>
    </w:p>
  </w:footnote>
  <w:footnote w:id="76">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proofErr w:type="spellStart"/>
      <w:r w:rsidRPr="00AE5A69">
        <w:rPr>
          <w:rFonts w:ascii="Times New Roman" w:hAnsi="Times New Roman" w:cs="Times New Roman"/>
          <w:sz w:val="20"/>
          <w:szCs w:val="20"/>
        </w:rPr>
        <w:t>Peteris</w:t>
      </w:r>
      <w:proofErr w:type="spellEnd"/>
      <w:r w:rsidRPr="00AE5A69">
        <w:rPr>
          <w:rFonts w:ascii="Times New Roman" w:hAnsi="Times New Roman" w:cs="Times New Roman"/>
          <w:sz w:val="20"/>
          <w:szCs w:val="20"/>
        </w:rPr>
        <w:t xml:space="preserve"> </w:t>
      </w:r>
      <w:proofErr w:type="spellStart"/>
      <w:r w:rsidRPr="00AE5A69">
        <w:rPr>
          <w:rFonts w:ascii="Times New Roman" w:hAnsi="Times New Roman" w:cs="Times New Roman"/>
          <w:sz w:val="20"/>
          <w:szCs w:val="20"/>
        </w:rPr>
        <w:t>Darzins</w:t>
      </w:r>
      <w:proofErr w:type="spellEnd"/>
      <w:r w:rsidRPr="00AE5A69">
        <w:rPr>
          <w:rFonts w:ascii="Times New Roman" w:hAnsi="Times New Roman" w:cs="Times New Roman"/>
          <w:sz w:val="20"/>
          <w:szCs w:val="20"/>
        </w:rPr>
        <w:t xml:space="preserve"> et al, </w:t>
      </w:r>
      <w:r w:rsidRPr="00AE5A69">
        <w:rPr>
          <w:rFonts w:ascii="Times New Roman" w:hAnsi="Times New Roman" w:cs="Times New Roman"/>
          <w:i/>
          <w:sz w:val="20"/>
          <w:szCs w:val="20"/>
        </w:rPr>
        <w:t xml:space="preserve">Financial Abuse of Elders: </w:t>
      </w:r>
      <w:proofErr w:type="gramStart"/>
      <w:r w:rsidRPr="00AE5A69">
        <w:rPr>
          <w:rFonts w:ascii="Times New Roman" w:hAnsi="Times New Roman" w:cs="Times New Roman"/>
          <w:i/>
          <w:sz w:val="20"/>
          <w:szCs w:val="20"/>
        </w:rPr>
        <w:t>A Review of the Evidence – Protecting Elders’</w:t>
      </w:r>
      <w:proofErr w:type="gramEnd"/>
      <w:r w:rsidRPr="00AE5A69">
        <w:rPr>
          <w:rFonts w:ascii="Times New Roman" w:hAnsi="Times New Roman" w:cs="Times New Roman"/>
          <w:i/>
          <w:sz w:val="20"/>
          <w:szCs w:val="20"/>
        </w:rPr>
        <w:t xml:space="preserve"> Assets Study</w:t>
      </w:r>
      <w:r w:rsidRPr="00AE5A69">
        <w:rPr>
          <w:rFonts w:ascii="Times New Roman" w:hAnsi="Times New Roman" w:cs="Times New Roman"/>
          <w:sz w:val="20"/>
          <w:szCs w:val="20"/>
        </w:rPr>
        <w:t xml:space="preserve"> (Monash Institute of Health Services Research – Faculty of Medicine, Nursing and Health Sciences, 2009) 31.</w:t>
      </w:r>
    </w:p>
  </w:footnote>
  <w:footnote w:id="77">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John Chesterman, ‘Responding to Violence, Abuse, Exploitation and Neglect: Improving Our Protection of At-Risk Adults’ (Fellowship Report, Winston Churchill Memorial Trust of Australia, 2013) 34–5.</w:t>
      </w:r>
    </w:p>
  </w:footnote>
  <w:footnote w:id="78">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proofErr w:type="gramStart"/>
      <w:r w:rsidRPr="00AE5A69">
        <w:rPr>
          <w:rFonts w:ascii="Times New Roman" w:hAnsi="Times New Roman" w:cs="Times New Roman"/>
          <w:sz w:val="20"/>
          <w:szCs w:val="20"/>
        </w:rPr>
        <w:t>Mark Crofton, ‘To Investigate Guardianship Laws, Policy and Education in Order to Prevent and Prosecute Elder Financial Abuse’ (Fellowship Report, Winston Churchill Memorial Trust of Australia, 2011) 27–8.</w:t>
      </w:r>
      <w:proofErr w:type="gramEnd"/>
    </w:p>
  </w:footnote>
  <w:footnote w:id="79">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John Chesterman, ‘Responding to Violence, Abuse, Exploitation and Neglect: Improving Our Protection of At-Risk Adults’ (Fellowship Report, Winston Churchill Memorial Trust of Australia, 2013) 44–5.</w:t>
      </w:r>
    </w:p>
  </w:footnote>
  <w:footnote w:id="80">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proofErr w:type="gramStart"/>
      <w:r w:rsidRPr="00AE5A69">
        <w:rPr>
          <w:rFonts w:ascii="Times New Roman" w:hAnsi="Times New Roman" w:cs="Times New Roman"/>
          <w:sz w:val="20"/>
          <w:szCs w:val="20"/>
        </w:rPr>
        <w:t>Mark Crofton, ‘To Investigate Guardianship Laws, Policy and Education in Order to Prevent and Prosecute Elder Financial Abuse’ (Fellowship Report, Winston Churchill Memorial Trust of Australia, 2011) 28.</w:t>
      </w:r>
      <w:proofErr w:type="gramEnd"/>
    </w:p>
  </w:footnote>
  <w:footnote w:id="81">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John Chesterman, ‘Responding to Violence, Abuse, Exploitation and Neglect: Improving Our Protection of At-Risk Adults’ (Fellowship Report, Winston Churchill Memorial Trust of Australia, 2013) 47–8.</w:t>
      </w:r>
    </w:p>
  </w:footnote>
  <w:footnote w:id="82">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 xml:space="preserve">Ibid 72; </w:t>
      </w:r>
      <w:r w:rsidRPr="00AE5A69">
        <w:rPr>
          <w:rFonts w:ascii="Times New Roman" w:hAnsi="Times New Roman" w:cs="Times New Roman"/>
          <w:i/>
          <w:sz w:val="20"/>
          <w:szCs w:val="20"/>
        </w:rPr>
        <w:t>Guardianship and Administration Act 1986</w:t>
      </w:r>
      <w:r w:rsidRPr="00AE5A69">
        <w:rPr>
          <w:rFonts w:ascii="Times New Roman" w:hAnsi="Times New Roman" w:cs="Times New Roman"/>
          <w:sz w:val="20"/>
          <w:szCs w:val="20"/>
        </w:rPr>
        <w:t xml:space="preserve"> (Vic) s 16(1</w:t>
      </w:r>
      <w:proofErr w:type="gramStart"/>
      <w:r w:rsidRPr="00AE5A69">
        <w:rPr>
          <w:rFonts w:ascii="Times New Roman" w:hAnsi="Times New Roman" w:cs="Times New Roman"/>
          <w:sz w:val="20"/>
          <w:szCs w:val="20"/>
        </w:rPr>
        <w:t>)(</w:t>
      </w:r>
      <w:proofErr w:type="gramEnd"/>
      <w:r w:rsidRPr="00AE5A69">
        <w:rPr>
          <w:rFonts w:ascii="Times New Roman" w:hAnsi="Times New Roman" w:cs="Times New Roman"/>
          <w:sz w:val="20"/>
          <w:szCs w:val="20"/>
        </w:rPr>
        <w:t xml:space="preserve">h); </w:t>
      </w:r>
      <w:r w:rsidRPr="00AE5A69">
        <w:rPr>
          <w:rFonts w:ascii="Times New Roman" w:hAnsi="Times New Roman" w:cs="Times New Roman"/>
          <w:i/>
          <w:sz w:val="20"/>
          <w:szCs w:val="20"/>
        </w:rPr>
        <w:t>Guardianship and Administration Act 1990</w:t>
      </w:r>
      <w:r w:rsidRPr="00AE5A69">
        <w:rPr>
          <w:rFonts w:ascii="Times New Roman" w:hAnsi="Times New Roman" w:cs="Times New Roman"/>
          <w:sz w:val="20"/>
          <w:szCs w:val="20"/>
        </w:rPr>
        <w:t xml:space="preserve"> (WA) s 97(1)(c).</w:t>
      </w:r>
    </w:p>
  </w:footnote>
  <w:footnote w:id="83">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 xml:space="preserve">John Chesterman, ‘Responding to Violence, Abuse, Exploitation and Neglect: Improving Our Protection of At-Risk Adults’ (Fellowship Report, Winston Churchill Memorial Trust of Australia, 2013) 73; </w:t>
      </w:r>
      <w:r w:rsidRPr="00AE5A69">
        <w:rPr>
          <w:rFonts w:ascii="Times New Roman" w:hAnsi="Times New Roman" w:cs="Times New Roman"/>
          <w:i/>
          <w:sz w:val="20"/>
          <w:szCs w:val="20"/>
        </w:rPr>
        <w:t>Guardianship and Administration Act 2000</w:t>
      </w:r>
      <w:r w:rsidRPr="00AE5A69">
        <w:rPr>
          <w:rFonts w:ascii="Times New Roman" w:hAnsi="Times New Roman" w:cs="Times New Roman"/>
          <w:sz w:val="20"/>
          <w:szCs w:val="20"/>
        </w:rPr>
        <w:t xml:space="preserve"> (Qld) s 180.</w:t>
      </w:r>
    </w:p>
  </w:footnote>
  <w:footnote w:id="84">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 xml:space="preserve">Nicola Howell, ‘Revisiting the Australian Code of Banking Practice: Is Self-Regulation Still Relevant for Improving Consumer Protection Standards?’ </w:t>
      </w:r>
      <w:proofErr w:type="gramStart"/>
      <w:r w:rsidRPr="00AE5A69">
        <w:rPr>
          <w:rFonts w:ascii="Times New Roman" w:hAnsi="Times New Roman" w:cs="Times New Roman"/>
          <w:sz w:val="20"/>
          <w:szCs w:val="20"/>
        </w:rPr>
        <w:t xml:space="preserve">(2015) 38 </w:t>
      </w:r>
      <w:r w:rsidRPr="00AE5A69">
        <w:rPr>
          <w:rFonts w:ascii="Times New Roman" w:hAnsi="Times New Roman" w:cs="Times New Roman"/>
          <w:i/>
          <w:sz w:val="20"/>
          <w:szCs w:val="20"/>
        </w:rPr>
        <w:t>University of New South Wales Law Journal</w:t>
      </w:r>
      <w:r w:rsidRPr="00AE5A69">
        <w:rPr>
          <w:rFonts w:ascii="Times New Roman" w:hAnsi="Times New Roman" w:cs="Times New Roman"/>
          <w:sz w:val="20"/>
          <w:szCs w:val="20"/>
        </w:rPr>
        <w:t xml:space="preserve"> 544, 547.</w:t>
      </w:r>
      <w:proofErr w:type="gramEnd"/>
    </w:p>
  </w:footnote>
  <w:footnote w:id="85">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proofErr w:type="gramStart"/>
      <w:r w:rsidRPr="00AE5A69">
        <w:rPr>
          <w:rFonts w:ascii="Times New Roman" w:hAnsi="Times New Roman" w:cs="Times New Roman"/>
          <w:sz w:val="20"/>
          <w:szCs w:val="20"/>
        </w:rPr>
        <w:t>Ibid 583–4.</w:t>
      </w:r>
      <w:proofErr w:type="gramEnd"/>
    </w:p>
  </w:footnote>
  <w:footnote w:id="86">
    <w:p w:rsidR="003F7C50" w:rsidRPr="00AE5A69" w:rsidRDefault="003F7C50" w:rsidP="00D40BBB">
      <w:pPr>
        <w:ind w:left="567" w:hanging="567"/>
        <w:outlineLvl w:val="1"/>
        <w:rPr>
          <w:rFonts w:ascii="Times New Roman" w:eastAsia="Times New Roman" w:hAnsi="Times New Roman" w:cs="Times New Roman"/>
          <w:bCs/>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 xml:space="preserve">Australian Law Reform Commission, </w:t>
      </w:r>
      <w:r w:rsidRPr="00AE5A69">
        <w:rPr>
          <w:rFonts w:ascii="Times New Roman" w:hAnsi="Times New Roman" w:cs="Times New Roman"/>
          <w:i/>
          <w:iCs/>
          <w:sz w:val="20"/>
          <w:szCs w:val="20"/>
        </w:rPr>
        <w:t>Elder Abuse</w:t>
      </w:r>
      <w:r w:rsidRPr="00AE5A69">
        <w:rPr>
          <w:rFonts w:ascii="Times New Roman" w:hAnsi="Times New Roman" w:cs="Times New Roman"/>
          <w:sz w:val="20"/>
          <w:szCs w:val="20"/>
        </w:rPr>
        <w:t>, Issues Paper No 47 (2016) 31 [113].</w:t>
      </w:r>
    </w:p>
  </w:footnote>
  <w:footnote w:id="87">
    <w:p w:rsidR="003F7C50" w:rsidRPr="00AE5A69" w:rsidRDefault="003F7C50" w:rsidP="00D40BBB">
      <w:pPr>
        <w:ind w:left="567" w:hanging="567"/>
        <w:rPr>
          <w:rFonts w:ascii="Times New Roman" w:eastAsiaTheme="minorHAnsi"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proofErr w:type="gramStart"/>
      <w:r w:rsidRPr="00AE5A69">
        <w:rPr>
          <w:rFonts w:ascii="Times New Roman" w:hAnsi="Times New Roman" w:cs="Times New Roman"/>
          <w:sz w:val="20"/>
          <w:szCs w:val="20"/>
        </w:rPr>
        <w:t>Ibid 31 [113].</w:t>
      </w:r>
      <w:proofErr w:type="gramEnd"/>
    </w:p>
  </w:footnote>
  <w:footnote w:id="88">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proofErr w:type="gramStart"/>
      <w:r w:rsidRPr="00AE5A69">
        <w:rPr>
          <w:rFonts w:ascii="Times New Roman" w:hAnsi="Times New Roman" w:cs="Times New Roman"/>
          <w:sz w:val="20"/>
          <w:szCs w:val="20"/>
        </w:rPr>
        <w:t>Ibid 31 [114].</w:t>
      </w:r>
      <w:proofErr w:type="gramEnd"/>
      <w:r w:rsidRPr="00AE5A69">
        <w:rPr>
          <w:rFonts w:ascii="Times New Roman" w:hAnsi="Times New Roman" w:cs="Times New Roman"/>
          <w:sz w:val="20"/>
          <w:szCs w:val="20"/>
        </w:rPr>
        <w:t xml:space="preserve"> </w:t>
      </w:r>
    </w:p>
  </w:footnote>
  <w:footnote w:id="89">
    <w:p w:rsidR="003F7C50" w:rsidRPr="00AE5A69" w:rsidRDefault="003F7C50" w:rsidP="00D40BBB">
      <w:pPr>
        <w:ind w:left="567" w:hanging="567"/>
        <w:jc w:val="both"/>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 xml:space="preserve">Margaret Isabel Hall, ‘Care for Life: Private Care Agreements between Older Adults and Friends or Family Members’ (2003) 2 </w:t>
      </w:r>
      <w:r w:rsidRPr="00AE5A69">
        <w:rPr>
          <w:rFonts w:ascii="Times New Roman" w:hAnsi="Times New Roman" w:cs="Times New Roman"/>
          <w:i/>
          <w:sz w:val="20"/>
          <w:szCs w:val="20"/>
        </w:rPr>
        <w:t>Elder Law Review</w:t>
      </w:r>
      <w:r w:rsidRPr="00AE5A69">
        <w:rPr>
          <w:rFonts w:ascii="Times New Roman" w:hAnsi="Times New Roman" w:cs="Times New Roman"/>
          <w:sz w:val="20"/>
          <w:szCs w:val="20"/>
        </w:rPr>
        <w:t xml:space="preserve"> 1.</w:t>
      </w:r>
    </w:p>
  </w:footnote>
  <w:footnote w:id="90">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proofErr w:type="gramStart"/>
      <w:r w:rsidRPr="00AE5A69">
        <w:rPr>
          <w:rFonts w:ascii="Times New Roman" w:hAnsi="Times New Roman" w:cs="Times New Roman"/>
          <w:sz w:val="20"/>
          <w:szCs w:val="20"/>
        </w:rPr>
        <w:t>Ibid 1.</w:t>
      </w:r>
      <w:proofErr w:type="gramEnd"/>
    </w:p>
  </w:footnote>
  <w:footnote w:id="91">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 xml:space="preserve">Rosslyn </w:t>
      </w:r>
      <w:proofErr w:type="spellStart"/>
      <w:r w:rsidRPr="00AE5A69">
        <w:rPr>
          <w:rFonts w:ascii="Times New Roman" w:hAnsi="Times New Roman" w:cs="Times New Roman"/>
          <w:sz w:val="20"/>
          <w:szCs w:val="20"/>
        </w:rPr>
        <w:t>Monro</w:t>
      </w:r>
      <w:proofErr w:type="spellEnd"/>
      <w:r w:rsidRPr="00AE5A69">
        <w:rPr>
          <w:rFonts w:ascii="Times New Roman" w:hAnsi="Times New Roman" w:cs="Times New Roman"/>
          <w:sz w:val="20"/>
          <w:szCs w:val="20"/>
        </w:rPr>
        <w:t xml:space="preserve">, ‘Family Agreements: All with the Best of Intentions’ (2002) 27 </w:t>
      </w:r>
      <w:r w:rsidRPr="00AE5A69">
        <w:rPr>
          <w:rFonts w:ascii="Times New Roman" w:hAnsi="Times New Roman" w:cs="Times New Roman"/>
          <w:i/>
          <w:sz w:val="20"/>
          <w:szCs w:val="20"/>
        </w:rPr>
        <w:t>Alternative Law Journal</w:t>
      </w:r>
      <w:r w:rsidRPr="00AE5A69">
        <w:rPr>
          <w:rFonts w:ascii="Times New Roman" w:hAnsi="Times New Roman" w:cs="Times New Roman"/>
          <w:sz w:val="20"/>
          <w:szCs w:val="20"/>
        </w:rPr>
        <w:t xml:space="preserve"> 68, 71.</w:t>
      </w:r>
    </w:p>
  </w:footnote>
  <w:footnote w:id="92">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Ibid.</w:t>
      </w:r>
    </w:p>
  </w:footnote>
  <w:footnote w:id="93">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Ibid.</w:t>
      </w:r>
    </w:p>
  </w:footnote>
  <w:footnote w:id="94">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Ibid.</w:t>
      </w:r>
    </w:p>
  </w:footnote>
  <w:footnote w:id="95">
    <w:p w:rsidR="003F7C50" w:rsidRPr="00AE5A69" w:rsidRDefault="003F7C50" w:rsidP="00D40BBB">
      <w:pPr>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Margaret Isabel Hall, ‘</w:t>
      </w:r>
      <w:proofErr w:type="gramStart"/>
      <w:r w:rsidRPr="00AE5A69">
        <w:rPr>
          <w:rFonts w:ascii="Times New Roman" w:hAnsi="Times New Roman" w:cs="Times New Roman"/>
          <w:sz w:val="20"/>
          <w:szCs w:val="20"/>
        </w:rPr>
        <w:t>The</w:t>
      </w:r>
      <w:proofErr w:type="gramEnd"/>
      <w:r w:rsidRPr="00AE5A69">
        <w:rPr>
          <w:rFonts w:ascii="Times New Roman" w:hAnsi="Times New Roman" w:cs="Times New Roman"/>
          <w:sz w:val="20"/>
          <w:szCs w:val="20"/>
        </w:rPr>
        <w:t xml:space="preserve"> Care Agreement: Transfer of Property in Exchange for the Promise of Care and Support’ (2002) 21 </w:t>
      </w:r>
      <w:r w:rsidRPr="00AE5A69">
        <w:rPr>
          <w:rFonts w:ascii="Times New Roman" w:hAnsi="Times New Roman" w:cs="Times New Roman"/>
          <w:i/>
          <w:sz w:val="20"/>
          <w:szCs w:val="20"/>
        </w:rPr>
        <w:t>Estates, Trusts &amp; Pensions Journal</w:t>
      </w:r>
      <w:r w:rsidRPr="00AE5A69">
        <w:rPr>
          <w:rFonts w:ascii="Times New Roman" w:hAnsi="Times New Roman" w:cs="Times New Roman"/>
          <w:sz w:val="20"/>
          <w:szCs w:val="20"/>
        </w:rPr>
        <w:t xml:space="preserve"> 209,</w:t>
      </w:r>
      <w:r w:rsidRPr="00AE5A69">
        <w:rPr>
          <w:rFonts w:ascii="Times New Roman" w:hAnsi="Times New Roman" w:cs="Times New Roman"/>
          <w:i/>
          <w:sz w:val="20"/>
          <w:szCs w:val="20"/>
        </w:rPr>
        <w:t xml:space="preserve"> </w:t>
      </w:r>
      <w:r w:rsidRPr="00AE5A69">
        <w:rPr>
          <w:rFonts w:ascii="Times New Roman" w:hAnsi="Times New Roman" w:cs="Times New Roman"/>
          <w:sz w:val="20"/>
          <w:szCs w:val="20"/>
        </w:rPr>
        <w:t xml:space="preserve">271–2. </w:t>
      </w:r>
    </w:p>
  </w:footnote>
  <w:footnote w:id="96">
    <w:p w:rsidR="003F7C50" w:rsidRPr="00AE5A69" w:rsidRDefault="003F7C50" w:rsidP="00D40BBB">
      <w:pPr>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Ibid.</w:t>
      </w:r>
    </w:p>
  </w:footnote>
  <w:footnote w:id="97">
    <w:p w:rsidR="003F7C50" w:rsidRPr="00AE5A69" w:rsidRDefault="003F7C50" w:rsidP="00D40BBB">
      <w:pPr>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Ibid.</w:t>
      </w:r>
    </w:p>
  </w:footnote>
  <w:footnote w:id="98">
    <w:p w:rsidR="003F7C50" w:rsidRPr="00AE5A69" w:rsidRDefault="003F7C50" w:rsidP="00D40BBB">
      <w:pPr>
        <w:ind w:left="567" w:hanging="567"/>
        <w:jc w:val="both"/>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 xml:space="preserve">Rosslyn </w:t>
      </w:r>
      <w:proofErr w:type="spellStart"/>
      <w:r w:rsidRPr="00AE5A69">
        <w:rPr>
          <w:rFonts w:ascii="Times New Roman" w:hAnsi="Times New Roman" w:cs="Times New Roman"/>
          <w:sz w:val="20"/>
          <w:szCs w:val="20"/>
        </w:rPr>
        <w:t>Monro</w:t>
      </w:r>
      <w:proofErr w:type="spellEnd"/>
      <w:r w:rsidRPr="00AE5A69">
        <w:rPr>
          <w:rFonts w:ascii="Times New Roman" w:hAnsi="Times New Roman" w:cs="Times New Roman"/>
          <w:sz w:val="20"/>
          <w:szCs w:val="20"/>
        </w:rPr>
        <w:t xml:space="preserve">, ‘Family Agreements: All with the Best of Intentions’ (2002) 27(2) </w:t>
      </w:r>
      <w:r w:rsidRPr="00AE5A69">
        <w:rPr>
          <w:rFonts w:ascii="Times New Roman" w:hAnsi="Times New Roman" w:cs="Times New Roman"/>
          <w:i/>
          <w:sz w:val="20"/>
          <w:szCs w:val="20"/>
        </w:rPr>
        <w:t>Alternative Law Journal</w:t>
      </w:r>
      <w:r w:rsidRPr="00AE5A69">
        <w:rPr>
          <w:rFonts w:ascii="Times New Roman" w:hAnsi="Times New Roman" w:cs="Times New Roman"/>
          <w:sz w:val="20"/>
          <w:szCs w:val="20"/>
        </w:rPr>
        <w:t xml:space="preserve"> 68, 70.</w:t>
      </w:r>
    </w:p>
  </w:footnote>
  <w:footnote w:id="99">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proofErr w:type="gramStart"/>
      <w:r w:rsidRPr="00AE5A69">
        <w:rPr>
          <w:rFonts w:ascii="Times New Roman" w:hAnsi="Times New Roman" w:cs="Times New Roman"/>
          <w:sz w:val="20"/>
          <w:szCs w:val="20"/>
        </w:rPr>
        <w:t>(1995) 64 SASR 396.</w:t>
      </w:r>
      <w:proofErr w:type="gramEnd"/>
    </w:p>
  </w:footnote>
  <w:footnote w:id="100">
    <w:p w:rsidR="003F7C50" w:rsidRPr="00AE5A69" w:rsidRDefault="003F7C50" w:rsidP="00D40BBB">
      <w:pPr>
        <w:ind w:left="567" w:hanging="567"/>
        <w:rPr>
          <w:rFonts w:ascii="Times New Roman" w:hAnsi="Times New Roman" w:cs="Times New Roman"/>
          <w:sz w:val="20"/>
          <w:szCs w:val="20"/>
          <w:lang w:val="en-US"/>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proofErr w:type="gramStart"/>
      <w:r w:rsidRPr="00AE5A69">
        <w:rPr>
          <w:rFonts w:ascii="Times New Roman" w:hAnsi="Times New Roman" w:cs="Times New Roman"/>
          <w:sz w:val="20"/>
          <w:szCs w:val="20"/>
        </w:rPr>
        <w:t>Ibid 398 (Perry J).</w:t>
      </w:r>
      <w:proofErr w:type="gramEnd"/>
      <w:r>
        <w:rPr>
          <w:rFonts w:ascii="Times New Roman" w:hAnsi="Times New Roman" w:cs="Times New Roman"/>
          <w:sz w:val="20"/>
          <w:szCs w:val="20"/>
        </w:rPr>
        <w:t xml:space="preserve"> </w:t>
      </w:r>
    </w:p>
  </w:footnote>
  <w:footnote w:id="101">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Ibid 400</w:t>
      </w:r>
    </w:p>
  </w:footnote>
  <w:footnote w:id="102">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proofErr w:type="gramStart"/>
      <w:r w:rsidRPr="00AE5A69">
        <w:rPr>
          <w:rFonts w:ascii="Times New Roman" w:hAnsi="Times New Roman" w:cs="Times New Roman"/>
          <w:sz w:val="20"/>
          <w:szCs w:val="20"/>
        </w:rPr>
        <w:t>Ibid 401.</w:t>
      </w:r>
      <w:proofErr w:type="gramEnd"/>
    </w:p>
  </w:footnote>
  <w:footnote w:id="103">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proofErr w:type="gramStart"/>
      <w:r w:rsidRPr="00AE5A69">
        <w:rPr>
          <w:rFonts w:ascii="Times New Roman" w:hAnsi="Times New Roman" w:cs="Times New Roman"/>
          <w:sz w:val="20"/>
          <w:szCs w:val="20"/>
        </w:rPr>
        <w:t>Ibid 406.</w:t>
      </w:r>
      <w:proofErr w:type="gramEnd"/>
    </w:p>
  </w:footnote>
  <w:footnote w:id="104">
    <w:p w:rsidR="003F7C50" w:rsidRPr="00AE5A69" w:rsidRDefault="003F7C50" w:rsidP="00D40BBB">
      <w:pPr>
        <w:pStyle w:val="FootnoteText"/>
        <w:ind w:left="567" w:hanging="567"/>
        <w:rPr>
          <w:rFonts w:ascii="Times New Roman" w:hAnsi="Times New Roman" w:cs="Times New Roman"/>
          <w:sz w:val="20"/>
          <w:szCs w:val="20"/>
          <w:lang w:val="en-US"/>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proofErr w:type="gramStart"/>
      <w:r w:rsidRPr="00AE5A69">
        <w:rPr>
          <w:rFonts w:ascii="Times New Roman" w:hAnsi="Times New Roman" w:cs="Times New Roman"/>
          <w:sz w:val="20"/>
          <w:szCs w:val="20"/>
        </w:rPr>
        <w:t>Ibid 407.</w:t>
      </w:r>
      <w:proofErr w:type="gramEnd"/>
    </w:p>
  </w:footnote>
  <w:footnote w:id="105">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proofErr w:type="gramStart"/>
      <w:r w:rsidRPr="00AE5A69">
        <w:rPr>
          <w:rFonts w:ascii="Times New Roman" w:hAnsi="Times New Roman" w:cs="Times New Roman"/>
          <w:sz w:val="20"/>
          <w:szCs w:val="20"/>
        </w:rPr>
        <w:t>[1982] 1 NSWLR 61.</w:t>
      </w:r>
      <w:proofErr w:type="gramEnd"/>
      <w:r w:rsidRPr="00AE5A69">
        <w:rPr>
          <w:rFonts w:ascii="Times New Roman" w:hAnsi="Times New Roman" w:cs="Times New Roman"/>
          <w:sz w:val="20"/>
          <w:szCs w:val="20"/>
        </w:rPr>
        <w:t xml:space="preserve"> </w:t>
      </w:r>
    </w:p>
  </w:footnote>
  <w:footnote w:id="106">
    <w:p w:rsidR="003F7C50" w:rsidRPr="00AE5A69" w:rsidRDefault="003F7C50" w:rsidP="00D40BBB">
      <w:pPr>
        <w:shd w:val="clear" w:color="auto" w:fill="FFFFFF"/>
        <w:ind w:left="567" w:hanging="567"/>
        <w:rPr>
          <w:rFonts w:ascii="Times New Roman" w:eastAsia="Times New Roman" w:hAnsi="Times New Roman" w:cs="Times New Roman"/>
          <w:sz w:val="20"/>
          <w:szCs w:val="20"/>
          <w:lang w:val="en-US"/>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proofErr w:type="gramStart"/>
      <w:r w:rsidRPr="00AE5A69">
        <w:rPr>
          <w:rFonts w:ascii="Times New Roman" w:eastAsia="Times New Roman" w:hAnsi="Times New Roman" w:cs="Times New Roman"/>
          <w:sz w:val="20"/>
          <w:szCs w:val="20"/>
        </w:rPr>
        <w:t>Ibid 63 (</w:t>
      </w:r>
      <w:proofErr w:type="spellStart"/>
      <w:r w:rsidRPr="00AE5A69">
        <w:rPr>
          <w:rFonts w:ascii="Times New Roman" w:hAnsi="Times New Roman" w:cs="Times New Roman"/>
          <w:sz w:val="20"/>
          <w:szCs w:val="20"/>
        </w:rPr>
        <w:t>McLelland</w:t>
      </w:r>
      <w:proofErr w:type="spellEnd"/>
      <w:r w:rsidRPr="00AE5A69">
        <w:rPr>
          <w:rFonts w:ascii="Times New Roman" w:hAnsi="Times New Roman" w:cs="Times New Roman"/>
          <w:sz w:val="20"/>
          <w:szCs w:val="20"/>
        </w:rPr>
        <w:t xml:space="preserve"> J).</w:t>
      </w:r>
      <w:proofErr w:type="gramEnd"/>
    </w:p>
  </w:footnote>
  <w:footnote w:id="107">
    <w:p w:rsidR="003F7C50" w:rsidRPr="00AE5A69" w:rsidRDefault="003F7C50" w:rsidP="00D40BBB">
      <w:pPr>
        <w:shd w:val="clear" w:color="auto" w:fill="FFFFFF"/>
        <w:ind w:left="567" w:hanging="567"/>
        <w:rPr>
          <w:rFonts w:ascii="Times New Roman" w:eastAsia="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Ibid.</w:t>
      </w:r>
    </w:p>
  </w:footnote>
  <w:footnote w:id="108">
    <w:p w:rsidR="003F7C50" w:rsidRPr="00AE5A69" w:rsidRDefault="003F7C50" w:rsidP="00D40BBB">
      <w:pPr>
        <w:shd w:val="clear" w:color="auto" w:fill="FFFFFF"/>
        <w:ind w:left="567" w:hanging="567"/>
        <w:rPr>
          <w:rFonts w:ascii="Times New Roman" w:eastAsia="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Ibid</w:t>
      </w:r>
      <w:r w:rsidRPr="00AE5A69">
        <w:rPr>
          <w:rFonts w:ascii="Times New Roman" w:eastAsia="Times New Roman" w:hAnsi="Times New Roman" w:cs="Times New Roman"/>
          <w:sz w:val="20"/>
          <w:szCs w:val="20"/>
        </w:rPr>
        <w:t>.</w:t>
      </w:r>
    </w:p>
  </w:footnote>
  <w:footnote w:id="109">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proofErr w:type="gramStart"/>
      <w:r w:rsidRPr="00AE5A69">
        <w:rPr>
          <w:rFonts w:ascii="Times New Roman" w:hAnsi="Times New Roman" w:cs="Times New Roman"/>
          <w:sz w:val="20"/>
          <w:szCs w:val="20"/>
        </w:rPr>
        <w:t>Ibid 64.</w:t>
      </w:r>
      <w:proofErr w:type="gramEnd"/>
    </w:p>
  </w:footnote>
  <w:footnote w:id="110">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proofErr w:type="gramStart"/>
      <w:r w:rsidRPr="00AE5A69">
        <w:rPr>
          <w:rFonts w:ascii="Times New Roman" w:hAnsi="Times New Roman" w:cs="Times New Roman"/>
          <w:sz w:val="20"/>
          <w:szCs w:val="20"/>
        </w:rPr>
        <w:t>Ibid.</w:t>
      </w:r>
      <w:proofErr w:type="gramEnd"/>
      <w:r w:rsidRPr="00AE5A69">
        <w:rPr>
          <w:rFonts w:ascii="Times New Roman" w:hAnsi="Times New Roman" w:cs="Times New Roman"/>
          <w:sz w:val="20"/>
          <w:szCs w:val="20"/>
        </w:rPr>
        <w:t xml:space="preserve"> </w:t>
      </w:r>
    </w:p>
  </w:footnote>
  <w:footnote w:id="111">
    <w:p w:rsidR="003F7C50" w:rsidRPr="00AE5A69" w:rsidRDefault="003F7C50" w:rsidP="00D40BBB">
      <w:pPr>
        <w:pStyle w:val="FootnoteText"/>
        <w:ind w:left="567" w:hanging="567"/>
        <w:rPr>
          <w:rFonts w:ascii="Times New Roman" w:hAnsi="Times New Roman" w:cs="Times New Roman"/>
          <w:sz w:val="20"/>
          <w:szCs w:val="20"/>
          <w:lang w:val="en-US"/>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 xml:space="preserve">Australian Law Reform Commission, </w:t>
      </w:r>
      <w:r w:rsidRPr="00AE5A69">
        <w:rPr>
          <w:rFonts w:ascii="Times New Roman" w:hAnsi="Times New Roman" w:cs="Times New Roman"/>
          <w:i/>
          <w:iCs/>
          <w:sz w:val="20"/>
          <w:szCs w:val="20"/>
        </w:rPr>
        <w:t>Elder Abuse</w:t>
      </w:r>
      <w:r w:rsidRPr="00AE5A69">
        <w:rPr>
          <w:rFonts w:ascii="Times New Roman" w:hAnsi="Times New Roman" w:cs="Times New Roman"/>
          <w:sz w:val="20"/>
          <w:szCs w:val="20"/>
        </w:rPr>
        <w:t>, Issues Paper No 47 (2016) 31 [115].</w:t>
      </w:r>
    </w:p>
  </w:footnote>
  <w:footnote w:id="112">
    <w:p w:rsidR="003F7C50" w:rsidRPr="00AE5A69" w:rsidRDefault="003F7C50" w:rsidP="00D40BBB">
      <w:pPr>
        <w:ind w:left="567" w:hanging="567"/>
        <w:outlineLvl w:val="1"/>
        <w:rPr>
          <w:rFonts w:ascii="Times New Roman" w:eastAsia="Times New Roman" w:hAnsi="Times New Roman" w:cs="Times New Roman"/>
          <w:bCs/>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r w:rsidRPr="00AE5A69">
        <w:rPr>
          <w:rFonts w:ascii="Times New Roman" w:eastAsia="Times New Roman" w:hAnsi="Times New Roman" w:cs="Times New Roman"/>
          <w:bCs/>
          <w:sz w:val="20"/>
          <w:szCs w:val="20"/>
        </w:rPr>
        <w:t xml:space="preserve">Louise Kyle, ‘Out of the Shadows: A Discussion on Law Reform for the Prevention of Financial Abuse of Older People’ (2013) 7 </w:t>
      </w:r>
      <w:r w:rsidRPr="00AE5A69">
        <w:rPr>
          <w:rFonts w:ascii="Times New Roman" w:eastAsia="Times New Roman" w:hAnsi="Times New Roman" w:cs="Times New Roman"/>
          <w:bCs/>
          <w:i/>
          <w:sz w:val="20"/>
          <w:szCs w:val="20"/>
        </w:rPr>
        <w:t>Elder Law Review</w:t>
      </w:r>
      <w:r w:rsidRPr="00AE5A69">
        <w:rPr>
          <w:rFonts w:ascii="Times New Roman" w:eastAsia="Times New Roman" w:hAnsi="Times New Roman" w:cs="Times New Roman"/>
          <w:bCs/>
          <w:sz w:val="20"/>
          <w:szCs w:val="20"/>
        </w:rPr>
        <w:t xml:space="preserve"> 1; Brian Herd, ‘</w:t>
      </w:r>
      <w:proofErr w:type="gramStart"/>
      <w:r w:rsidRPr="00AE5A69">
        <w:rPr>
          <w:rFonts w:ascii="Times New Roman" w:eastAsia="Times New Roman" w:hAnsi="Times New Roman" w:cs="Times New Roman"/>
          <w:bCs/>
          <w:sz w:val="20"/>
          <w:szCs w:val="20"/>
        </w:rPr>
        <w:t>The</w:t>
      </w:r>
      <w:proofErr w:type="gramEnd"/>
      <w:r w:rsidRPr="00AE5A69">
        <w:rPr>
          <w:rFonts w:ascii="Times New Roman" w:eastAsia="Times New Roman" w:hAnsi="Times New Roman" w:cs="Times New Roman"/>
          <w:bCs/>
          <w:sz w:val="20"/>
          <w:szCs w:val="20"/>
        </w:rPr>
        <w:t xml:space="preserve"> Family Agreement – A Collision between Love and the Law?’ </w:t>
      </w:r>
      <w:proofErr w:type="gramStart"/>
      <w:r w:rsidRPr="00AE5A69">
        <w:rPr>
          <w:rFonts w:ascii="Times New Roman" w:eastAsia="Times New Roman" w:hAnsi="Times New Roman" w:cs="Times New Roman"/>
          <w:bCs/>
          <w:sz w:val="20"/>
          <w:szCs w:val="20"/>
        </w:rPr>
        <w:t xml:space="preserve">(2002) 81 </w:t>
      </w:r>
      <w:r w:rsidRPr="00AE5A69">
        <w:rPr>
          <w:rFonts w:ascii="Times New Roman" w:eastAsia="Times New Roman" w:hAnsi="Times New Roman" w:cs="Times New Roman"/>
          <w:bCs/>
          <w:i/>
          <w:sz w:val="20"/>
          <w:szCs w:val="20"/>
        </w:rPr>
        <w:t xml:space="preserve">Australian Law Reform Commission Reform Journal </w:t>
      </w:r>
      <w:r w:rsidRPr="00AE5A69">
        <w:rPr>
          <w:rFonts w:ascii="Times New Roman" w:eastAsia="Times New Roman" w:hAnsi="Times New Roman" w:cs="Times New Roman"/>
          <w:bCs/>
          <w:sz w:val="20"/>
          <w:szCs w:val="20"/>
        </w:rPr>
        <w:t>23, 26.</w:t>
      </w:r>
      <w:proofErr w:type="gramEnd"/>
    </w:p>
  </w:footnote>
  <w:footnote w:id="113">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proofErr w:type="gramStart"/>
      <w:r w:rsidRPr="00AE5A69">
        <w:rPr>
          <w:rFonts w:ascii="Times New Roman" w:hAnsi="Times New Roman" w:cs="Times New Roman"/>
          <w:i/>
          <w:sz w:val="20"/>
          <w:szCs w:val="20"/>
        </w:rPr>
        <w:t xml:space="preserve">Family Law Act 1975 </w:t>
      </w:r>
      <w:r w:rsidRPr="00AE5A69">
        <w:rPr>
          <w:rFonts w:ascii="Times New Roman" w:hAnsi="Times New Roman" w:cs="Times New Roman"/>
          <w:sz w:val="20"/>
          <w:szCs w:val="20"/>
        </w:rPr>
        <w:t>(</w:t>
      </w:r>
      <w:proofErr w:type="spellStart"/>
      <w:r w:rsidRPr="00AE5A69">
        <w:rPr>
          <w:rFonts w:ascii="Times New Roman" w:hAnsi="Times New Roman" w:cs="Times New Roman"/>
          <w:sz w:val="20"/>
          <w:szCs w:val="20"/>
        </w:rPr>
        <w:t>Cth</w:t>
      </w:r>
      <w:proofErr w:type="spellEnd"/>
      <w:r w:rsidRPr="00AE5A69">
        <w:rPr>
          <w:rFonts w:ascii="Times New Roman" w:hAnsi="Times New Roman" w:cs="Times New Roman"/>
          <w:sz w:val="20"/>
          <w:szCs w:val="20"/>
        </w:rPr>
        <w:t>) pt VIIIA.</w:t>
      </w:r>
      <w:proofErr w:type="gramEnd"/>
    </w:p>
  </w:footnote>
  <w:footnote w:id="114">
    <w:p w:rsidR="003F7C50" w:rsidRPr="00AE5A69" w:rsidRDefault="003F7C50" w:rsidP="00D40BBB">
      <w:pPr>
        <w:pStyle w:val="FootnoteText"/>
        <w:ind w:left="567" w:hanging="567"/>
        <w:rPr>
          <w:rFonts w:ascii="Times New Roman" w:hAnsi="Times New Roman" w:cs="Times New Roman"/>
          <w:sz w:val="20"/>
          <w:szCs w:val="20"/>
          <w:lang w:val="en-US"/>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Brian Herd, ‘</w:t>
      </w:r>
      <w:proofErr w:type="gramStart"/>
      <w:r w:rsidRPr="00AE5A69">
        <w:rPr>
          <w:rFonts w:ascii="Times New Roman" w:hAnsi="Times New Roman" w:cs="Times New Roman"/>
          <w:sz w:val="20"/>
          <w:szCs w:val="20"/>
        </w:rPr>
        <w:t>The</w:t>
      </w:r>
      <w:proofErr w:type="gramEnd"/>
      <w:r w:rsidRPr="00AE5A69">
        <w:rPr>
          <w:rFonts w:ascii="Times New Roman" w:hAnsi="Times New Roman" w:cs="Times New Roman"/>
          <w:sz w:val="20"/>
          <w:szCs w:val="20"/>
        </w:rPr>
        <w:t xml:space="preserve"> Family Agreement – A Collision between Love and the Law?’ </w:t>
      </w:r>
      <w:proofErr w:type="gramStart"/>
      <w:r w:rsidRPr="00AE5A69">
        <w:rPr>
          <w:rFonts w:ascii="Times New Roman" w:hAnsi="Times New Roman" w:cs="Times New Roman"/>
          <w:sz w:val="20"/>
          <w:szCs w:val="20"/>
        </w:rPr>
        <w:t xml:space="preserve">(2002) 81 </w:t>
      </w:r>
      <w:r w:rsidRPr="00AE5A69">
        <w:rPr>
          <w:rFonts w:ascii="Times New Roman" w:hAnsi="Times New Roman" w:cs="Times New Roman"/>
          <w:i/>
          <w:sz w:val="20"/>
          <w:szCs w:val="20"/>
        </w:rPr>
        <w:t xml:space="preserve">Australian Law Reform Commission Reform Journal </w:t>
      </w:r>
      <w:r w:rsidRPr="00AE5A69">
        <w:rPr>
          <w:rFonts w:ascii="Times New Roman" w:hAnsi="Times New Roman" w:cs="Times New Roman"/>
          <w:sz w:val="20"/>
          <w:szCs w:val="20"/>
        </w:rPr>
        <w:t>23, 23.</w:t>
      </w:r>
      <w:proofErr w:type="gramEnd"/>
      <w:r w:rsidRPr="00AE5A69">
        <w:rPr>
          <w:rFonts w:ascii="Times New Roman" w:hAnsi="Times New Roman" w:cs="Times New Roman"/>
          <w:sz w:val="20"/>
          <w:szCs w:val="20"/>
        </w:rPr>
        <w:t xml:space="preserve"> </w:t>
      </w:r>
    </w:p>
  </w:footnote>
  <w:footnote w:id="115">
    <w:p w:rsidR="003F7C50" w:rsidRPr="00AE5A69" w:rsidRDefault="003F7C50" w:rsidP="00D40BBB">
      <w:pPr>
        <w:pStyle w:val="NormalWeb"/>
        <w:spacing w:before="0" w:beforeAutospacing="0" w:after="0" w:afterAutospacing="0"/>
        <w:ind w:left="567" w:hanging="567"/>
        <w:rPr>
          <w:rFonts w:ascii="Times New Roman" w:hAnsi="Times New Roman"/>
        </w:rPr>
      </w:pPr>
      <w:r w:rsidRPr="00AE5A69">
        <w:rPr>
          <w:rStyle w:val="FootnoteReference"/>
          <w:rFonts w:ascii="Times New Roman" w:hAnsi="Times New Roman"/>
        </w:rPr>
        <w:footnoteRef/>
      </w:r>
      <w:r w:rsidRPr="00AE5A69">
        <w:rPr>
          <w:rFonts w:ascii="Times New Roman" w:hAnsi="Times New Roman"/>
        </w:rPr>
        <w:t xml:space="preserve"> </w:t>
      </w:r>
      <w:r w:rsidRPr="00AE5A69">
        <w:rPr>
          <w:rFonts w:ascii="Times New Roman" w:hAnsi="Times New Roman"/>
        </w:rPr>
        <w:tab/>
        <w:t xml:space="preserve">See, </w:t>
      </w:r>
      <w:proofErr w:type="spellStart"/>
      <w:r w:rsidRPr="00AE5A69">
        <w:rPr>
          <w:rFonts w:ascii="Times New Roman" w:hAnsi="Times New Roman"/>
        </w:rPr>
        <w:t>eg</w:t>
      </w:r>
      <w:proofErr w:type="spellEnd"/>
      <w:r w:rsidRPr="00AE5A69">
        <w:rPr>
          <w:rFonts w:ascii="Times New Roman" w:hAnsi="Times New Roman"/>
        </w:rPr>
        <w:t xml:space="preserve">, Caxton Legal Centre, Submission No 112 to House of Representatives Standing Committee on Legal and Constitutional Affairs, Parliament of Australia, </w:t>
      </w:r>
      <w:r w:rsidRPr="00AE5A69">
        <w:rPr>
          <w:rFonts w:ascii="Times New Roman" w:hAnsi="Times New Roman"/>
          <w:i/>
        </w:rPr>
        <w:t>Inquiry into Older People and the Law</w:t>
      </w:r>
      <w:r w:rsidRPr="00AE5A69">
        <w:rPr>
          <w:rFonts w:ascii="Times New Roman" w:hAnsi="Times New Roman"/>
        </w:rPr>
        <w:t>, 20 February 2007, 26.</w:t>
      </w:r>
    </w:p>
  </w:footnote>
  <w:footnote w:id="116">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proofErr w:type="gramStart"/>
      <w:r w:rsidRPr="00AE5A69">
        <w:rPr>
          <w:rFonts w:ascii="Times New Roman" w:hAnsi="Times New Roman" w:cs="Times New Roman"/>
          <w:sz w:val="20"/>
          <w:szCs w:val="20"/>
        </w:rPr>
        <w:t xml:space="preserve">Family Relationships Online, </w:t>
      </w:r>
      <w:r w:rsidRPr="00AE5A69">
        <w:rPr>
          <w:rFonts w:ascii="Times New Roman" w:hAnsi="Times New Roman" w:cs="Times New Roman"/>
          <w:i/>
          <w:sz w:val="20"/>
          <w:szCs w:val="20"/>
        </w:rPr>
        <w:t>Family Dispute Resolution</w:t>
      </w:r>
      <w:r w:rsidRPr="00AE5A69">
        <w:rPr>
          <w:rFonts w:ascii="Times New Roman" w:hAnsi="Times New Roman" w:cs="Times New Roman"/>
          <w:sz w:val="20"/>
          <w:szCs w:val="20"/>
        </w:rPr>
        <w:t xml:space="preserve"> (1 July 2011) &lt;http://www.familyrelationships.gov.au/services/familylawservices/fdr/pages/default.aspx&gt;.</w:t>
      </w:r>
      <w:proofErr w:type="gramEnd"/>
    </w:p>
  </w:footnote>
  <w:footnote w:id="117">
    <w:p w:rsidR="003F7C50" w:rsidRPr="00AE5A69" w:rsidRDefault="003F7C50" w:rsidP="00D40BBB">
      <w:pPr>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proofErr w:type="gramStart"/>
      <w:r w:rsidRPr="00AE5A69">
        <w:rPr>
          <w:rFonts w:ascii="Times New Roman" w:hAnsi="Times New Roman" w:cs="Times New Roman"/>
          <w:sz w:val="20"/>
          <w:szCs w:val="20"/>
        </w:rPr>
        <w:t>Wendy Lacey, ‘Neglectful to the Point of Cruelty?</w:t>
      </w:r>
      <w:proofErr w:type="gramEnd"/>
      <w:r w:rsidRPr="00AE5A69">
        <w:rPr>
          <w:rFonts w:ascii="Times New Roman" w:hAnsi="Times New Roman" w:cs="Times New Roman"/>
          <w:sz w:val="20"/>
          <w:szCs w:val="20"/>
        </w:rPr>
        <w:t xml:space="preserve"> </w:t>
      </w:r>
      <w:proofErr w:type="gramStart"/>
      <w:r w:rsidRPr="00AE5A69">
        <w:rPr>
          <w:rFonts w:ascii="Times New Roman" w:hAnsi="Times New Roman" w:cs="Times New Roman"/>
          <w:sz w:val="20"/>
          <w:szCs w:val="20"/>
        </w:rPr>
        <w:t>Elder Abuse and the Rights of Older Persons in Australia’ (2014) 36 Sydney Law Review 99, 100.</w:t>
      </w:r>
      <w:proofErr w:type="gramEnd"/>
    </w:p>
  </w:footnote>
  <w:footnote w:id="118">
    <w:p w:rsidR="003F7C50" w:rsidRPr="00AE5A69" w:rsidRDefault="003F7C50" w:rsidP="00D40BBB">
      <w:pPr>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proofErr w:type="gramStart"/>
      <w:r w:rsidRPr="00AE5A69">
        <w:rPr>
          <w:rFonts w:ascii="Times New Roman" w:hAnsi="Times New Roman" w:cs="Times New Roman"/>
          <w:sz w:val="20"/>
          <w:szCs w:val="20"/>
        </w:rPr>
        <w:t>Ibid 104.</w:t>
      </w:r>
      <w:proofErr w:type="gramEnd"/>
      <w:r w:rsidRPr="00AE5A69">
        <w:rPr>
          <w:rFonts w:ascii="Times New Roman" w:hAnsi="Times New Roman" w:cs="Times New Roman"/>
          <w:sz w:val="20"/>
          <w:szCs w:val="20"/>
        </w:rPr>
        <w:t xml:space="preserve"> </w:t>
      </w:r>
    </w:p>
  </w:footnote>
  <w:footnote w:id="119">
    <w:p w:rsidR="003F7C50" w:rsidRPr="00AE5A69" w:rsidRDefault="003F7C50" w:rsidP="00D40BBB">
      <w:pPr>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Wash Rev Code § 74.34.020(21) (2015); see also John Chesterman, ‘</w:t>
      </w:r>
      <w:proofErr w:type="gramStart"/>
      <w:r w:rsidRPr="00AE5A69">
        <w:rPr>
          <w:rFonts w:ascii="Times New Roman" w:hAnsi="Times New Roman" w:cs="Times New Roman"/>
          <w:sz w:val="20"/>
          <w:szCs w:val="20"/>
        </w:rPr>
        <w:t>Responding</w:t>
      </w:r>
      <w:proofErr w:type="gramEnd"/>
      <w:r w:rsidRPr="00AE5A69">
        <w:rPr>
          <w:rFonts w:ascii="Times New Roman" w:hAnsi="Times New Roman" w:cs="Times New Roman"/>
          <w:sz w:val="20"/>
          <w:szCs w:val="20"/>
        </w:rPr>
        <w:t xml:space="preserve"> to Violence, Abuse, Exploitation and Neglect: Improving Our Protection of At-Risk Adults’ (Report, Winston Churchill Memorial Trust of Australia, 30 July 2013) 28.</w:t>
      </w:r>
    </w:p>
  </w:footnote>
  <w:footnote w:id="120">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proofErr w:type="gramStart"/>
      <w:r w:rsidRPr="00AE5A69">
        <w:rPr>
          <w:rFonts w:ascii="Times New Roman" w:hAnsi="Times New Roman" w:cs="Times New Roman"/>
          <w:sz w:val="20"/>
          <w:szCs w:val="20"/>
        </w:rPr>
        <w:t xml:space="preserve">Department of Justice (Canada), ‘Legal Definitions of Elder Abuse and Neglect’ (Corporate Publications, 24 March 2015) </w:t>
      </w:r>
      <w:proofErr w:type="spellStart"/>
      <w:r w:rsidRPr="00AE5A69">
        <w:rPr>
          <w:rFonts w:ascii="Times New Roman" w:hAnsi="Times New Roman" w:cs="Times New Roman"/>
          <w:sz w:val="20"/>
          <w:szCs w:val="20"/>
        </w:rPr>
        <w:t>ch</w:t>
      </w:r>
      <w:proofErr w:type="spellEnd"/>
      <w:r w:rsidRPr="00AE5A69">
        <w:rPr>
          <w:rFonts w:ascii="Times New Roman" w:hAnsi="Times New Roman" w:cs="Times New Roman"/>
          <w:sz w:val="20"/>
          <w:szCs w:val="20"/>
        </w:rPr>
        <w:t xml:space="preserve"> 2, app A &lt;http://www.justice.gc.ca/eng/rp-pr/cj-jp/fv-vf/elder-aines/def/toc-tdm.html&gt;.</w:t>
      </w:r>
      <w:proofErr w:type="gramEnd"/>
    </w:p>
  </w:footnote>
  <w:footnote w:id="121">
    <w:p w:rsidR="003F7C50" w:rsidRPr="00AE5A69" w:rsidRDefault="003F7C50" w:rsidP="00D40BBB">
      <w:pPr>
        <w:ind w:left="567" w:hanging="567"/>
        <w:rPr>
          <w:rFonts w:ascii="Times New Roman" w:hAnsi="Times New Roman" w:cs="Times New Roman"/>
          <w:i/>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r w:rsidRPr="00AE5A69">
        <w:rPr>
          <w:rFonts w:ascii="Times New Roman" w:hAnsi="Times New Roman" w:cs="Times New Roman"/>
          <w:i/>
          <w:sz w:val="20"/>
          <w:szCs w:val="20"/>
        </w:rPr>
        <w:t xml:space="preserve">Age Discrimination Act 2004 </w:t>
      </w:r>
      <w:r w:rsidRPr="00AE5A69">
        <w:rPr>
          <w:rFonts w:ascii="Times New Roman" w:hAnsi="Times New Roman" w:cs="Times New Roman"/>
          <w:sz w:val="20"/>
          <w:szCs w:val="20"/>
        </w:rPr>
        <w:t>(</w:t>
      </w:r>
      <w:proofErr w:type="spellStart"/>
      <w:r w:rsidRPr="00AE5A69">
        <w:rPr>
          <w:rFonts w:ascii="Times New Roman" w:hAnsi="Times New Roman" w:cs="Times New Roman"/>
          <w:sz w:val="20"/>
          <w:szCs w:val="20"/>
        </w:rPr>
        <w:t>Cth</w:t>
      </w:r>
      <w:proofErr w:type="spellEnd"/>
      <w:r w:rsidRPr="00AE5A69">
        <w:rPr>
          <w:rFonts w:ascii="Times New Roman" w:hAnsi="Times New Roman" w:cs="Times New Roman"/>
          <w:sz w:val="20"/>
          <w:szCs w:val="20"/>
        </w:rPr>
        <w:t xml:space="preserve">) pt 6A, as inserted by </w:t>
      </w:r>
      <w:r w:rsidRPr="00AE5A69">
        <w:rPr>
          <w:rFonts w:ascii="Times New Roman" w:hAnsi="Times New Roman" w:cs="Times New Roman"/>
          <w:i/>
          <w:sz w:val="20"/>
          <w:szCs w:val="20"/>
        </w:rPr>
        <w:t>Age</w:t>
      </w:r>
      <w:r w:rsidRPr="00AE5A69">
        <w:rPr>
          <w:rFonts w:ascii="Times New Roman" w:hAnsi="Times New Roman" w:cs="Times New Roman"/>
          <w:sz w:val="20"/>
          <w:szCs w:val="20"/>
        </w:rPr>
        <w:t xml:space="preserve"> </w:t>
      </w:r>
      <w:r w:rsidRPr="00AE5A69">
        <w:rPr>
          <w:rFonts w:ascii="Times New Roman" w:hAnsi="Times New Roman" w:cs="Times New Roman"/>
          <w:i/>
          <w:sz w:val="20"/>
          <w:szCs w:val="20"/>
        </w:rPr>
        <w:t xml:space="preserve">Sex and Age Discrimination Legislation Amendment Act 2011 </w:t>
      </w:r>
      <w:r w:rsidRPr="00AE5A69">
        <w:rPr>
          <w:rFonts w:ascii="Times New Roman" w:hAnsi="Times New Roman" w:cs="Times New Roman"/>
          <w:sz w:val="20"/>
          <w:szCs w:val="20"/>
        </w:rPr>
        <w:t>(</w:t>
      </w:r>
      <w:proofErr w:type="spellStart"/>
      <w:r w:rsidRPr="00AE5A69">
        <w:rPr>
          <w:rFonts w:ascii="Times New Roman" w:hAnsi="Times New Roman" w:cs="Times New Roman"/>
          <w:sz w:val="20"/>
          <w:szCs w:val="20"/>
        </w:rPr>
        <w:t>Cth</w:t>
      </w:r>
      <w:proofErr w:type="spellEnd"/>
      <w:r w:rsidRPr="00AE5A69">
        <w:rPr>
          <w:rFonts w:ascii="Times New Roman" w:hAnsi="Times New Roman" w:cs="Times New Roman"/>
          <w:sz w:val="20"/>
          <w:szCs w:val="20"/>
        </w:rPr>
        <w:t xml:space="preserve">) sch 2 </w:t>
      </w:r>
      <w:proofErr w:type="spellStart"/>
      <w:r w:rsidRPr="00AE5A69">
        <w:rPr>
          <w:rFonts w:ascii="Times New Roman" w:hAnsi="Times New Roman" w:cs="Times New Roman"/>
          <w:sz w:val="20"/>
          <w:szCs w:val="20"/>
        </w:rPr>
        <w:t>cl</w:t>
      </w:r>
      <w:proofErr w:type="spellEnd"/>
      <w:r w:rsidRPr="00AE5A69">
        <w:rPr>
          <w:rFonts w:ascii="Times New Roman" w:hAnsi="Times New Roman" w:cs="Times New Roman"/>
          <w:sz w:val="20"/>
          <w:szCs w:val="20"/>
        </w:rPr>
        <w:t xml:space="preserve"> 3; see also Wendy Lacey, ‘Neglectful to the Point of Cruelty? </w:t>
      </w:r>
      <w:proofErr w:type="gramStart"/>
      <w:r w:rsidRPr="00AE5A69">
        <w:rPr>
          <w:rFonts w:ascii="Times New Roman" w:hAnsi="Times New Roman" w:cs="Times New Roman"/>
          <w:sz w:val="20"/>
          <w:szCs w:val="20"/>
        </w:rPr>
        <w:t>Elder Abuse and the Rights of Older Persons in Australia’ (2014) 36 Sydney Law Review 99, 120.</w:t>
      </w:r>
      <w:proofErr w:type="gramEnd"/>
    </w:p>
  </w:footnote>
  <w:footnote w:id="122">
    <w:p w:rsidR="003F7C50" w:rsidRPr="00AE5A69" w:rsidRDefault="003F7C50" w:rsidP="00D40BBB">
      <w:pPr>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proofErr w:type="gramStart"/>
      <w:r w:rsidRPr="00AE5A69">
        <w:rPr>
          <w:rFonts w:ascii="Times New Roman" w:hAnsi="Times New Roman" w:cs="Times New Roman"/>
          <w:sz w:val="20"/>
          <w:szCs w:val="20"/>
        </w:rPr>
        <w:t>Wendy Lacey, ‘Neglectful to the Point of Cruelty?</w:t>
      </w:r>
      <w:proofErr w:type="gramEnd"/>
      <w:r w:rsidRPr="00AE5A69">
        <w:rPr>
          <w:rFonts w:ascii="Times New Roman" w:hAnsi="Times New Roman" w:cs="Times New Roman"/>
          <w:sz w:val="20"/>
          <w:szCs w:val="20"/>
        </w:rPr>
        <w:t xml:space="preserve"> </w:t>
      </w:r>
      <w:proofErr w:type="gramStart"/>
      <w:r w:rsidRPr="00AE5A69">
        <w:rPr>
          <w:rFonts w:ascii="Times New Roman" w:hAnsi="Times New Roman" w:cs="Times New Roman"/>
          <w:sz w:val="20"/>
          <w:szCs w:val="20"/>
        </w:rPr>
        <w:t>Elder Abuse and the Rights of Older Persons in Australia’ (2014) 36 Sydney Law Review 99, 102.</w:t>
      </w:r>
      <w:proofErr w:type="gramEnd"/>
    </w:p>
  </w:footnote>
  <w:footnote w:id="123">
    <w:p w:rsidR="003F7C50" w:rsidRPr="00AE5A69" w:rsidRDefault="003F7C50" w:rsidP="00D40BBB">
      <w:pPr>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proofErr w:type="gramStart"/>
      <w:r w:rsidRPr="00AE5A69">
        <w:rPr>
          <w:rFonts w:ascii="Times New Roman" w:hAnsi="Times New Roman" w:cs="Times New Roman"/>
          <w:sz w:val="20"/>
          <w:szCs w:val="20"/>
        </w:rPr>
        <w:t xml:space="preserve">Aged Care Branch, Department of Human Services (Vic), </w:t>
      </w:r>
      <w:r w:rsidRPr="00AE5A69">
        <w:rPr>
          <w:rFonts w:ascii="Times New Roman" w:hAnsi="Times New Roman" w:cs="Times New Roman"/>
          <w:i/>
          <w:sz w:val="20"/>
          <w:szCs w:val="20"/>
        </w:rPr>
        <w:t xml:space="preserve">With Respect to Age – 2009 </w:t>
      </w:r>
      <w:r w:rsidRPr="00AE5A69">
        <w:rPr>
          <w:rFonts w:ascii="Times New Roman" w:hAnsi="Times New Roman" w:cs="Times New Roman"/>
          <w:sz w:val="20"/>
          <w:szCs w:val="20"/>
        </w:rPr>
        <w:t xml:space="preserve">(2009) 12–16; Department for Health and Ageing (SA), </w:t>
      </w:r>
      <w:r w:rsidRPr="00AE5A69">
        <w:rPr>
          <w:rFonts w:ascii="Times New Roman" w:hAnsi="Times New Roman" w:cs="Times New Roman"/>
          <w:i/>
          <w:sz w:val="20"/>
          <w:szCs w:val="20"/>
        </w:rPr>
        <w:t xml:space="preserve">Strategy to Safeguard the Rights of Older South Australians 2014–2021 </w:t>
      </w:r>
      <w:r w:rsidRPr="00AE5A69">
        <w:rPr>
          <w:rFonts w:ascii="Times New Roman" w:hAnsi="Times New Roman" w:cs="Times New Roman"/>
          <w:sz w:val="20"/>
          <w:szCs w:val="20"/>
        </w:rPr>
        <w:t>(2014)</w:t>
      </w:r>
      <w:r w:rsidRPr="00AE5A69">
        <w:rPr>
          <w:rFonts w:ascii="Times New Roman" w:hAnsi="Times New Roman" w:cs="Times New Roman"/>
          <w:i/>
          <w:sz w:val="20"/>
          <w:szCs w:val="20"/>
        </w:rPr>
        <w:t xml:space="preserve"> </w:t>
      </w:r>
      <w:r w:rsidRPr="00AE5A69">
        <w:rPr>
          <w:rFonts w:ascii="Times New Roman" w:hAnsi="Times New Roman" w:cs="Times New Roman"/>
          <w:sz w:val="20"/>
          <w:szCs w:val="20"/>
        </w:rPr>
        <w:t>7.</w:t>
      </w:r>
      <w:proofErr w:type="gramEnd"/>
      <w:r w:rsidRPr="00AE5A69">
        <w:rPr>
          <w:rFonts w:ascii="Times New Roman" w:hAnsi="Times New Roman" w:cs="Times New Roman"/>
          <w:sz w:val="20"/>
          <w:szCs w:val="20"/>
        </w:rPr>
        <w:t xml:space="preserve"> The Victorian Guidelines include six categories of physical abuse, sexual abuse, financial abuse, psychological abuse, social abuse and neglect. The South Australian Strategy has adopted the same six, but also added a seventh: ‘chemical abuse’. </w:t>
      </w:r>
    </w:p>
  </w:footnote>
  <w:footnote w:id="124">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 xml:space="preserve">See Wendy Lacey, ‘Neglectful to the Point of Cruelty? </w:t>
      </w:r>
      <w:proofErr w:type="gramStart"/>
      <w:r w:rsidRPr="00AE5A69">
        <w:rPr>
          <w:rFonts w:ascii="Times New Roman" w:hAnsi="Times New Roman" w:cs="Times New Roman"/>
          <w:sz w:val="20"/>
          <w:szCs w:val="20"/>
        </w:rPr>
        <w:t>Elder Abuse and the Rights of Older Persons in Australia’ (2014) 36 Sydney Law Review 99, 126.</w:t>
      </w:r>
      <w:proofErr w:type="gramEnd"/>
    </w:p>
  </w:footnote>
  <w:footnote w:id="125">
    <w:p w:rsidR="003F7C50" w:rsidRPr="00AE5A69" w:rsidRDefault="003F7C50" w:rsidP="00D40BBB">
      <w:pPr>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proofErr w:type="gramStart"/>
      <w:r w:rsidRPr="00AE5A69">
        <w:rPr>
          <w:rFonts w:ascii="Times New Roman" w:hAnsi="Times New Roman" w:cs="Times New Roman"/>
          <w:sz w:val="20"/>
          <w:szCs w:val="20"/>
        </w:rPr>
        <w:t>Ibid 100.</w:t>
      </w:r>
      <w:proofErr w:type="gramEnd"/>
    </w:p>
  </w:footnote>
  <w:footnote w:id="126">
    <w:p w:rsidR="003F7C50" w:rsidRPr="00AE5A69" w:rsidRDefault="003F7C50" w:rsidP="00D40BBB">
      <w:pPr>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John Chesterman, ‘Responding to Violence, Abuse, Exploitation and Neglect: Improving Our Protection of At-Risk Adults’ (Report, Winston Churchill Memorial Trust of Australia, 30 July 2013) 78, 80–1.</w:t>
      </w:r>
    </w:p>
  </w:footnote>
  <w:footnote w:id="127">
    <w:p w:rsidR="003F7C50" w:rsidRPr="00AE5A69" w:rsidRDefault="003F7C50" w:rsidP="00D40BBB">
      <w:pPr>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proofErr w:type="gramStart"/>
      <w:r w:rsidRPr="00AE5A69">
        <w:rPr>
          <w:rFonts w:ascii="Times New Roman" w:hAnsi="Times New Roman" w:cs="Times New Roman"/>
          <w:sz w:val="20"/>
          <w:szCs w:val="20"/>
        </w:rPr>
        <w:t>Ibid 30.</w:t>
      </w:r>
      <w:proofErr w:type="gramEnd"/>
    </w:p>
  </w:footnote>
  <w:footnote w:id="128">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 xml:space="preserve">See, </w:t>
      </w:r>
      <w:proofErr w:type="spellStart"/>
      <w:r w:rsidRPr="00AE5A69">
        <w:rPr>
          <w:rFonts w:ascii="Times New Roman" w:hAnsi="Times New Roman" w:cs="Times New Roman"/>
          <w:sz w:val="20"/>
          <w:szCs w:val="20"/>
        </w:rPr>
        <w:t>eg</w:t>
      </w:r>
      <w:proofErr w:type="spellEnd"/>
      <w:r w:rsidRPr="00AE5A69">
        <w:rPr>
          <w:rFonts w:ascii="Times New Roman" w:hAnsi="Times New Roman" w:cs="Times New Roman"/>
          <w:sz w:val="20"/>
          <w:szCs w:val="20"/>
        </w:rPr>
        <w:t>, Cal Pen Code § 368 (West, 2016); NJ Stat Ann §52:27D-407 (West, 2012).</w:t>
      </w:r>
    </w:p>
  </w:footnote>
  <w:footnote w:id="129">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 xml:space="preserve">See also National Research Council (US) Panel to Review Risk and Prevalence of Elder Abuse and Neglect, </w:t>
      </w:r>
      <w:r w:rsidRPr="00AE5A69">
        <w:rPr>
          <w:rFonts w:ascii="Times New Roman" w:hAnsi="Times New Roman" w:cs="Times New Roman"/>
          <w:i/>
          <w:sz w:val="20"/>
          <w:szCs w:val="20"/>
        </w:rPr>
        <w:t xml:space="preserve">Elder Mistreatment: Abuse, Neglect, and Exploitation in an Aging America </w:t>
      </w:r>
      <w:r w:rsidRPr="00AE5A69">
        <w:rPr>
          <w:rFonts w:ascii="Times New Roman" w:hAnsi="Times New Roman" w:cs="Times New Roman"/>
          <w:sz w:val="20"/>
          <w:szCs w:val="20"/>
        </w:rPr>
        <w:t>(National Academies Press, 2003) app B.</w:t>
      </w:r>
    </w:p>
  </w:footnote>
  <w:footnote w:id="130">
    <w:p w:rsidR="003F7C50" w:rsidRPr="00AE5A69" w:rsidRDefault="003F7C50" w:rsidP="00D40BBB">
      <w:pPr>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John Chesterman, ‘Responding to Violence, Abuse, Exploitation and Neglect: Improving Our Protection of At-Risk Adults’ (Report, Winston Churchill Memorial Trust of Australia, 30 July 2013) 30.</w:t>
      </w:r>
    </w:p>
  </w:footnote>
  <w:footnote w:id="131">
    <w:p w:rsidR="003F7C50" w:rsidRPr="00AE5A69" w:rsidRDefault="003F7C50" w:rsidP="00D40BBB">
      <w:pPr>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proofErr w:type="gramStart"/>
      <w:r w:rsidRPr="00AE5A69">
        <w:rPr>
          <w:rFonts w:ascii="Times New Roman" w:hAnsi="Times New Roman" w:cs="Times New Roman"/>
          <w:sz w:val="20"/>
          <w:szCs w:val="20"/>
        </w:rPr>
        <w:t>Ibid 84.</w:t>
      </w:r>
      <w:proofErr w:type="gramEnd"/>
      <w:r w:rsidRPr="00AE5A69">
        <w:rPr>
          <w:rFonts w:ascii="Times New Roman" w:hAnsi="Times New Roman" w:cs="Times New Roman"/>
          <w:sz w:val="20"/>
          <w:szCs w:val="20"/>
        </w:rPr>
        <w:t xml:space="preserve"> </w:t>
      </w:r>
    </w:p>
  </w:footnote>
  <w:footnote w:id="132">
    <w:p w:rsidR="003F7C50" w:rsidRPr="00AE5A69" w:rsidRDefault="003F7C50" w:rsidP="00D40BBB">
      <w:pPr>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proofErr w:type="gramStart"/>
      <w:r w:rsidRPr="00AE5A69">
        <w:rPr>
          <w:rFonts w:ascii="Times New Roman" w:hAnsi="Times New Roman" w:cs="Times New Roman"/>
          <w:sz w:val="20"/>
          <w:szCs w:val="20"/>
        </w:rPr>
        <w:t>Wendy Lacey, ‘Neglectful to the Point of Cruelty?</w:t>
      </w:r>
      <w:proofErr w:type="gramEnd"/>
      <w:r w:rsidRPr="00AE5A69">
        <w:rPr>
          <w:rFonts w:ascii="Times New Roman" w:hAnsi="Times New Roman" w:cs="Times New Roman"/>
          <w:sz w:val="20"/>
          <w:szCs w:val="20"/>
        </w:rPr>
        <w:t xml:space="preserve"> </w:t>
      </w:r>
      <w:proofErr w:type="gramStart"/>
      <w:r w:rsidRPr="00AE5A69">
        <w:rPr>
          <w:rFonts w:ascii="Times New Roman" w:hAnsi="Times New Roman" w:cs="Times New Roman"/>
          <w:sz w:val="20"/>
          <w:szCs w:val="20"/>
        </w:rPr>
        <w:t>Elder Abuse and the Rights of Older Persons in Australia’ (2014) 36 Sydney Law Review 99, 127.</w:t>
      </w:r>
      <w:proofErr w:type="gramEnd"/>
    </w:p>
  </w:footnote>
  <w:footnote w:id="133">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proofErr w:type="gramStart"/>
      <w:r w:rsidRPr="00AE5A69">
        <w:rPr>
          <w:rFonts w:ascii="Times New Roman" w:hAnsi="Times New Roman" w:cs="Times New Roman"/>
          <w:i/>
          <w:sz w:val="20"/>
          <w:szCs w:val="20"/>
        </w:rPr>
        <w:t>Adult Support and Protection (Scotland) Act 2007</w:t>
      </w:r>
      <w:r w:rsidRPr="00AE5A69">
        <w:rPr>
          <w:rFonts w:ascii="Times New Roman" w:hAnsi="Times New Roman" w:cs="Times New Roman"/>
          <w:sz w:val="20"/>
          <w:szCs w:val="20"/>
        </w:rPr>
        <w:t xml:space="preserve"> (Scot) s 4.</w:t>
      </w:r>
      <w:proofErr w:type="gramEnd"/>
    </w:p>
  </w:footnote>
  <w:footnote w:id="134">
    <w:p w:rsidR="003F7C50" w:rsidRPr="00AE5A69" w:rsidRDefault="003F7C50" w:rsidP="00D40BBB">
      <w:pPr>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 xml:space="preserve">Jordan Baker, ‘Man’s Lonely Death: Signs Were Missed’, </w:t>
      </w:r>
      <w:r w:rsidRPr="00AE5A69">
        <w:rPr>
          <w:rFonts w:ascii="Times New Roman" w:hAnsi="Times New Roman" w:cs="Times New Roman"/>
          <w:i/>
          <w:sz w:val="20"/>
          <w:szCs w:val="20"/>
        </w:rPr>
        <w:t xml:space="preserve">The Sydney Morning Herald </w:t>
      </w:r>
      <w:r w:rsidRPr="00AE5A69">
        <w:rPr>
          <w:rFonts w:ascii="Times New Roman" w:hAnsi="Times New Roman" w:cs="Times New Roman"/>
          <w:sz w:val="20"/>
          <w:szCs w:val="20"/>
        </w:rPr>
        <w:t>(online), 11 January 2008 &lt;http://www.smh.com.au/news/national/mans-lonely-death-signs-were-missed/2008/01/10/1199554832946.html</w:t>
      </w:r>
      <w:r w:rsidRPr="00AE5A69">
        <w:rPr>
          <w:rStyle w:val="Hyperlink"/>
          <w:rFonts w:ascii="Times New Roman" w:hAnsi="Times New Roman" w:cs="Times New Roman"/>
          <w:color w:val="auto"/>
          <w:sz w:val="20"/>
          <w:szCs w:val="20"/>
          <w:u w:val="none"/>
        </w:rPr>
        <w:t xml:space="preserve">&gt;; see also </w:t>
      </w:r>
      <w:r w:rsidRPr="00AE5A69">
        <w:rPr>
          <w:rFonts w:ascii="Times New Roman" w:hAnsi="Times New Roman" w:cs="Times New Roman"/>
          <w:sz w:val="20"/>
          <w:szCs w:val="20"/>
        </w:rPr>
        <w:t xml:space="preserve">Wendy Lacey, ‘Neglectful to the Point of Cruelty? </w:t>
      </w:r>
      <w:proofErr w:type="gramStart"/>
      <w:r w:rsidRPr="00AE5A69">
        <w:rPr>
          <w:rFonts w:ascii="Times New Roman" w:hAnsi="Times New Roman" w:cs="Times New Roman"/>
          <w:sz w:val="20"/>
          <w:szCs w:val="20"/>
        </w:rPr>
        <w:t>Elder Abuse and the Rights of Older Persons in Australia’ (2014) 36 Sydney Law Review 99, 111.</w:t>
      </w:r>
      <w:proofErr w:type="gramEnd"/>
      <w:r w:rsidRPr="00AE5A69">
        <w:rPr>
          <w:rFonts w:ascii="Times New Roman" w:hAnsi="Times New Roman" w:cs="Times New Roman"/>
          <w:sz w:val="20"/>
          <w:szCs w:val="20"/>
        </w:rPr>
        <w:t xml:space="preserve"> </w:t>
      </w:r>
    </w:p>
  </w:footnote>
  <w:footnote w:id="135">
    <w:p w:rsidR="003F7C50" w:rsidRPr="00AE5A69" w:rsidRDefault="003F7C50" w:rsidP="00D40BBB">
      <w:pPr>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John Chesterman, ‘Responding to Violence, Abuse, Exploitation and Neglect: Improving Our Protection of At-Risk Adults’ (Report, Winston Churchill Memorial Trust of Australia, 30 July 2013) 42.</w:t>
      </w:r>
    </w:p>
  </w:footnote>
  <w:footnote w:id="136">
    <w:p w:rsidR="003F7C50" w:rsidRPr="00AE5A69" w:rsidRDefault="003F7C50" w:rsidP="00D40BBB">
      <w:pPr>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r>
      <w:proofErr w:type="gramStart"/>
      <w:r w:rsidRPr="00AE5A69">
        <w:rPr>
          <w:rFonts w:ascii="Times New Roman" w:hAnsi="Times New Roman" w:cs="Times New Roman"/>
          <w:i/>
          <w:sz w:val="20"/>
          <w:szCs w:val="20"/>
        </w:rPr>
        <w:t>Adult Protection Act</w:t>
      </w:r>
      <w:r w:rsidRPr="00AE5A69">
        <w:rPr>
          <w:rFonts w:ascii="Times New Roman" w:hAnsi="Times New Roman" w:cs="Times New Roman"/>
          <w:sz w:val="20"/>
          <w:szCs w:val="20"/>
        </w:rPr>
        <w:t>, RSC 1989,</w:t>
      </w:r>
      <w:r w:rsidRPr="00AE5A69">
        <w:rPr>
          <w:rFonts w:ascii="Times New Roman" w:hAnsi="Times New Roman" w:cs="Times New Roman"/>
          <w:i/>
          <w:sz w:val="20"/>
          <w:szCs w:val="20"/>
        </w:rPr>
        <w:t xml:space="preserve"> </w:t>
      </w:r>
      <w:r w:rsidRPr="00AE5A69">
        <w:rPr>
          <w:rFonts w:ascii="Times New Roman" w:hAnsi="Times New Roman" w:cs="Times New Roman"/>
          <w:sz w:val="20"/>
          <w:szCs w:val="20"/>
        </w:rPr>
        <w:t>c 2,</w:t>
      </w:r>
      <w:r w:rsidRPr="00AE5A69">
        <w:rPr>
          <w:rFonts w:ascii="Times New Roman" w:hAnsi="Times New Roman" w:cs="Times New Roman"/>
          <w:i/>
          <w:sz w:val="20"/>
          <w:szCs w:val="20"/>
        </w:rPr>
        <w:t xml:space="preserve"> </w:t>
      </w:r>
      <w:proofErr w:type="spellStart"/>
      <w:r w:rsidRPr="00AE5A69">
        <w:rPr>
          <w:rFonts w:ascii="Times New Roman" w:hAnsi="Times New Roman" w:cs="Times New Roman"/>
          <w:sz w:val="20"/>
          <w:szCs w:val="20"/>
        </w:rPr>
        <w:t>ss</w:t>
      </w:r>
      <w:proofErr w:type="spellEnd"/>
      <w:r w:rsidRPr="00AE5A69">
        <w:rPr>
          <w:rFonts w:ascii="Times New Roman" w:hAnsi="Times New Roman" w:cs="Times New Roman"/>
          <w:sz w:val="20"/>
          <w:szCs w:val="20"/>
        </w:rPr>
        <w:t xml:space="preserve"> 5, 16.</w:t>
      </w:r>
      <w:proofErr w:type="gramEnd"/>
    </w:p>
  </w:footnote>
  <w:footnote w:id="137">
    <w:p w:rsidR="003F7C50" w:rsidRPr="00AE5A69" w:rsidRDefault="003F7C50" w:rsidP="00D40BBB">
      <w:pPr>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 xml:space="preserve">Mike Clare, Barbara Black Blundell and Joseph Clare, ‘Examination of the Extent of Elder Abuse in Western Australia’ (Crime Research Centre, The University of Western Australia and </w:t>
      </w:r>
      <w:proofErr w:type="spellStart"/>
      <w:r w:rsidRPr="00AE5A69">
        <w:rPr>
          <w:rFonts w:ascii="Times New Roman" w:hAnsi="Times New Roman" w:cs="Times New Roman"/>
          <w:sz w:val="20"/>
          <w:szCs w:val="20"/>
        </w:rPr>
        <w:t>Advocare</w:t>
      </w:r>
      <w:proofErr w:type="spellEnd"/>
      <w:r w:rsidRPr="00AE5A69">
        <w:rPr>
          <w:rFonts w:ascii="Times New Roman" w:hAnsi="Times New Roman" w:cs="Times New Roman"/>
          <w:sz w:val="20"/>
          <w:szCs w:val="20"/>
        </w:rPr>
        <w:t xml:space="preserve"> Inc, April 2011) 18–22 &lt;http://www.law.uwa.edu.au/__data/assets/pdf_file/0008/2129606/2011-Examination-of-the-Extent-of-Elder-Abuse-in-Western-Australia.pdf&gt;.</w:t>
      </w:r>
    </w:p>
  </w:footnote>
  <w:footnote w:id="138">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 xml:space="preserve">See NSW Elder Abuse Helpline &amp; Resource Unit, </w:t>
      </w:r>
      <w:r w:rsidRPr="00AE5A69">
        <w:rPr>
          <w:rFonts w:ascii="Times New Roman" w:hAnsi="Times New Roman" w:cs="Times New Roman"/>
          <w:i/>
          <w:sz w:val="20"/>
          <w:szCs w:val="20"/>
        </w:rPr>
        <w:t xml:space="preserve">About Us </w:t>
      </w:r>
      <w:r w:rsidRPr="00AE5A69">
        <w:rPr>
          <w:rFonts w:ascii="Times New Roman" w:hAnsi="Times New Roman" w:cs="Times New Roman"/>
          <w:sz w:val="20"/>
          <w:szCs w:val="20"/>
        </w:rPr>
        <w:t>&lt;http://elderabusehelpline.com.au/about&gt;.</w:t>
      </w:r>
    </w:p>
  </w:footnote>
  <w:footnote w:id="139">
    <w:p w:rsidR="003F7C50" w:rsidRPr="00AE5A69" w:rsidRDefault="003F7C50" w:rsidP="00D40BBB">
      <w:pPr>
        <w:pStyle w:val="FootnoteText"/>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 xml:space="preserve">See Elder Abuse Prevention Unit (Qld), </w:t>
      </w:r>
      <w:r w:rsidRPr="00AE5A69">
        <w:rPr>
          <w:rFonts w:ascii="Times New Roman" w:hAnsi="Times New Roman" w:cs="Times New Roman"/>
          <w:i/>
          <w:sz w:val="20"/>
          <w:szCs w:val="20"/>
        </w:rPr>
        <w:t>About the Elder Abuse Prevention Unit</w:t>
      </w:r>
      <w:r w:rsidRPr="00AE5A69">
        <w:rPr>
          <w:rFonts w:ascii="Times New Roman" w:hAnsi="Times New Roman" w:cs="Times New Roman"/>
          <w:sz w:val="20"/>
          <w:szCs w:val="20"/>
        </w:rPr>
        <w:t xml:space="preserve"> (19 November 2015) &lt;http://www.eapu.com.au/about&gt;.</w:t>
      </w:r>
    </w:p>
  </w:footnote>
  <w:footnote w:id="140">
    <w:p w:rsidR="003F7C50" w:rsidRPr="00AE5A69" w:rsidRDefault="003F7C50" w:rsidP="00D40BBB">
      <w:pPr>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 xml:space="preserve">See, </w:t>
      </w:r>
      <w:proofErr w:type="spellStart"/>
      <w:r w:rsidRPr="00AE5A69">
        <w:rPr>
          <w:rFonts w:ascii="Times New Roman" w:hAnsi="Times New Roman" w:cs="Times New Roman"/>
          <w:sz w:val="20"/>
          <w:szCs w:val="20"/>
        </w:rPr>
        <w:t>eg</w:t>
      </w:r>
      <w:proofErr w:type="spellEnd"/>
      <w:r w:rsidRPr="00AE5A69">
        <w:rPr>
          <w:rFonts w:ascii="Times New Roman" w:hAnsi="Times New Roman" w:cs="Times New Roman"/>
          <w:sz w:val="20"/>
          <w:szCs w:val="20"/>
        </w:rPr>
        <w:t xml:space="preserve">, </w:t>
      </w:r>
      <w:r w:rsidRPr="00AE5A69">
        <w:rPr>
          <w:rFonts w:ascii="Times New Roman" w:hAnsi="Times New Roman" w:cs="Times New Roman"/>
          <w:i/>
          <w:sz w:val="20"/>
          <w:szCs w:val="20"/>
        </w:rPr>
        <w:t xml:space="preserve">Aged Care Act 1997 </w:t>
      </w:r>
      <w:r w:rsidRPr="00AE5A69">
        <w:rPr>
          <w:rFonts w:ascii="Times New Roman" w:hAnsi="Times New Roman" w:cs="Times New Roman"/>
          <w:sz w:val="20"/>
          <w:szCs w:val="20"/>
        </w:rPr>
        <w:t>(</w:t>
      </w:r>
      <w:proofErr w:type="spellStart"/>
      <w:r w:rsidRPr="00AE5A69">
        <w:rPr>
          <w:rFonts w:ascii="Times New Roman" w:hAnsi="Times New Roman" w:cs="Times New Roman"/>
          <w:sz w:val="20"/>
          <w:szCs w:val="20"/>
        </w:rPr>
        <w:t>Cth</w:t>
      </w:r>
      <w:proofErr w:type="spellEnd"/>
      <w:r w:rsidRPr="00AE5A69">
        <w:rPr>
          <w:rFonts w:ascii="Times New Roman" w:hAnsi="Times New Roman" w:cs="Times New Roman"/>
          <w:sz w:val="20"/>
          <w:szCs w:val="20"/>
        </w:rPr>
        <w:t>) s 63-1AA.</w:t>
      </w:r>
    </w:p>
  </w:footnote>
  <w:footnote w:id="141">
    <w:p w:rsidR="003F7C50" w:rsidRPr="00AE5A69" w:rsidRDefault="003F7C50" w:rsidP="00D40BBB">
      <w:pPr>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Wash Rev Code §</w:t>
      </w:r>
      <w:r w:rsidRPr="00AE5A69">
        <w:rPr>
          <w:rFonts w:ascii="Times New Roman" w:hAnsi="Times New Roman" w:cs="Times New Roman"/>
          <w:i/>
          <w:sz w:val="20"/>
          <w:szCs w:val="20"/>
        </w:rPr>
        <w:t xml:space="preserve"> </w:t>
      </w:r>
      <w:r w:rsidRPr="00AE5A69">
        <w:rPr>
          <w:rFonts w:ascii="Times New Roman" w:hAnsi="Times New Roman" w:cs="Times New Roman"/>
          <w:sz w:val="20"/>
          <w:szCs w:val="20"/>
        </w:rPr>
        <w:t>74.34.035 (2015); John Chesterman, ‘Responding to Violence, Abuse, Exploitation and Neglect: Improving Our Protection of At-Risk Adults’ (Report, Winston Churchill Memorial Trust of Australia, 30 July 2013) 28.</w:t>
      </w:r>
    </w:p>
  </w:footnote>
  <w:footnote w:id="142">
    <w:p w:rsidR="003F7C50" w:rsidRPr="00AE5A69" w:rsidRDefault="003F7C50" w:rsidP="00D40BBB">
      <w:pPr>
        <w:ind w:left="567" w:hanging="567"/>
        <w:rPr>
          <w:rFonts w:ascii="Times New Roman" w:hAnsi="Times New Roman" w:cs="Times New Roman"/>
          <w:sz w:val="20"/>
          <w:szCs w:val="20"/>
        </w:rPr>
      </w:pPr>
      <w:r w:rsidRPr="00AE5A69">
        <w:rPr>
          <w:rStyle w:val="FootnoteReference"/>
          <w:rFonts w:ascii="Times New Roman" w:hAnsi="Times New Roman" w:cs="Times New Roman"/>
          <w:sz w:val="20"/>
          <w:szCs w:val="20"/>
        </w:rPr>
        <w:footnoteRef/>
      </w:r>
      <w:r w:rsidRPr="00AE5A69">
        <w:rPr>
          <w:rFonts w:ascii="Times New Roman" w:hAnsi="Times New Roman" w:cs="Times New Roman"/>
          <w:sz w:val="20"/>
          <w:szCs w:val="20"/>
        </w:rPr>
        <w:t xml:space="preserve"> </w:t>
      </w:r>
      <w:r w:rsidRPr="00AE5A69">
        <w:rPr>
          <w:rFonts w:ascii="Times New Roman" w:hAnsi="Times New Roman" w:cs="Times New Roman"/>
          <w:sz w:val="20"/>
          <w:szCs w:val="20"/>
        </w:rPr>
        <w:tab/>
        <w:t>Wash Rev Code § 74.34.020(13)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C50" w:rsidRPr="00D62623" w:rsidRDefault="003F7C50" w:rsidP="00D62623">
    <w:pPr>
      <w:pStyle w:val="Header"/>
      <w:rPr>
        <w:sz w:val="40"/>
        <w:szCs w:val="40"/>
      </w:rPr>
    </w:pPr>
    <w:r w:rsidRPr="00D62623">
      <w:rPr>
        <w:noProof/>
        <w:sz w:val="40"/>
        <w:szCs w:val="40"/>
        <w:lang w:eastAsia="en-AU"/>
      </w:rPr>
      <w:drawing>
        <wp:anchor distT="0" distB="0" distL="114300" distR="114300" simplePos="0" relativeHeight="251658240" behindDoc="0" locked="0" layoutInCell="1" allowOverlap="1">
          <wp:simplePos x="0" y="0"/>
          <wp:positionH relativeFrom="column">
            <wp:posOffset>5114290</wp:posOffset>
          </wp:positionH>
          <wp:positionV relativeFrom="paragraph">
            <wp:posOffset>-278765</wp:posOffset>
          </wp:positionV>
          <wp:extent cx="1218565" cy="42100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soc_logo 2012black.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18565" cy="421005"/>
                  </a:xfrm>
                  <a:prstGeom prst="rect">
                    <a:avLst/>
                  </a:prstGeom>
                </pic:spPr>
              </pic:pic>
            </a:graphicData>
          </a:graphic>
        </wp:anchor>
      </w:drawing>
    </w:r>
    <w:r w:rsidR="00D62623" w:rsidRPr="00D62623">
      <w:rPr>
        <w:sz w:val="40"/>
        <w:szCs w:val="40"/>
      </w:rPr>
      <w:t xml:space="preserve">117. UNSW Law Society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6BE2"/>
    <w:multiLevelType w:val="hybridMultilevel"/>
    <w:tmpl w:val="0C78CCC2"/>
    <w:lvl w:ilvl="0" w:tplc="59766C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A2C58DB"/>
    <w:multiLevelType w:val="hybridMultilevel"/>
    <w:tmpl w:val="0E1A5AF6"/>
    <w:lvl w:ilvl="0" w:tplc="96B40072">
      <w:start w:val="1"/>
      <w:numFmt w:val="lowerRoman"/>
      <w:lvlText w:val="(%1)"/>
      <w:lvlJc w:val="left"/>
      <w:pPr>
        <w:ind w:left="2421"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2">
    <w:nsid w:val="0BC53A7D"/>
    <w:multiLevelType w:val="hybridMultilevel"/>
    <w:tmpl w:val="F5704B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3D22197"/>
    <w:multiLevelType w:val="hybridMultilevel"/>
    <w:tmpl w:val="C7546EEE"/>
    <w:lvl w:ilvl="0" w:tplc="7BF025C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155C1CFE"/>
    <w:multiLevelType w:val="hybridMultilevel"/>
    <w:tmpl w:val="0254CC0A"/>
    <w:lvl w:ilvl="0" w:tplc="CE6C99EE">
      <w:start w:val="1"/>
      <w:numFmt w:val="bullet"/>
      <w:lvlText w:val=""/>
      <w:lvlJc w:val="left"/>
      <w:pPr>
        <w:ind w:left="360" w:hanging="360"/>
      </w:pPr>
      <w:rPr>
        <w:rFonts w:ascii="Symbol" w:hAnsi="Symbol" w:hint="default"/>
        <w:sz w:val="1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C54785"/>
    <w:multiLevelType w:val="hybridMultilevel"/>
    <w:tmpl w:val="EED2988C"/>
    <w:lvl w:ilvl="0" w:tplc="CE6C99EE">
      <w:start w:val="1"/>
      <w:numFmt w:val="bullet"/>
      <w:lvlText w:val=""/>
      <w:lvlJc w:val="left"/>
      <w:pPr>
        <w:ind w:left="360" w:hanging="360"/>
      </w:pPr>
      <w:rPr>
        <w:rFonts w:ascii="Symbol" w:hAnsi="Symbol" w:hint="default"/>
        <w:sz w:val="14"/>
      </w:rPr>
    </w:lvl>
    <w:lvl w:ilvl="1" w:tplc="0C090003" w:tentative="1">
      <w:start w:val="1"/>
      <w:numFmt w:val="bullet"/>
      <w:lvlText w:val="o"/>
      <w:lvlJc w:val="left"/>
      <w:pPr>
        <w:ind w:left="1027" w:hanging="360"/>
      </w:pPr>
      <w:rPr>
        <w:rFonts w:ascii="Courier New" w:hAnsi="Courier New" w:cs="Courier New" w:hint="default"/>
      </w:rPr>
    </w:lvl>
    <w:lvl w:ilvl="2" w:tplc="0C090005" w:tentative="1">
      <w:start w:val="1"/>
      <w:numFmt w:val="bullet"/>
      <w:lvlText w:val=""/>
      <w:lvlJc w:val="left"/>
      <w:pPr>
        <w:ind w:left="1747" w:hanging="360"/>
      </w:pPr>
      <w:rPr>
        <w:rFonts w:ascii="Wingdings" w:hAnsi="Wingdings" w:hint="default"/>
      </w:rPr>
    </w:lvl>
    <w:lvl w:ilvl="3" w:tplc="0C090001" w:tentative="1">
      <w:start w:val="1"/>
      <w:numFmt w:val="bullet"/>
      <w:lvlText w:val=""/>
      <w:lvlJc w:val="left"/>
      <w:pPr>
        <w:ind w:left="2467" w:hanging="360"/>
      </w:pPr>
      <w:rPr>
        <w:rFonts w:ascii="Symbol" w:hAnsi="Symbol" w:hint="default"/>
      </w:rPr>
    </w:lvl>
    <w:lvl w:ilvl="4" w:tplc="0C090003" w:tentative="1">
      <w:start w:val="1"/>
      <w:numFmt w:val="bullet"/>
      <w:lvlText w:val="o"/>
      <w:lvlJc w:val="left"/>
      <w:pPr>
        <w:ind w:left="3187" w:hanging="360"/>
      </w:pPr>
      <w:rPr>
        <w:rFonts w:ascii="Courier New" w:hAnsi="Courier New" w:cs="Courier New" w:hint="default"/>
      </w:rPr>
    </w:lvl>
    <w:lvl w:ilvl="5" w:tplc="0C090005" w:tentative="1">
      <w:start w:val="1"/>
      <w:numFmt w:val="bullet"/>
      <w:lvlText w:val=""/>
      <w:lvlJc w:val="left"/>
      <w:pPr>
        <w:ind w:left="3907" w:hanging="360"/>
      </w:pPr>
      <w:rPr>
        <w:rFonts w:ascii="Wingdings" w:hAnsi="Wingdings" w:hint="default"/>
      </w:rPr>
    </w:lvl>
    <w:lvl w:ilvl="6" w:tplc="0C090001" w:tentative="1">
      <w:start w:val="1"/>
      <w:numFmt w:val="bullet"/>
      <w:lvlText w:val=""/>
      <w:lvlJc w:val="left"/>
      <w:pPr>
        <w:ind w:left="4627" w:hanging="360"/>
      </w:pPr>
      <w:rPr>
        <w:rFonts w:ascii="Symbol" w:hAnsi="Symbol" w:hint="default"/>
      </w:rPr>
    </w:lvl>
    <w:lvl w:ilvl="7" w:tplc="0C090003" w:tentative="1">
      <w:start w:val="1"/>
      <w:numFmt w:val="bullet"/>
      <w:lvlText w:val="o"/>
      <w:lvlJc w:val="left"/>
      <w:pPr>
        <w:ind w:left="5347" w:hanging="360"/>
      </w:pPr>
      <w:rPr>
        <w:rFonts w:ascii="Courier New" w:hAnsi="Courier New" w:cs="Courier New" w:hint="default"/>
      </w:rPr>
    </w:lvl>
    <w:lvl w:ilvl="8" w:tplc="0C090005" w:tentative="1">
      <w:start w:val="1"/>
      <w:numFmt w:val="bullet"/>
      <w:lvlText w:val=""/>
      <w:lvlJc w:val="left"/>
      <w:pPr>
        <w:ind w:left="6067" w:hanging="360"/>
      </w:pPr>
      <w:rPr>
        <w:rFonts w:ascii="Wingdings" w:hAnsi="Wingdings" w:hint="default"/>
      </w:rPr>
    </w:lvl>
  </w:abstractNum>
  <w:abstractNum w:abstractNumId="6">
    <w:nsid w:val="230D7029"/>
    <w:multiLevelType w:val="hybridMultilevel"/>
    <w:tmpl w:val="30BE65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3146251"/>
    <w:multiLevelType w:val="hybridMultilevel"/>
    <w:tmpl w:val="4DA2CC88"/>
    <w:lvl w:ilvl="0" w:tplc="2FA2E39A">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79C4E55"/>
    <w:multiLevelType w:val="hybridMultilevel"/>
    <w:tmpl w:val="D50823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5F23F72"/>
    <w:multiLevelType w:val="hybridMultilevel"/>
    <w:tmpl w:val="4DF07FC2"/>
    <w:lvl w:ilvl="0" w:tplc="C7B2A5FE">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A4F1E64"/>
    <w:multiLevelType w:val="hybridMultilevel"/>
    <w:tmpl w:val="34D063E0"/>
    <w:lvl w:ilvl="0" w:tplc="FDA2CF84">
      <w:start w:val="1"/>
      <w:numFmt w:val="bullet"/>
      <w:lvlText w:val=""/>
      <w:lvlJc w:val="left"/>
      <w:pPr>
        <w:ind w:left="220" w:hanging="220"/>
      </w:pPr>
      <w:rPr>
        <w:rFonts w:ascii="Symbol" w:hAnsi="Symbol" w:hint="default"/>
        <w:b w:val="0"/>
        <w:bCs w:val="0"/>
        <w:i w:val="0"/>
        <w:iCs w:val="0"/>
        <w:caps w:val="0"/>
        <w:smallCaps w:val="0"/>
        <w:strike w:val="0"/>
        <w:dstrike w:val="0"/>
        <w:outline w:val="0"/>
        <w:shadow w:val="0"/>
        <w:emboss w:val="0"/>
        <w:imprint w:val="0"/>
        <w:spacing w:val="0"/>
        <w:w w:val="100"/>
        <w:kern w:val="0"/>
        <w:position w:val="0"/>
        <w:sz w:val="16"/>
        <w:highlight w:val="none"/>
        <w:u w:val="none"/>
        <w:effect w:val="none"/>
        <w:vertAlign w:val="baseline"/>
      </w:rPr>
    </w:lvl>
    <w:lvl w:ilvl="1" w:tplc="6B865606">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spacing w:val="0"/>
        <w:w w:val="100"/>
        <w:kern w:val="0"/>
        <w:position w:val="0"/>
        <w:sz w:val="20"/>
        <w:highlight w:val="none"/>
        <w:u w:val="none"/>
        <w:effect w:val="none"/>
        <w:vertAlign w:val="baseline"/>
      </w:rPr>
    </w:lvl>
    <w:lvl w:ilvl="2" w:tplc="EADCB494">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FEA4861A">
      <w:start w:val="1"/>
      <w:numFmt w:val="bullet"/>
      <w:lvlText w:val="-"/>
      <w:lvlJc w:val="left"/>
      <w:pPr>
        <w:ind w:left="480" w:hanging="24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15EEC54E">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ED04344E">
      <w:start w:val="1"/>
      <w:numFmt w:val="bullet"/>
      <w:lvlText w:val="-"/>
      <w:lvlJc w:val="left"/>
      <w:pPr>
        <w:ind w:left="960" w:hanging="48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11BA7346">
      <w:start w:val="1"/>
      <w:numFmt w:val="bullet"/>
      <w:lvlText w:val="-"/>
      <w:lvlJc w:val="left"/>
      <w:pPr>
        <w:ind w:left="1200" w:hanging="24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8D68CBA">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461E6762">
      <w:start w:val="1"/>
      <w:numFmt w:val="bullet"/>
      <w:lvlText w:val="-"/>
      <w:lvlJc w:val="left"/>
      <w:pPr>
        <w:ind w:left="1680" w:hanging="48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nsid w:val="3F3E62D7"/>
    <w:multiLevelType w:val="hybridMultilevel"/>
    <w:tmpl w:val="4596E4EA"/>
    <w:lvl w:ilvl="0" w:tplc="F6968AB8">
      <w:start w:val="1"/>
      <w:numFmt w:val="lowerLetter"/>
      <w:lvlText w:val="(%1)"/>
      <w:lvlJc w:val="left"/>
      <w:pPr>
        <w:ind w:left="1440" w:hanging="360"/>
      </w:pPr>
      <w:rPr>
        <w:rFonts w:ascii="Times New Roman"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49A926BE"/>
    <w:multiLevelType w:val="hybridMultilevel"/>
    <w:tmpl w:val="40FED2DE"/>
    <w:lvl w:ilvl="0" w:tplc="46627842">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25F4B1D"/>
    <w:multiLevelType w:val="hybridMultilevel"/>
    <w:tmpl w:val="325EA760"/>
    <w:lvl w:ilvl="0" w:tplc="6F8CEE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8CE1A80"/>
    <w:multiLevelType w:val="hybridMultilevel"/>
    <w:tmpl w:val="FC8C0A3E"/>
    <w:lvl w:ilvl="0" w:tplc="7BF025CA">
      <w:start w:val="1"/>
      <w:numFmt w:val="decimal"/>
      <w:lvlText w:val="%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5">
    <w:nsid w:val="5CE32A76"/>
    <w:multiLevelType w:val="hybridMultilevel"/>
    <w:tmpl w:val="F176C8EA"/>
    <w:lvl w:ilvl="0" w:tplc="33ACCDE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76012E6"/>
    <w:multiLevelType w:val="hybridMultilevel"/>
    <w:tmpl w:val="A8B6D954"/>
    <w:lvl w:ilvl="0" w:tplc="F648BB7C">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77A12CA"/>
    <w:multiLevelType w:val="hybridMultilevel"/>
    <w:tmpl w:val="0DF02170"/>
    <w:lvl w:ilvl="0" w:tplc="CE6C99EE">
      <w:start w:val="1"/>
      <w:numFmt w:val="bullet"/>
      <w:lvlText w:val=""/>
      <w:lvlJc w:val="left"/>
      <w:pPr>
        <w:ind w:left="360" w:hanging="360"/>
      </w:pPr>
      <w:rPr>
        <w:rFonts w:ascii="Symbol" w:hAnsi="Symbol" w:hint="default"/>
        <w:sz w:val="14"/>
      </w:rPr>
    </w:lvl>
    <w:lvl w:ilvl="1" w:tplc="0C090003" w:tentative="1">
      <w:start w:val="1"/>
      <w:numFmt w:val="bullet"/>
      <w:lvlText w:val="o"/>
      <w:lvlJc w:val="left"/>
      <w:pPr>
        <w:ind w:left="1027" w:hanging="360"/>
      </w:pPr>
      <w:rPr>
        <w:rFonts w:ascii="Courier New" w:hAnsi="Courier New" w:cs="Courier New" w:hint="default"/>
      </w:rPr>
    </w:lvl>
    <w:lvl w:ilvl="2" w:tplc="0C090005" w:tentative="1">
      <w:start w:val="1"/>
      <w:numFmt w:val="bullet"/>
      <w:lvlText w:val=""/>
      <w:lvlJc w:val="left"/>
      <w:pPr>
        <w:ind w:left="1747" w:hanging="360"/>
      </w:pPr>
      <w:rPr>
        <w:rFonts w:ascii="Wingdings" w:hAnsi="Wingdings" w:hint="default"/>
      </w:rPr>
    </w:lvl>
    <w:lvl w:ilvl="3" w:tplc="0C090001" w:tentative="1">
      <w:start w:val="1"/>
      <w:numFmt w:val="bullet"/>
      <w:lvlText w:val=""/>
      <w:lvlJc w:val="left"/>
      <w:pPr>
        <w:ind w:left="2467" w:hanging="360"/>
      </w:pPr>
      <w:rPr>
        <w:rFonts w:ascii="Symbol" w:hAnsi="Symbol" w:hint="default"/>
      </w:rPr>
    </w:lvl>
    <w:lvl w:ilvl="4" w:tplc="0C090003" w:tentative="1">
      <w:start w:val="1"/>
      <w:numFmt w:val="bullet"/>
      <w:lvlText w:val="o"/>
      <w:lvlJc w:val="left"/>
      <w:pPr>
        <w:ind w:left="3187" w:hanging="360"/>
      </w:pPr>
      <w:rPr>
        <w:rFonts w:ascii="Courier New" w:hAnsi="Courier New" w:cs="Courier New" w:hint="default"/>
      </w:rPr>
    </w:lvl>
    <w:lvl w:ilvl="5" w:tplc="0C090005" w:tentative="1">
      <w:start w:val="1"/>
      <w:numFmt w:val="bullet"/>
      <w:lvlText w:val=""/>
      <w:lvlJc w:val="left"/>
      <w:pPr>
        <w:ind w:left="3907" w:hanging="360"/>
      </w:pPr>
      <w:rPr>
        <w:rFonts w:ascii="Wingdings" w:hAnsi="Wingdings" w:hint="default"/>
      </w:rPr>
    </w:lvl>
    <w:lvl w:ilvl="6" w:tplc="0C090001" w:tentative="1">
      <w:start w:val="1"/>
      <w:numFmt w:val="bullet"/>
      <w:lvlText w:val=""/>
      <w:lvlJc w:val="left"/>
      <w:pPr>
        <w:ind w:left="4627" w:hanging="360"/>
      </w:pPr>
      <w:rPr>
        <w:rFonts w:ascii="Symbol" w:hAnsi="Symbol" w:hint="default"/>
      </w:rPr>
    </w:lvl>
    <w:lvl w:ilvl="7" w:tplc="0C090003" w:tentative="1">
      <w:start w:val="1"/>
      <w:numFmt w:val="bullet"/>
      <w:lvlText w:val="o"/>
      <w:lvlJc w:val="left"/>
      <w:pPr>
        <w:ind w:left="5347" w:hanging="360"/>
      </w:pPr>
      <w:rPr>
        <w:rFonts w:ascii="Courier New" w:hAnsi="Courier New" w:cs="Courier New" w:hint="default"/>
      </w:rPr>
    </w:lvl>
    <w:lvl w:ilvl="8" w:tplc="0C090005" w:tentative="1">
      <w:start w:val="1"/>
      <w:numFmt w:val="bullet"/>
      <w:lvlText w:val=""/>
      <w:lvlJc w:val="left"/>
      <w:pPr>
        <w:ind w:left="6067" w:hanging="360"/>
      </w:pPr>
      <w:rPr>
        <w:rFonts w:ascii="Wingdings" w:hAnsi="Wingdings" w:hint="default"/>
      </w:rPr>
    </w:lvl>
  </w:abstractNum>
  <w:abstractNum w:abstractNumId="18">
    <w:nsid w:val="6DA23CB3"/>
    <w:multiLevelType w:val="hybridMultilevel"/>
    <w:tmpl w:val="AC9EAA72"/>
    <w:lvl w:ilvl="0" w:tplc="75B8A72E">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23A784D"/>
    <w:multiLevelType w:val="hybridMultilevel"/>
    <w:tmpl w:val="086A081E"/>
    <w:lvl w:ilvl="0" w:tplc="7BF025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60B5F45"/>
    <w:multiLevelType w:val="hybridMultilevel"/>
    <w:tmpl w:val="D19492FA"/>
    <w:lvl w:ilvl="0" w:tplc="ED30CAF2">
      <w:start w:val="1"/>
      <w:numFmt w:val="lowerLetter"/>
      <w:lvlText w:val="(%1)"/>
      <w:lvlJc w:val="left"/>
      <w:pPr>
        <w:ind w:left="1494" w:hanging="360"/>
      </w:pPr>
      <w:rPr>
        <w:rFonts w:hint="default"/>
      </w:rPr>
    </w:lvl>
    <w:lvl w:ilvl="1" w:tplc="0C090019">
      <w:start w:val="1"/>
      <w:numFmt w:val="lowerLetter"/>
      <w:lvlText w:val="%2."/>
      <w:lvlJc w:val="left"/>
      <w:pPr>
        <w:ind w:left="2214" w:hanging="360"/>
      </w:pPr>
    </w:lvl>
    <w:lvl w:ilvl="2" w:tplc="228A9048">
      <w:numFmt w:val="bullet"/>
      <w:lvlText w:val="·"/>
      <w:lvlJc w:val="left"/>
      <w:pPr>
        <w:ind w:left="3114" w:hanging="360"/>
      </w:pPr>
      <w:rPr>
        <w:rFonts w:ascii="Times New Roman" w:eastAsia="Arial" w:hAnsi="Times New Roman" w:cs="Times New Roman" w:hint="default"/>
      </w:r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1">
    <w:nsid w:val="782B4FE4"/>
    <w:multiLevelType w:val="hybridMultilevel"/>
    <w:tmpl w:val="45EE1FF2"/>
    <w:lvl w:ilvl="0" w:tplc="CD90C4A6">
      <w:start w:val="1"/>
      <w:numFmt w:val="bullet"/>
      <w:lvlText w:val=""/>
      <w:lvlJc w:val="left"/>
      <w:pPr>
        <w:ind w:left="72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7A682E77"/>
    <w:multiLevelType w:val="hybridMultilevel"/>
    <w:tmpl w:val="9D60D5F2"/>
    <w:lvl w:ilvl="0" w:tplc="7BF025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DCD78C0"/>
    <w:multiLevelType w:val="hybridMultilevel"/>
    <w:tmpl w:val="42E6FEFE"/>
    <w:lvl w:ilvl="0" w:tplc="95F43A04">
      <w:start w:val="1"/>
      <w:numFmt w:val="bullet"/>
      <w:lvlText w:val=""/>
      <w:lvlJc w:val="left"/>
      <w:pPr>
        <w:ind w:left="644" w:hanging="360"/>
      </w:pPr>
      <w:rPr>
        <w:rFonts w:ascii="Symbol" w:hAnsi="Symbol" w:hint="default"/>
        <w:sz w:val="16"/>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num w:numId="1">
    <w:abstractNumId w:val="0"/>
  </w:num>
  <w:num w:numId="2">
    <w:abstractNumId w:val="11"/>
  </w:num>
  <w:num w:numId="3">
    <w:abstractNumId w:val="14"/>
  </w:num>
  <w:num w:numId="4">
    <w:abstractNumId w:val="6"/>
  </w:num>
  <w:num w:numId="5">
    <w:abstractNumId w:val="8"/>
  </w:num>
  <w:num w:numId="6">
    <w:abstractNumId w:val="9"/>
  </w:num>
  <w:num w:numId="7">
    <w:abstractNumId w:val="2"/>
  </w:num>
  <w:num w:numId="8">
    <w:abstractNumId w:val="16"/>
  </w:num>
  <w:num w:numId="9">
    <w:abstractNumId w:val="18"/>
  </w:num>
  <w:num w:numId="10">
    <w:abstractNumId w:val="13"/>
  </w:num>
  <w:num w:numId="11">
    <w:abstractNumId w:val="7"/>
  </w:num>
  <w:num w:numId="12">
    <w:abstractNumId w:val="20"/>
  </w:num>
  <w:num w:numId="13">
    <w:abstractNumId w:val="1"/>
  </w:num>
  <w:num w:numId="14">
    <w:abstractNumId w:val="12"/>
  </w:num>
  <w:num w:numId="15">
    <w:abstractNumId w:val="10"/>
  </w:num>
  <w:num w:numId="16">
    <w:abstractNumId w:val="21"/>
  </w:num>
  <w:num w:numId="17">
    <w:abstractNumId w:val="23"/>
  </w:num>
  <w:num w:numId="18">
    <w:abstractNumId w:val="22"/>
  </w:num>
  <w:num w:numId="19">
    <w:abstractNumId w:val="19"/>
  </w:num>
  <w:num w:numId="20">
    <w:abstractNumId w:val="3"/>
  </w:num>
  <w:num w:numId="21">
    <w:abstractNumId w:val="15"/>
  </w:num>
  <w:num w:numId="22">
    <w:abstractNumId w:val="4"/>
  </w:num>
  <w:num w:numId="23">
    <w:abstractNumId w:val="17"/>
  </w:num>
  <w:num w:numId="2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 Quach">
    <w15:presenceInfo w15:providerId="None" w15:userId="Michael Quac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
  <w:docVars>
    <w:docVar w:name="dgnword-docGUID" w:val="{1355ECDB-E286-4DB2-870F-7980540E11CE}"/>
    <w:docVar w:name="dgnword-eventsink" w:val="355871104"/>
  </w:docVars>
  <w:rsids>
    <w:rsidRoot w:val="004A69D6"/>
    <w:rsid w:val="0000196E"/>
    <w:rsid w:val="00002EE4"/>
    <w:rsid w:val="000056BF"/>
    <w:rsid w:val="000066A5"/>
    <w:rsid w:val="00011413"/>
    <w:rsid w:val="00026444"/>
    <w:rsid w:val="00034781"/>
    <w:rsid w:val="00047BF8"/>
    <w:rsid w:val="00055CE0"/>
    <w:rsid w:val="000614C1"/>
    <w:rsid w:val="000661C5"/>
    <w:rsid w:val="00067E61"/>
    <w:rsid w:val="00087B7B"/>
    <w:rsid w:val="000951AA"/>
    <w:rsid w:val="00095D31"/>
    <w:rsid w:val="000A1BE3"/>
    <w:rsid w:val="000B0BBF"/>
    <w:rsid w:val="000B21CA"/>
    <w:rsid w:val="000B31D3"/>
    <w:rsid w:val="000B3317"/>
    <w:rsid w:val="000C763A"/>
    <w:rsid w:val="000D3311"/>
    <w:rsid w:val="000D38DE"/>
    <w:rsid w:val="000D7124"/>
    <w:rsid w:val="000E4F5B"/>
    <w:rsid w:val="000F1397"/>
    <w:rsid w:val="00111FB1"/>
    <w:rsid w:val="00116963"/>
    <w:rsid w:val="0012620F"/>
    <w:rsid w:val="00143385"/>
    <w:rsid w:val="00160D43"/>
    <w:rsid w:val="00164580"/>
    <w:rsid w:val="001725F3"/>
    <w:rsid w:val="00185C0C"/>
    <w:rsid w:val="0018635D"/>
    <w:rsid w:val="00187416"/>
    <w:rsid w:val="001919EE"/>
    <w:rsid w:val="001A0E68"/>
    <w:rsid w:val="001A3691"/>
    <w:rsid w:val="001B36AE"/>
    <w:rsid w:val="001D164F"/>
    <w:rsid w:val="001D2B11"/>
    <w:rsid w:val="001E2C86"/>
    <w:rsid w:val="001E2F86"/>
    <w:rsid w:val="001E3658"/>
    <w:rsid w:val="001F1344"/>
    <w:rsid w:val="002013A2"/>
    <w:rsid w:val="002031A4"/>
    <w:rsid w:val="00204877"/>
    <w:rsid w:val="002235CA"/>
    <w:rsid w:val="002467E8"/>
    <w:rsid w:val="0026188F"/>
    <w:rsid w:val="002A2CAA"/>
    <w:rsid w:val="002D0EB5"/>
    <w:rsid w:val="002D125D"/>
    <w:rsid w:val="002E04AD"/>
    <w:rsid w:val="002E5202"/>
    <w:rsid w:val="002F1CAF"/>
    <w:rsid w:val="00301AB6"/>
    <w:rsid w:val="00305FA7"/>
    <w:rsid w:val="00310014"/>
    <w:rsid w:val="003140E4"/>
    <w:rsid w:val="00341C54"/>
    <w:rsid w:val="003444E8"/>
    <w:rsid w:val="0034532B"/>
    <w:rsid w:val="00347898"/>
    <w:rsid w:val="00363AB3"/>
    <w:rsid w:val="00372CE9"/>
    <w:rsid w:val="00372FAB"/>
    <w:rsid w:val="0038070D"/>
    <w:rsid w:val="003A642F"/>
    <w:rsid w:val="003A6B40"/>
    <w:rsid w:val="003C3026"/>
    <w:rsid w:val="003E4453"/>
    <w:rsid w:val="003F3CFA"/>
    <w:rsid w:val="003F7C50"/>
    <w:rsid w:val="00432CAB"/>
    <w:rsid w:val="004542F7"/>
    <w:rsid w:val="004618DE"/>
    <w:rsid w:val="00472198"/>
    <w:rsid w:val="0048377E"/>
    <w:rsid w:val="004946B7"/>
    <w:rsid w:val="00495A84"/>
    <w:rsid w:val="004A069C"/>
    <w:rsid w:val="004A69D6"/>
    <w:rsid w:val="004B346F"/>
    <w:rsid w:val="004B5C9E"/>
    <w:rsid w:val="004B5FEA"/>
    <w:rsid w:val="004C5FD1"/>
    <w:rsid w:val="004E6609"/>
    <w:rsid w:val="004E6E26"/>
    <w:rsid w:val="005006C3"/>
    <w:rsid w:val="0050346A"/>
    <w:rsid w:val="005038DF"/>
    <w:rsid w:val="00504993"/>
    <w:rsid w:val="00506048"/>
    <w:rsid w:val="00523BD2"/>
    <w:rsid w:val="00527A6B"/>
    <w:rsid w:val="00531850"/>
    <w:rsid w:val="005319B6"/>
    <w:rsid w:val="00532994"/>
    <w:rsid w:val="00534AE4"/>
    <w:rsid w:val="00537CED"/>
    <w:rsid w:val="00557A82"/>
    <w:rsid w:val="00564588"/>
    <w:rsid w:val="00596147"/>
    <w:rsid w:val="005B0760"/>
    <w:rsid w:val="005C2889"/>
    <w:rsid w:val="005C7DE1"/>
    <w:rsid w:val="005D2F5C"/>
    <w:rsid w:val="005E7FE4"/>
    <w:rsid w:val="005F1575"/>
    <w:rsid w:val="006007CD"/>
    <w:rsid w:val="00603284"/>
    <w:rsid w:val="00611CCB"/>
    <w:rsid w:val="00621440"/>
    <w:rsid w:val="00621859"/>
    <w:rsid w:val="00627977"/>
    <w:rsid w:val="00645E6E"/>
    <w:rsid w:val="00656EF7"/>
    <w:rsid w:val="00660309"/>
    <w:rsid w:val="0066196E"/>
    <w:rsid w:val="006728F3"/>
    <w:rsid w:val="00677CA5"/>
    <w:rsid w:val="00684E59"/>
    <w:rsid w:val="00684FD0"/>
    <w:rsid w:val="00692788"/>
    <w:rsid w:val="0069737C"/>
    <w:rsid w:val="006A25CD"/>
    <w:rsid w:val="006B6943"/>
    <w:rsid w:val="006C340E"/>
    <w:rsid w:val="006C48B6"/>
    <w:rsid w:val="006C50C0"/>
    <w:rsid w:val="006E61A1"/>
    <w:rsid w:val="006F0CDA"/>
    <w:rsid w:val="006F2418"/>
    <w:rsid w:val="00706298"/>
    <w:rsid w:val="00715725"/>
    <w:rsid w:val="00720CD7"/>
    <w:rsid w:val="007240AA"/>
    <w:rsid w:val="0073261E"/>
    <w:rsid w:val="007365F5"/>
    <w:rsid w:val="00747CC3"/>
    <w:rsid w:val="007527C6"/>
    <w:rsid w:val="00764C42"/>
    <w:rsid w:val="00771C58"/>
    <w:rsid w:val="00780A2F"/>
    <w:rsid w:val="007871FF"/>
    <w:rsid w:val="00792221"/>
    <w:rsid w:val="007A6552"/>
    <w:rsid w:val="007C4C91"/>
    <w:rsid w:val="007D2220"/>
    <w:rsid w:val="007D518A"/>
    <w:rsid w:val="008078F9"/>
    <w:rsid w:val="00811FC7"/>
    <w:rsid w:val="00830216"/>
    <w:rsid w:val="00831104"/>
    <w:rsid w:val="00831BC1"/>
    <w:rsid w:val="00832ECF"/>
    <w:rsid w:val="0083534B"/>
    <w:rsid w:val="008419F3"/>
    <w:rsid w:val="0084385E"/>
    <w:rsid w:val="008473F1"/>
    <w:rsid w:val="0085573B"/>
    <w:rsid w:val="00856267"/>
    <w:rsid w:val="00861252"/>
    <w:rsid w:val="00866A85"/>
    <w:rsid w:val="00890ACC"/>
    <w:rsid w:val="0089188C"/>
    <w:rsid w:val="00895C9F"/>
    <w:rsid w:val="008A6F4B"/>
    <w:rsid w:val="008B1888"/>
    <w:rsid w:val="008B2591"/>
    <w:rsid w:val="008B61CB"/>
    <w:rsid w:val="008C5EE9"/>
    <w:rsid w:val="008D2E32"/>
    <w:rsid w:val="008D341C"/>
    <w:rsid w:val="009059B7"/>
    <w:rsid w:val="009118AC"/>
    <w:rsid w:val="00911B6E"/>
    <w:rsid w:val="009219C3"/>
    <w:rsid w:val="00924C41"/>
    <w:rsid w:val="00927070"/>
    <w:rsid w:val="00942768"/>
    <w:rsid w:val="00954E66"/>
    <w:rsid w:val="009622F6"/>
    <w:rsid w:val="00967812"/>
    <w:rsid w:val="00970E78"/>
    <w:rsid w:val="00982DC4"/>
    <w:rsid w:val="00983B36"/>
    <w:rsid w:val="00985C46"/>
    <w:rsid w:val="00985CA3"/>
    <w:rsid w:val="00995434"/>
    <w:rsid w:val="009B05D7"/>
    <w:rsid w:val="009B27E3"/>
    <w:rsid w:val="009D5067"/>
    <w:rsid w:val="00A322CF"/>
    <w:rsid w:val="00A331BC"/>
    <w:rsid w:val="00A372B7"/>
    <w:rsid w:val="00A42B19"/>
    <w:rsid w:val="00A45985"/>
    <w:rsid w:val="00A47BC4"/>
    <w:rsid w:val="00A6384D"/>
    <w:rsid w:val="00A7202A"/>
    <w:rsid w:val="00A812F6"/>
    <w:rsid w:val="00A910B7"/>
    <w:rsid w:val="00AA2EAB"/>
    <w:rsid w:val="00AA58D4"/>
    <w:rsid w:val="00AB3A4B"/>
    <w:rsid w:val="00AC2F3E"/>
    <w:rsid w:val="00AC65C5"/>
    <w:rsid w:val="00AD4944"/>
    <w:rsid w:val="00AE2FFF"/>
    <w:rsid w:val="00AE5A69"/>
    <w:rsid w:val="00AE5F54"/>
    <w:rsid w:val="00AE6D5A"/>
    <w:rsid w:val="00AF20C2"/>
    <w:rsid w:val="00AF4908"/>
    <w:rsid w:val="00B06EDE"/>
    <w:rsid w:val="00B10F6B"/>
    <w:rsid w:val="00B21CBF"/>
    <w:rsid w:val="00B23A21"/>
    <w:rsid w:val="00B32125"/>
    <w:rsid w:val="00B509CA"/>
    <w:rsid w:val="00B544B5"/>
    <w:rsid w:val="00B569AD"/>
    <w:rsid w:val="00B66FA0"/>
    <w:rsid w:val="00B6704A"/>
    <w:rsid w:val="00B821ED"/>
    <w:rsid w:val="00B84579"/>
    <w:rsid w:val="00B8582E"/>
    <w:rsid w:val="00B8607C"/>
    <w:rsid w:val="00B91A8B"/>
    <w:rsid w:val="00BB2626"/>
    <w:rsid w:val="00BB2C5F"/>
    <w:rsid w:val="00BB631B"/>
    <w:rsid w:val="00BC3A3B"/>
    <w:rsid w:val="00BC51BB"/>
    <w:rsid w:val="00BC7929"/>
    <w:rsid w:val="00BD4793"/>
    <w:rsid w:val="00BE0C89"/>
    <w:rsid w:val="00BF4A25"/>
    <w:rsid w:val="00C22A58"/>
    <w:rsid w:val="00C3029A"/>
    <w:rsid w:val="00C3729E"/>
    <w:rsid w:val="00C43340"/>
    <w:rsid w:val="00C463D3"/>
    <w:rsid w:val="00C717AF"/>
    <w:rsid w:val="00C82955"/>
    <w:rsid w:val="00C9180E"/>
    <w:rsid w:val="00C97A52"/>
    <w:rsid w:val="00CA5FF4"/>
    <w:rsid w:val="00CE0843"/>
    <w:rsid w:val="00CE1732"/>
    <w:rsid w:val="00CE2CF2"/>
    <w:rsid w:val="00CE5A07"/>
    <w:rsid w:val="00CF0E32"/>
    <w:rsid w:val="00D270A9"/>
    <w:rsid w:val="00D32874"/>
    <w:rsid w:val="00D3391F"/>
    <w:rsid w:val="00D40BBB"/>
    <w:rsid w:val="00D43097"/>
    <w:rsid w:val="00D46040"/>
    <w:rsid w:val="00D52C4F"/>
    <w:rsid w:val="00D62582"/>
    <w:rsid w:val="00D62623"/>
    <w:rsid w:val="00D6573D"/>
    <w:rsid w:val="00D81844"/>
    <w:rsid w:val="00D90ACA"/>
    <w:rsid w:val="00D91AA7"/>
    <w:rsid w:val="00DA1EE4"/>
    <w:rsid w:val="00DA584B"/>
    <w:rsid w:val="00DA5C6D"/>
    <w:rsid w:val="00DA5F97"/>
    <w:rsid w:val="00DA64AA"/>
    <w:rsid w:val="00DB5359"/>
    <w:rsid w:val="00DD0A04"/>
    <w:rsid w:val="00DD1B44"/>
    <w:rsid w:val="00DF0110"/>
    <w:rsid w:val="00E25DC4"/>
    <w:rsid w:val="00E327D2"/>
    <w:rsid w:val="00E37B28"/>
    <w:rsid w:val="00E46233"/>
    <w:rsid w:val="00E63F90"/>
    <w:rsid w:val="00E76A1E"/>
    <w:rsid w:val="00E81634"/>
    <w:rsid w:val="00EB4544"/>
    <w:rsid w:val="00EB53E6"/>
    <w:rsid w:val="00EB7382"/>
    <w:rsid w:val="00EB7A69"/>
    <w:rsid w:val="00EC0EE4"/>
    <w:rsid w:val="00ED5E14"/>
    <w:rsid w:val="00EE6D3D"/>
    <w:rsid w:val="00EE76C2"/>
    <w:rsid w:val="00F03E00"/>
    <w:rsid w:val="00F05F2A"/>
    <w:rsid w:val="00F11BB1"/>
    <w:rsid w:val="00F23F0C"/>
    <w:rsid w:val="00F471DF"/>
    <w:rsid w:val="00F61C24"/>
    <w:rsid w:val="00F82139"/>
    <w:rsid w:val="00F82B80"/>
    <w:rsid w:val="00FA53F1"/>
    <w:rsid w:val="00FA6AFE"/>
    <w:rsid w:val="00FB3CA6"/>
    <w:rsid w:val="00FC0DA6"/>
    <w:rsid w:val="00FD0D30"/>
    <w:rsid w:val="00FD341D"/>
    <w:rsid w:val="00FD7B9C"/>
    <w:rsid w:val="00FE06BB"/>
    <w:rsid w:val="00FF5BE5"/>
    <w:rsid w:val="00FF66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812"/>
    <w:rPr>
      <w:lang w:val="en-AU"/>
    </w:rPr>
  </w:style>
  <w:style w:type="paragraph" w:styleId="Heading1">
    <w:name w:val="heading 1"/>
    <w:basedOn w:val="Normal"/>
    <w:next w:val="Normal"/>
    <w:link w:val="Heading1Char"/>
    <w:uiPriority w:val="9"/>
    <w:qFormat/>
    <w:rsid w:val="00DA5F97"/>
    <w:pPr>
      <w:keepNext/>
      <w:keepLines/>
      <w:spacing w:before="480"/>
      <w:outlineLvl w:val="0"/>
    </w:pPr>
    <w:rPr>
      <w:rFonts w:ascii="Helvetica" w:eastAsiaTheme="majorEastAsia" w:hAnsi="Helvetica" w:cstheme="majorBidi"/>
      <w:b/>
      <w:bCs/>
      <w:color w:val="365F91" w:themeColor="accent1" w:themeShade="BF"/>
      <w:sz w:val="28"/>
      <w:szCs w:val="28"/>
    </w:rPr>
  </w:style>
  <w:style w:type="paragraph" w:styleId="Heading9">
    <w:name w:val="heading 9"/>
    <w:basedOn w:val="Normal"/>
    <w:next w:val="Normal"/>
    <w:link w:val="Heading9Char"/>
    <w:uiPriority w:val="9"/>
    <w:unhideWhenUsed/>
    <w:qFormat/>
    <w:rsid w:val="00504993"/>
    <w:pPr>
      <w:spacing w:after="120" w:line="252" w:lineRule="auto"/>
      <w:jc w:val="center"/>
      <w:outlineLvl w:val="8"/>
    </w:pPr>
    <w:rPr>
      <w:rFonts w:ascii="Century Gothic" w:hAnsi="Century Gothic"/>
      <w:i/>
      <w:iCs/>
      <w:caps/>
      <w:spacing w:val="1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F97"/>
    <w:rPr>
      <w:rFonts w:ascii="Helvetica" w:eastAsiaTheme="majorEastAsia" w:hAnsi="Helvetica" w:cstheme="majorBidi"/>
      <w:b/>
      <w:bCs/>
      <w:color w:val="365F91" w:themeColor="accent1" w:themeShade="BF"/>
      <w:sz w:val="28"/>
      <w:szCs w:val="28"/>
    </w:rPr>
  </w:style>
  <w:style w:type="character" w:customStyle="1" w:styleId="Heading9Char">
    <w:name w:val="Heading 9 Char"/>
    <w:basedOn w:val="DefaultParagraphFont"/>
    <w:link w:val="Heading9"/>
    <w:uiPriority w:val="9"/>
    <w:rsid w:val="00504993"/>
    <w:rPr>
      <w:rFonts w:ascii="Century Gothic" w:hAnsi="Century Gothic"/>
      <w:i/>
      <w:iCs/>
      <w:caps/>
      <w:spacing w:val="10"/>
      <w:sz w:val="20"/>
      <w:szCs w:val="20"/>
    </w:rPr>
  </w:style>
  <w:style w:type="character" w:styleId="BookTitle">
    <w:name w:val="Book Title"/>
    <w:aliases w:val="legislation"/>
    <w:uiPriority w:val="33"/>
    <w:qFormat/>
    <w:rsid w:val="006F2418"/>
    <w:rPr>
      <w:rFonts w:ascii="Axis" w:hAnsi="Axis"/>
      <w:caps/>
      <w:color w:val="145CB8"/>
      <w:spacing w:val="5"/>
      <w:sz w:val="24"/>
      <w:u w:color="622423" w:themeColor="accent2" w:themeShade="7F"/>
    </w:rPr>
  </w:style>
  <w:style w:type="paragraph" w:styleId="Header">
    <w:name w:val="header"/>
    <w:basedOn w:val="Normal"/>
    <w:link w:val="HeaderChar"/>
    <w:uiPriority w:val="99"/>
    <w:unhideWhenUsed/>
    <w:rsid w:val="004A69D6"/>
    <w:pPr>
      <w:tabs>
        <w:tab w:val="center" w:pos="4320"/>
        <w:tab w:val="right" w:pos="8640"/>
      </w:tabs>
    </w:pPr>
  </w:style>
  <w:style w:type="character" w:customStyle="1" w:styleId="HeaderChar">
    <w:name w:val="Header Char"/>
    <w:basedOn w:val="DefaultParagraphFont"/>
    <w:link w:val="Header"/>
    <w:uiPriority w:val="99"/>
    <w:rsid w:val="004A69D6"/>
    <w:rPr>
      <w:lang w:val="en-AU"/>
    </w:rPr>
  </w:style>
  <w:style w:type="paragraph" w:styleId="Footer">
    <w:name w:val="footer"/>
    <w:basedOn w:val="Normal"/>
    <w:link w:val="FooterChar"/>
    <w:uiPriority w:val="99"/>
    <w:unhideWhenUsed/>
    <w:rsid w:val="004A69D6"/>
    <w:pPr>
      <w:tabs>
        <w:tab w:val="center" w:pos="4320"/>
        <w:tab w:val="right" w:pos="8640"/>
      </w:tabs>
    </w:pPr>
  </w:style>
  <w:style w:type="character" w:customStyle="1" w:styleId="FooterChar">
    <w:name w:val="Footer Char"/>
    <w:basedOn w:val="DefaultParagraphFont"/>
    <w:link w:val="Footer"/>
    <w:uiPriority w:val="99"/>
    <w:rsid w:val="004A69D6"/>
    <w:rPr>
      <w:lang w:val="en-AU"/>
    </w:rPr>
  </w:style>
  <w:style w:type="paragraph" w:styleId="BalloonText">
    <w:name w:val="Balloon Text"/>
    <w:basedOn w:val="Normal"/>
    <w:link w:val="BalloonTextChar"/>
    <w:uiPriority w:val="99"/>
    <w:semiHidden/>
    <w:unhideWhenUsed/>
    <w:rsid w:val="004A69D6"/>
    <w:rPr>
      <w:rFonts w:ascii="Lucida Grande" w:hAnsi="Lucida Grande"/>
      <w:sz w:val="18"/>
      <w:szCs w:val="18"/>
    </w:rPr>
  </w:style>
  <w:style w:type="character" w:customStyle="1" w:styleId="BalloonTextChar">
    <w:name w:val="Balloon Text Char"/>
    <w:basedOn w:val="DefaultParagraphFont"/>
    <w:link w:val="BalloonText"/>
    <w:uiPriority w:val="99"/>
    <w:semiHidden/>
    <w:rsid w:val="004A69D6"/>
    <w:rPr>
      <w:rFonts w:ascii="Lucida Grande" w:hAnsi="Lucida Grande"/>
      <w:sz w:val="18"/>
      <w:szCs w:val="18"/>
      <w:lang w:val="en-AU"/>
    </w:rPr>
  </w:style>
  <w:style w:type="paragraph" w:styleId="NormalWeb">
    <w:name w:val="Normal (Web)"/>
    <w:basedOn w:val="Normal"/>
    <w:uiPriority w:val="99"/>
    <w:semiHidden/>
    <w:unhideWhenUsed/>
    <w:rsid w:val="004A69D6"/>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4A69D6"/>
  </w:style>
  <w:style w:type="character" w:styleId="CommentReference">
    <w:name w:val="annotation reference"/>
    <w:basedOn w:val="DefaultParagraphFont"/>
    <w:uiPriority w:val="99"/>
    <w:semiHidden/>
    <w:unhideWhenUsed/>
    <w:rsid w:val="00C463D3"/>
    <w:rPr>
      <w:sz w:val="18"/>
      <w:szCs w:val="18"/>
    </w:rPr>
  </w:style>
  <w:style w:type="paragraph" w:styleId="CommentText">
    <w:name w:val="annotation text"/>
    <w:basedOn w:val="Normal"/>
    <w:link w:val="CommentTextChar"/>
    <w:uiPriority w:val="99"/>
    <w:semiHidden/>
    <w:unhideWhenUsed/>
    <w:rsid w:val="00C463D3"/>
    <w:pPr>
      <w:spacing w:after="200"/>
    </w:pPr>
    <w:rPr>
      <w:rFonts w:ascii="Calibri" w:hAnsi="Calibri"/>
      <w:lang w:val="en-US" w:eastAsia="ja-JP"/>
    </w:rPr>
  </w:style>
  <w:style w:type="character" w:customStyle="1" w:styleId="CommentTextChar">
    <w:name w:val="Comment Text Char"/>
    <w:basedOn w:val="DefaultParagraphFont"/>
    <w:link w:val="CommentText"/>
    <w:uiPriority w:val="99"/>
    <w:semiHidden/>
    <w:rsid w:val="00C463D3"/>
    <w:rPr>
      <w:rFonts w:ascii="Calibri" w:hAnsi="Calibri"/>
      <w:lang w:eastAsia="ja-JP"/>
    </w:rPr>
  </w:style>
  <w:style w:type="paragraph" w:styleId="CommentSubject">
    <w:name w:val="annotation subject"/>
    <w:basedOn w:val="CommentText"/>
    <w:next w:val="CommentText"/>
    <w:link w:val="CommentSubjectChar"/>
    <w:uiPriority w:val="99"/>
    <w:semiHidden/>
    <w:unhideWhenUsed/>
    <w:rsid w:val="00095D31"/>
    <w:pPr>
      <w:spacing w:after="0"/>
    </w:pPr>
    <w:rPr>
      <w:rFonts w:asciiTheme="minorHAnsi" w:hAnsiTheme="minorHAnsi"/>
      <w:b/>
      <w:bCs/>
      <w:sz w:val="20"/>
      <w:szCs w:val="20"/>
      <w:lang w:val="en-AU" w:eastAsia="en-US"/>
    </w:rPr>
  </w:style>
  <w:style w:type="character" w:customStyle="1" w:styleId="CommentSubjectChar">
    <w:name w:val="Comment Subject Char"/>
    <w:basedOn w:val="CommentTextChar"/>
    <w:link w:val="CommentSubject"/>
    <w:uiPriority w:val="99"/>
    <w:semiHidden/>
    <w:rsid w:val="00095D31"/>
    <w:rPr>
      <w:rFonts w:ascii="Calibri" w:hAnsi="Calibri"/>
      <w:b/>
      <w:bCs/>
      <w:sz w:val="20"/>
      <w:szCs w:val="20"/>
      <w:lang w:val="en-AU" w:eastAsia="ja-JP"/>
    </w:rPr>
  </w:style>
  <w:style w:type="paragraph" w:styleId="FootnoteText">
    <w:name w:val="footnote text"/>
    <w:basedOn w:val="Normal"/>
    <w:link w:val="FootnoteTextChar"/>
    <w:uiPriority w:val="99"/>
    <w:unhideWhenUsed/>
    <w:rsid w:val="00603284"/>
    <w:rPr>
      <w:rFonts w:eastAsiaTheme="minorHAnsi"/>
    </w:rPr>
  </w:style>
  <w:style w:type="character" w:customStyle="1" w:styleId="FootnoteTextChar">
    <w:name w:val="Footnote Text Char"/>
    <w:basedOn w:val="DefaultParagraphFont"/>
    <w:link w:val="FootnoteText"/>
    <w:uiPriority w:val="99"/>
    <w:rsid w:val="00603284"/>
    <w:rPr>
      <w:rFonts w:eastAsiaTheme="minorHAnsi"/>
      <w:lang w:val="en-AU"/>
    </w:rPr>
  </w:style>
  <w:style w:type="character" w:styleId="FootnoteReference">
    <w:name w:val="footnote reference"/>
    <w:basedOn w:val="DefaultParagraphFont"/>
    <w:uiPriority w:val="99"/>
    <w:unhideWhenUsed/>
    <w:rsid w:val="00603284"/>
    <w:rPr>
      <w:vertAlign w:val="superscript"/>
    </w:rPr>
  </w:style>
  <w:style w:type="character" w:styleId="Hyperlink">
    <w:name w:val="Hyperlink"/>
    <w:basedOn w:val="DefaultParagraphFont"/>
    <w:uiPriority w:val="99"/>
    <w:unhideWhenUsed/>
    <w:rsid w:val="00603284"/>
    <w:rPr>
      <w:color w:val="0000FF" w:themeColor="hyperlink"/>
      <w:u w:val="single"/>
    </w:rPr>
  </w:style>
  <w:style w:type="paragraph" w:styleId="ListParagraph">
    <w:name w:val="List Paragraph"/>
    <w:basedOn w:val="Normal"/>
    <w:uiPriority w:val="34"/>
    <w:qFormat/>
    <w:rsid w:val="000D3311"/>
    <w:pPr>
      <w:ind w:left="720"/>
      <w:contextualSpacing/>
    </w:pPr>
    <w:rPr>
      <w:rFonts w:eastAsiaTheme="minorHAnsi"/>
    </w:rPr>
  </w:style>
  <w:style w:type="table" w:styleId="TableGrid">
    <w:name w:val="Table Grid"/>
    <w:basedOn w:val="TableNormal"/>
    <w:uiPriority w:val="39"/>
    <w:rsid w:val="000F13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D91AA7"/>
    <w:rPr>
      <w:rFonts w:ascii="Times New Roman" w:eastAsia="Arial Unicode MS" w:hAnsi="Times New Roman" w:cs="Arial Unicode MS"/>
      <w:color w:val="000000"/>
      <w:u w:color="000000"/>
      <w:lang w:eastAsia="en-AU"/>
    </w:rPr>
  </w:style>
  <w:style w:type="paragraph" w:customStyle="1" w:styleId="Footnote">
    <w:name w:val="Footnote"/>
    <w:rsid w:val="00D91AA7"/>
    <w:rPr>
      <w:rFonts w:ascii="Helvetica" w:eastAsia="Helvetica" w:hAnsi="Helvetica" w:cs="Helvetica"/>
      <w:color w:val="000000"/>
      <w:sz w:val="22"/>
      <w:szCs w:val="22"/>
      <w:lang w:val="en-AU" w:eastAsia="en-AU"/>
    </w:rPr>
  </w:style>
  <w:style w:type="paragraph" w:customStyle="1" w:styleId="BodyA">
    <w:name w:val="Body A"/>
    <w:rsid w:val="00D91AA7"/>
    <w:rPr>
      <w:rFonts w:ascii="Helvetica" w:eastAsia="Arial Unicode MS" w:hAnsi="Helvetica" w:cs="Arial Unicode MS"/>
      <w:color w:val="000000"/>
      <w:sz w:val="22"/>
      <w:szCs w:val="22"/>
      <w:u w:color="000000"/>
      <w:lang w:eastAsia="en-AU"/>
    </w:rPr>
  </w:style>
  <w:style w:type="character" w:customStyle="1" w:styleId="None">
    <w:name w:val="None"/>
    <w:rsid w:val="00D91AA7"/>
  </w:style>
  <w:style w:type="character" w:customStyle="1" w:styleId="Hyperlink0">
    <w:name w:val="Hyperlink.0"/>
    <w:basedOn w:val="None"/>
    <w:rsid w:val="00D91AA7"/>
    <w:rPr>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DA5F97"/>
    <w:pPr>
      <w:keepNext/>
      <w:keepLines/>
      <w:spacing w:before="480"/>
      <w:outlineLvl w:val="0"/>
    </w:pPr>
    <w:rPr>
      <w:rFonts w:ascii="Helvetica" w:eastAsiaTheme="majorEastAsia" w:hAnsi="Helvetica" w:cstheme="majorBidi"/>
      <w:b/>
      <w:bCs/>
      <w:color w:val="365F91" w:themeColor="accent1" w:themeShade="BF"/>
      <w:sz w:val="28"/>
      <w:szCs w:val="28"/>
    </w:rPr>
  </w:style>
  <w:style w:type="paragraph" w:styleId="Heading9">
    <w:name w:val="heading 9"/>
    <w:basedOn w:val="Normal"/>
    <w:next w:val="Normal"/>
    <w:link w:val="Heading9Char"/>
    <w:uiPriority w:val="9"/>
    <w:unhideWhenUsed/>
    <w:qFormat/>
    <w:rsid w:val="00504993"/>
    <w:pPr>
      <w:spacing w:after="120" w:line="252" w:lineRule="auto"/>
      <w:jc w:val="center"/>
      <w:outlineLvl w:val="8"/>
    </w:pPr>
    <w:rPr>
      <w:rFonts w:ascii="Century Gothic" w:hAnsi="Century Gothic"/>
      <w:i/>
      <w:iCs/>
      <w:caps/>
      <w:spacing w:val="1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F97"/>
    <w:rPr>
      <w:rFonts w:ascii="Helvetica" w:eastAsiaTheme="majorEastAsia" w:hAnsi="Helvetica" w:cstheme="majorBidi"/>
      <w:b/>
      <w:bCs/>
      <w:color w:val="365F91" w:themeColor="accent1" w:themeShade="BF"/>
      <w:sz w:val="28"/>
      <w:szCs w:val="28"/>
    </w:rPr>
  </w:style>
  <w:style w:type="character" w:customStyle="1" w:styleId="Heading9Char">
    <w:name w:val="Heading 9 Char"/>
    <w:basedOn w:val="DefaultParagraphFont"/>
    <w:link w:val="Heading9"/>
    <w:uiPriority w:val="9"/>
    <w:rsid w:val="00504993"/>
    <w:rPr>
      <w:rFonts w:ascii="Century Gothic" w:hAnsi="Century Gothic"/>
      <w:i/>
      <w:iCs/>
      <w:caps/>
      <w:spacing w:val="10"/>
      <w:sz w:val="20"/>
      <w:szCs w:val="20"/>
    </w:rPr>
  </w:style>
  <w:style w:type="character" w:styleId="BookTitle">
    <w:name w:val="Book Title"/>
    <w:aliases w:val="legislation"/>
    <w:uiPriority w:val="33"/>
    <w:qFormat/>
    <w:rsid w:val="006F2418"/>
    <w:rPr>
      <w:rFonts w:ascii="Axis" w:hAnsi="Axis"/>
      <w:caps/>
      <w:color w:val="145CB8"/>
      <w:spacing w:val="5"/>
      <w:sz w:val="24"/>
      <w:u w:color="622423" w:themeColor="accent2" w:themeShade="7F"/>
    </w:rPr>
  </w:style>
  <w:style w:type="paragraph" w:styleId="Header">
    <w:name w:val="header"/>
    <w:basedOn w:val="Normal"/>
    <w:link w:val="HeaderChar"/>
    <w:uiPriority w:val="99"/>
    <w:unhideWhenUsed/>
    <w:rsid w:val="004A69D6"/>
    <w:pPr>
      <w:tabs>
        <w:tab w:val="center" w:pos="4320"/>
        <w:tab w:val="right" w:pos="8640"/>
      </w:tabs>
    </w:pPr>
  </w:style>
  <w:style w:type="character" w:customStyle="1" w:styleId="HeaderChar">
    <w:name w:val="Header Char"/>
    <w:basedOn w:val="DefaultParagraphFont"/>
    <w:link w:val="Header"/>
    <w:uiPriority w:val="99"/>
    <w:rsid w:val="004A69D6"/>
    <w:rPr>
      <w:lang w:val="en-AU"/>
    </w:rPr>
  </w:style>
  <w:style w:type="paragraph" w:styleId="Footer">
    <w:name w:val="footer"/>
    <w:basedOn w:val="Normal"/>
    <w:link w:val="FooterChar"/>
    <w:uiPriority w:val="99"/>
    <w:unhideWhenUsed/>
    <w:rsid w:val="004A69D6"/>
    <w:pPr>
      <w:tabs>
        <w:tab w:val="center" w:pos="4320"/>
        <w:tab w:val="right" w:pos="8640"/>
      </w:tabs>
    </w:pPr>
  </w:style>
  <w:style w:type="character" w:customStyle="1" w:styleId="FooterChar">
    <w:name w:val="Footer Char"/>
    <w:basedOn w:val="DefaultParagraphFont"/>
    <w:link w:val="Footer"/>
    <w:uiPriority w:val="99"/>
    <w:rsid w:val="004A69D6"/>
    <w:rPr>
      <w:lang w:val="en-AU"/>
    </w:rPr>
  </w:style>
  <w:style w:type="paragraph" w:styleId="BalloonText">
    <w:name w:val="Balloon Text"/>
    <w:basedOn w:val="Normal"/>
    <w:link w:val="BalloonTextChar"/>
    <w:uiPriority w:val="99"/>
    <w:semiHidden/>
    <w:unhideWhenUsed/>
    <w:rsid w:val="004A69D6"/>
    <w:rPr>
      <w:rFonts w:ascii="Lucida Grande" w:hAnsi="Lucida Grande"/>
      <w:sz w:val="18"/>
      <w:szCs w:val="18"/>
    </w:rPr>
  </w:style>
  <w:style w:type="character" w:customStyle="1" w:styleId="BalloonTextChar">
    <w:name w:val="Balloon Text Char"/>
    <w:basedOn w:val="DefaultParagraphFont"/>
    <w:link w:val="BalloonText"/>
    <w:uiPriority w:val="99"/>
    <w:semiHidden/>
    <w:rsid w:val="004A69D6"/>
    <w:rPr>
      <w:rFonts w:ascii="Lucida Grande" w:hAnsi="Lucida Grande"/>
      <w:sz w:val="18"/>
      <w:szCs w:val="18"/>
      <w:lang w:val="en-AU"/>
    </w:rPr>
  </w:style>
  <w:style w:type="paragraph" w:styleId="NormalWeb">
    <w:name w:val="Normal (Web)"/>
    <w:basedOn w:val="Normal"/>
    <w:uiPriority w:val="99"/>
    <w:semiHidden/>
    <w:unhideWhenUsed/>
    <w:rsid w:val="004A69D6"/>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4A69D6"/>
  </w:style>
  <w:style w:type="character" w:styleId="CommentReference">
    <w:name w:val="annotation reference"/>
    <w:basedOn w:val="DefaultParagraphFont"/>
    <w:uiPriority w:val="99"/>
    <w:semiHidden/>
    <w:unhideWhenUsed/>
    <w:rsid w:val="00C463D3"/>
    <w:rPr>
      <w:sz w:val="18"/>
      <w:szCs w:val="18"/>
    </w:rPr>
  </w:style>
  <w:style w:type="paragraph" w:styleId="CommentText">
    <w:name w:val="annotation text"/>
    <w:basedOn w:val="Normal"/>
    <w:link w:val="CommentTextChar"/>
    <w:uiPriority w:val="99"/>
    <w:semiHidden/>
    <w:unhideWhenUsed/>
    <w:rsid w:val="00C463D3"/>
    <w:pPr>
      <w:spacing w:after="200"/>
    </w:pPr>
    <w:rPr>
      <w:rFonts w:ascii="Calibri" w:hAnsi="Calibri"/>
      <w:lang w:val="en-US" w:eastAsia="ja-JP"/>
    </w:rPr>
  </w:style>
  <w:style w:type="character" w:customStyle="1" w:styleId="CommentTextChar">
    <w:name w:val="Comment Text Char"/>
    <w:basedOn w:val="DefaultParagraphFont"/>
    <w:link w:val="CommentText"/>
    <w:uiPriority w:val="99"/>
    <w:semiHidden/>
    <w:rsid w:val="00C463D3"/>
    <w:rPr>
      <w:rFonts w:ascii="Calibri" w:hAnsi="Calibri"/>
      <w:lang w:eastAsia="ja-JP"/>
    </w:rPr>
  </w:style>
  <w:style w:type="paragraph" w:styleId="CommentSubject">
    <w:name w:val="annotation subject"/>
    <w:basedOn w:val="CommentText"/>
    <w:next w:val="CommentText"/>
    <w:link w:val="CommentSubjectChar"/>
    <w:uiPriority w:val="99"/>
    <w:semiHidden/>
    <w:unhideWhenUsed/>
    <w:rsid w:val="00095D31"/>
    <w:pPr>
      <w:spacing w:after="0"/>
    </w:pPr>
    <w:rPr>
      <w:rFonts w:asciiTheme="minorHAnsi" w:hAnsiTheme="minorHAnsi"/>
      <w:b/>
      <w:bCs/>
      <w:sz w:val="20"/>
      <w:szCs w:val="20"/>
      <w:lang w:val="en-AU" w:eastAsia="en-US"/>
    </w:rPr>
  </w:style>
  <w:style w:type="character" w:customStyle="1" w:styleId="CommentSubjectChar">
    <w:name w:val="Comment Subject Char"/>
    <w:basedOn w:val="CommentTextChar"/>
    <w:link w:val="CommentSubject"/>
    <w:uiPriority w:val="99"/>
    <w:semiHidden/>
    <w:rsid w:val="00095D31"/>
    <w:rPr>
      <w:rFonts w:ascii="Calibri" w:hAnsi="Calibri"/>
      <w:b/>
      <w:bCs/>
      <w:sz w:val="20"/>
      <w:szCs w:val="20"/>
      <w:lang w:val="en-AU" w:eastAsia="ja-JP"/>
    </w:rPr>
  </w:style>
  <w:style w:type="paragraph" w:styleId="FootnoteText">
    <w:name w:val="footnote text"/>
    <w:basedOn w:val="Normal"/>
    <w:link w:val="FootnoteTextChar"/>
    <w:uiPriority w:val="99"/>
    <w:unhideWhenUsed/>
    <w:rsid w:val="00603284"/>
    <w:rPr>
      <w:rFonts w:eastAsiaTheme="minorHAnsi"/>
    </w:rPr>
  </w:style>
  <w:style w:type="character" w:customStyle="1" w:styleId="FootnoteTextChar">
    <w:name w:val="Footnote Text Char"/>
    <w:basedOn w:val="DefaultParagraphFont"/>
    <w:link w:val="FootnoteText"/>
    <w:uiPriority w:val="99"/>
    <w:rsid w:val="00603284"/>
    <w:rPr>
      <w:rFonts w:eastAsiaTheme="minorHAnsi"/>
      <w:lang w:val="en-AU"/>
    </w:rPr>
  </w:style>
  <w:style w:type="character" w:styleId="FootnoteReference">
    <w:name w:val="footnote reference"/>
    <w:basedOn w:val="DefaultParagraphFont"/>
    <w:uiPriority w:val="99"/>
    <w:unhideWhenUsed/>
    <w:rsid w:val="00603284"/>
    <w:rPr>
      <w:vertAlign w:val="superscript"/>
    </w:rPr>
  </w:style>
  <w:style w:type="character" w:styleId="Hyperlink">
    <w:name w:val="Hyperlink"/>
    <w:basedOn w:val="DefaultParagraphFont"/>
    <w:uiPriority w:val="99"/>
    <w:unhideWhenUsed/>
    <w:rsid w:val="00603284"/>
    <w:rPr>
      <w:color w:val="0000FF" w:themeColor="hyperlink"/>
      <w:u w:val="single"/>
    </w:rPr>
  </w:style>
  <w:style w:type="paragraph" w:styleId="ListParagraph">
    <w:name w:val="List Paragraph"/>
    <w:basedOn w:val="Normal"/>
    <w:uiPriority w:val="34"/>
    <w:qFormat/>
    <w:rsid w:val="000D3311"/>
    <w:pPr>
      <w:ind w:left="720"/>
      <w:contextualSpacing/>
    </w:pPr>
    <w:rPr>
      <w:rFonts w:eastAsiaTheme="minorHAnsi"/>
    </w:rPr>
  </w:style>
  <w:style w:type="table" w:styleId="TableGrid">
    <w:name w:val="Table Grid"/>
    <w:basedOn w:val="TableNormal"/>
    <w:uiPriority w:val="39"/>
    <w:rsid w:val="000F1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91AA7"/>
    <w:rPr>
      <w:rFonts w:ascii="Times New Roman" w:eastAsia="Arial Unicode MS" w:hAnsi="Times New Roman" w:cs="Arial Unicode MS"/>
      <w:color w:val="000000"/>
      <w:u w:color="000000"/>
      <w:lang w:eastAsia="en-AU"/>
    </w:rPr>
  </w:style>
  <w:style w:type="paragraph" w:customStyle="1" w:styleId="Footnote">
    <w:name w:val="Footnote"/>
    <w:rsid w:val="00D91AA7"/>
    <w:rPr>
      <w:rFonts w:ascii="Helvetica" w:eastAsia="Helvetica" w:hAnsi="Helvetica" w:cs="Helvetica"/>
      <w:color w:val="000000"/>
      <w:sz w:val="22"/>
      <w:szCs w:val="22"/>
      <w:lang w:val="en-AU" w:eastAsia="en-AU"/>
    </w:rPr>
  </w:style>
  <w:style w:type="paragraph" w:customStyle="1" w:styleId="BodyA">
    <w:name w:val="Body A"/>
    <w:rsid w:val="00D91AA7"/>
    <w:rPr>
      <w:rFonts w:ascii="Helvetica" w:eastAsia="Arial Unicode MS" w:hAnsi="Helvetica" w:cs="Arial Unicode MS"/>
      <w:color w:val="000000"/>
      <w:sz w:val="22"/>
      <w:szCs w:val="22"/>
      <w:u w:color="000000"/>
      <w:lang w:eastAsia="en-AU"/>
    </w:rPr>
  </w:style>
  <w:style w:type="character" w:customStyle="1" w:styleId="None">
    <w:name w:val="None"/>
    <w:rsid w:val="00D91AA7"/>
  </w:style>
  <w:style w:type="character" w:customStyle="1" w:styleId="Hyperlink0">
    <w:name w:val="Hyperlink.0"/>
    <w:basedOn w:val="None"/>
    <w:rsid w:val="00D91AA7"/>
    <w:rPr>
      <w:u w:val="single"/>
      <w:lang w:val="en-US"/>
    </w:rPr>
  </w:style>
</w:styles>
</file>

<file path=word/webSettings.xml><?xml version="1.0" encoding="utf-8"?>
<w:webSettings xmlns:r="http://schemas.openxmlformats.org/officeDocument/2006/relationships" xmlns:w="http://schemas.openxmlformats.org/wordprocessingml/2006/main">
  <w:divs>
    <w:div w:id="381175803">
      <w:bodyDiv w:val="1"/>
      <w:marLeft w:val="0"/>
      <w:marRight w:val="0"/>
      <w:marTop w:val="0"/>
      <w:marBottom w:val="0"/>
      <w:divBdr>
        <w:top w:val="none" w:sz="0" w:space="0" w:color="auto"/>
        <w:left w:val="none" w:sz="0" w:space="0" w:color="auto"/>
        <w:bottom w:val="none" w:sz="0" w:space="0" w:color="auto"/>
        <w:right w:val="none" w:sz="0" w:space="0" w:color="auto"/>
      </w:divBdr>
    </w:div>
    <w:div w:id="864366666">
      <w:bodyDiv w:val="1"/>
      <w:marLeft w:val="0"/>
      <w:marRight w:val="0"/>
      <w:marTop w:val="0"/>
      <w:marBottom w:val="0"/>
      <w:divBdr>
        <w:top w:val="none" w:sz="0" w:space="0" w:color="auto"/>
        <w:left w:val="none" w:sz="0" w:space="0" w:color="auto"/>
        <w:bottom w:val="none" w:sz="0" w:space="0" w:color="auto"/>
        <w:right w:val="none" w:sz="0" w:space="0" w:color="auto"/>
      </w:divBdr>
    </w:div>
    <w:div w:id="1041396018">
      <w:bodyDiv w:val="1"/>
      <w:marLeft w:val="0"/>
      <w:marRight w:val="0"/>
      <w:marTop w:val="0"/>
      <w:marBottom w:val="0"/>
      <w:divBdr>
        <w:top w:val="none" w:sz="0" w:space="0" w:color="auto"/>
        <w:left w:val="none" w:sz="0" w:space="0" w:color="auto"/>
        <w:bottom w:val="none" w:sz="0" w:space="0" w:color="auto"/>
        <w:right w:val="none" w:sz="0" w:space="0" w:color="auto"/>
      </w:divBdr>
    </w:div>
    <w:div w:id="17930117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23356-3D13-4AFB-BE12-FACA203BC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6913</Words>
  <Characters>39407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46228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marie-claire.muir</cp:lastModifiedBy>
  <cp:revision>2</cp:revision>
  <cp:lastPrinted>2016-08-19T00:58:00Z</cp:lastPrinted>
  <dcterms:created xsi:type="dcterms:W3CDTF">2016-08-29T01:50:00Z</dcterms:created>
  <dcterms:modified xsi:type="dcterms:W3CDTF">2016-08-29T01:50:00Z</dcterms:modified>
</cp:coreProperties>
</file>