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77" w:rsidRPr="00A73087" w:rsidRDefault="004A1777" w:rsidP="009127FE">
      <w:pPr>
        <w:spacing w:after="120" w:line="300" w:lineRule="auto"/>
        <w:jc w:val="center"/>
        <w:rPr>
          <w:rFonts w:ascii="Times New Roman" w:hAnsi="Times New Roman"/>
          <w:b/>
          <w:i/>
        </w:rPr>
      </w:pPr>
      <w:r w:rsidRPr="00710531">
        <w:rPr>
          <w:rFonts w:ascii="Times New Roman" w:hAnsi="Times New Roman"/>
          <w:b/>
        </w:rPr>
        <w:t xml:space="preserve">Submission to </w:t>
      </w:r>
      <w:r>
        <w:rPr>
          <w:rFonts w:ascii="Times New Roman" w:hAnsi="Times New Roman"/>
          <w:b/>
          <w:i/>
        </w:rPr>
        <w:t>ALRC</w:t>
      </w:r>
      <w:r>
        <w:rPr>
          <w:rFonts w:ascii="Times New Roman" w:hAnsi="Times New Roman"/>
          <w:b/>
        </w:rPr>
        <w:t xml:space="preserve"> </w:t>
      </w:r>
      <w:r>
        <w:rPr>
          <w:rFonts w:ascii="Times New Roman" w:hAnsi="Times New Roman"/>
          <w:b/>
          <w:i/>
        </w:rPr>
        <w:t>IP 46</w:t>
      </w:r>
      <w:r>
        <w:rPr>
          <w:rFonts w:ascii="Times New Roman" w:hAnsi="Times New Roman"/>
          <w:b/>
        </w:rPr>
        <w:t xml:space="preserve"> – </w:t>
      </w:r>
      <w:r>
        <w:rPr>
          <w:rFonts w:ascii="Times New Roman" w:hAnsi="Times New Roman"/>
          <w:b/>
          <w:i/>
        </w:rPr>
        <w:t xml:space="preserve">Interim Report </w:t>
      </w:r>
      <w:r w:rsidR="00420E1A">
        <w:rPr>
          <w:rFonts w:ascii="Times New Roman" w:hAnsi="Times New Roman"/>
          <w:b/>
          <w:i/>
        </w:rPr>
        <w:t>127</w:t>
      </w:r>
      <w:bookmarkStart w:id="0" w:name="_GoBack"/>
      <w:bookmarkEnd w:id="0"/>
    </w:p>
    <w:tbl>
      <w:tblPr>
        <w:tblW w:w="0" w:type="auto"/>
        <w:tblInd w:w="675" w:type="dxa"/>
        <w:tblLook w:val="04A0"/>
      </w:tblPr>
      <w:tblGrid>
        <w:gridCol w:w="4111"/>
      </w:tblGrid>
      <w:tr w:rsidR="004A1777" w:rsidRPr="00223645">
        <w:tc>
          <w:tcPr>
            <w:tcW w:w="4111" w:type="dxa"/>
          </w:tcPr>
          <w:p w:rsidR="004A1777" w:rsidRPr="00223645" w:rsidRDefault="004A1777" w:rsidP="009127FE">
            <w:pPr>
              <w:spacing w:line="300" w:lineRule="auto"/>
              <w:jc w:val="both"/>
              <w:rPr>
                <w:rFonts w:ascii="Times New Roman" w:hAnsi="Times New Roman"/>
                <w:b/>
              </w:rPr>
            </w:pPr>
            <w:r w:rsidRPr="00223645">
              <w:rPr>
                <w:rFonts w:ascii="Times New Roman" w:hAnsi="Times New Roman"/>
                <w:b/>
              </w:rPr>
              <w:t>Dr Lucy Cradduck</w:t>
            </w:r>
          </w:p>
        </w:tc>
      </w:tr>
      <w:tr w:rsidR="004A1777" w:rsidRPr="00223645">
        <w:tc>
          <w:tcPr>
            <w:tcW w:w="4111" w:type="dxa"/>
          </w:tcPr>
          <w:p w:rsidR="004A1777" w:rsidRPr="00223645" w:rsidRDefault="004A1777" w:rsidP="009127FE">
            <w:pPr>
              <w:spacing w:line="300" w:lineRule="auto"/>
              <w:jc w:val="both"/>
              <w:rPr>
                <w:rFonts w:ascii="Times New Roman" w:hAnsi="Times New Roman"/>
              </w:rPr>
            </w:pPr>
            <w:r w:rsidRPr="00223645">
              <w:rPr>
                <w:rFonts w:ascii="Times New Roman" w:hAnsi="Times New Roman"/>
              </w:rPr>
              <w:t xml:space="preserve">LLB, LLM(TechLaw), SJD </w:t>
            </w:r>
            <w:r w:rsidRPr="00223645">
              <w:rPr>
                <w:rFonts w:ascii="Times New Roman" w:hAnsi="Times New Roman"/>
                <w:i/>
              </w:rPr>
              <w:t>(QUT)</w:t>
            </w:r>
          </w:p>
        </w:tc>
      </w:tr>
      <w:tr w:rsidR="004A1777" w:rsidRPr="00223645">
        <w:tc>
          <w:tcPr>
            <w:tcW w:w="4111" w:type="dxa"/>
          </w:tcPr>
          <w:p w:rsidR="004A1777" w:rsidRPr="00223645" w:rsidRDefault="00EF0476" w:rsidP="009127FE">
            <w:pPr>
              <w:spacing w:line="300" w:lineRule="auto"/>
              <w:jc w:val="both"/>
              <w:rPr>
                <w:rFonts w:ascii="Times New Roman" w:hAnsi="Times New Roman"/>
              </w:rPr>
            </w:pPr>
            <w:r>
              <w:rPr>
                <w:rFonts w:ascii="Times New Roman" w:hAnsi="Times New Roman"/>
              </w:rPr>
              <w:t xml:space="preserve">Senior Lecturer and </w:t>
            </w:r>
            <w:r w:rsidR="004A1777" w:rsidRPr="00223645">
              <w:rPr>
                <w:rFonts w:ascii="Times New Roman" w:hAnsi="Times New Roman"/>
              </w:rPr>
              <w:t>Solicitor</w:t>
            </w:r>
          </w:p>
        </w:tc>
      </w:tr>
      <w:tr w:rsidR="004A1777" w:rsidRPr="00223645">
        <w:tc>
          <w:tcPr>
            <w:tcW w:w="4111" w:type="dxa"/>
          </w:tcPr>
          <w:p w:rsidR="004A1777" w:rsidRPr="00223645" w:rsidRDefault="004A1777" w:rsidP="009127FE">
            <w:pPr>
              <w:spacing w:line="300" w:lineRule="auto"/>
              <w:jc w:val="both"/>
              <w:rPr>
                <w:rFonts w:ascii="Times New Roman" w:hAnsi="Times New Roman"/>
              </w:rPr>
            </w:pPr>
            <w:r w:rsidRPr="00223645">
              <w:rPr>
                <w:rFonts w:ascii="Times New Roman" w:hAnsi="Times New Roman"/>
              </w:rPr>
              <w:t>QUT Law</w:t>
            </w:r>
          </w:p>
        </w:tc>
      </w:tr>
    </w:tbl>
    <w:p w:rsidR="004A1777" w:rsidRPr="00AA61B5" w:rsidRDefault="004A1777" w:rsidP="009127FE">
      <w:pPr>
        <w:spacing w:after="360" w:line="300" w:lineRule="auto"/>
        <w:jc w:val="right"/>
        <w:rPr>
          <w:rFonts w:ascii="Times New Roman" w:hAnsi="Times New Roman"/>
        </w:rPr>
      </w:pPr>
      <w:r>
        <w:rPr>
          <w:rFonts w:ascii="Times New Roman" w:hAnsi="Times New Roman"/>
        </w:rPr>
        <w:t>2</w:t>
      </w:r>
      <w:r w:rsidR="00F30D61">
        <w:rPr>
          <w:rFonts w:ascii="Times New Roman" w:hAnsi="Times New Roman"/>
        </w:rPr>
        <w:t>1</w:t>
      </w:r>
      <w:r>
        <w:rPr>
          <w:rFonts w:ascii="Times New Roman" w:hAnsi="Times New Roman"/>
        </w:rPr>
        <w:t xml:space="preserve"> September 2015</w:t>
      </w:r>
    </w:p>
    <w:p w:rsidR="005047DC" w:rsidRDefault="00F30D61" w:rsidP="009127FE">
      <w:pPr>
        <w:spacing w:after="120" w:line="300" w:lineRule="auto"/>
        <w:jc w:val="both"/>
        <w:rPr>
          <w:rFonts w:ascii="Times New Roman" w:hAnsi="Times New Roman"/>
        </w:rPr>
      </w:pPr>
      <w:bookmarkStart w:id="1" w:name="_Toc262932939"/>
      <w:bookmarkStart w:id="2" w:name="_Toc275427093"/>
      <w:r>
        <w:rPr>
          <w:rFonts w:ascii="Times New Roman" w:hAnsi="Times New Roman"/>
        </w:rPr>
        <w:t xml:space="preserve">In Chapter 6 of IP46, vested property rights are recognised to include </w:t>
      </w:r>
      <w:r>
        <w:rPr>
          <w:rFonts w:ascii="Times New Roman" w:hAnsi="Times New Roman"/>
          <w:i/>
        </w:rPr>
        <w:t>“copyright and other intellectual property rights”.</w:t>
      </w:r>
      <w:r>
        <w:rPr>
          <w:rStyle w:val="FootnoteReference"/>
          <w:rFonts w:ascii="Times New Roman" w:hAnsi="Times New Roman"/>
        </w:rPr>
        <w:footnoteReference w:id="1"/>
      </w:r>
      <w:r>
        <w:rPr>
          <w:rFonts w:ascii="Times New Roman" w:hAnsi="Times New Roman"/>
          <w:i/>
        </w:rPr>
        <w:t xml:space="preserve"> </w:t>
      </w:r>
      <w:r w:rsidR="005649CE">
        <w:rPr>
          <w:rFonts w:ascii="Times New Roman" w:hAnsi="Times New Roman"/>
        </w:rPr>
        <w:t>F</w:t>
      </w:r>
      <w:r w:rsidR="004A1777">
        <w:rPr>
          <w:rFonts w:ascii="Times New Roman" w:hAnsi="Times New Roman"/>
          <w:color w:val="000000"/>
          <w:szCs w:val="21"/>
        </w:rPr>
        <w:t xml:space="preserve">or the purposes of the Inquiry </w:t>
      </w:r>
      <w:r w:rsidR="004A1777">
        <w:rPr>
          <w:rFonts w:ascii="Times New Roman" w:hAnsi="Times New Roman"/>
          <w:i/>
          <w:color w:val="000000"/>
          <w:szCs w:val="21"/>
        </w:rPr>
        <w:t>“</w:t>
      </w:r>
      <w:r w:rsidR="004A1777" w:rsidRPr="004562FA">
        <w:rPr>
          <w:rFonts w:ascii="Times New Roman" w:hAnsi="Times New Roman"/>
          <w:i/>
          <w:color w:val="000000"/>
          <w:szCs w:val="21"/>
        </w:rPr>
        <w:t xml:space="preserve">the ALRC </w:t>
      </w:r>
      <w:r w:rsidR="004A1777">
        <w:rPr>
          <w:rFonts w:ascii="Times New Roman" w:hAnsi="Times New Roman"/>
          <w:color w:val="000000"/>
          <w:szCs w:val="21"/>
        </w:rPr>
        <w:t>[identified it was to consider]</w:t>
      </w:r>
      <w:r w:rsidR="004A1777" w:rsidRPr="004562FA">
        <w:rPr>
          <w:rFonts w:ascii="Times New Roman" w:hAnsi="Times New Roman"/>
          <w:i/>
          <w:color w:val="000000"/>
          <w:szCs w:val="21"/>
        </w:rPr>
        <w:t xml:space="preserve"> ‘vested property rights’ more in its broad, rhetorical sense, than in its technical sense, in which there are distinct shades of meaning o</w:t>
      </w:r>
      <w:r w:rsidR="004A1777">
        <w:rPr>
          <w:rFonts w:ascii="Times New Roman" w:hAnsi="Times New Roman"/>
          <w:i/>
          <w:color w:val="000000"/>
          <w:szCs w:val="21"/>
        </w:rPr>
        <w:t>f ‘vested’</w:t>
      </w:r>
      <w:r w:rsidR="004A1777" w:rsidRPr="004562FA">
        <w:rPr>
          <w:rFonts w:ascii="Times New Roman" w:hAnsi="Times New Roman"/>
          <w:i/>
          <w:color w:val="000000"/>
          <w:szCs w:val="13"/>
        </w:rPr>
        <w:t>”</w:t>
      </w:r>
      <w:r w:rsidR="005649CE">
        <w:rPr>
          <w:rFonts w:ascii="Times New Roman" w:hAnsi="Times New Roman"/>
          <w:i/>
          <w:color w:val="000000"/>
          <w:szCs w:val="13"/>
        </w:rPr>
        <w:t>.</w:t>
      </w:r>
      <w:r w:rsidR="004A1777" w:rsidRPr="00D94D6C">
        <w:rPr>
          <w:rStyle w:val="FootnoteReference"/>
          <w:rFonts w:ascii="Times New Roman" w:hAnsi="Times New Roman"/>
          <w:color w:val="000000"/>
          <w:szCs w:val="13"/>
        </w:rPr>
        <w:footnoteReference w:id="2"/>
      </w:r>
      <w:r w:rsidR="005649CE">
        <w:rPr>
          <w:rFonts w:ascii="Times New Roman" w:hAnsi="Times New Roman"/>
          <w:i/>
          <w:color w:val="000000"/>
          <w:szCs w:val="13"/>
        </w:rPr>
        <w:t xml:space="preserve"> </w:t>
      </w:r>
      <w:r w:rsidR="005649CE">
        <w:rPr>
          <w:rFonts w:ascii="Times New Roman" w:hAnsi="Times New Roman"/>
          <w:color w:val="000000"/>
          <w:szCs w:val="13"/>
        </w:rPr>
        <w:t xml:space="preserve">However, </w:t>
      </w:r>
      <w:r w:rsidR="005649CE">
        <w:rPr>
          <w:rFonts w:ascii="Times New Roman" w:hAnsi="Times New Roman"/>
        </w:rPr>
        <w:t xml:space="preserve">the </w:t>
      </w:r>
      <w:r w:rsidR="005649CE" w:rsidRPr="004562FA">
        <w:rPr>
          <w:rFonts w:ascii="Times New Roman" w:hAnsi="Times New Roman"/>
        </w:rPr>
        <w:t xml:space="preserve">Interim Report </w:t>
      </w:r>
      <w:r w:rsidR="005649CE">
        <w:rPr>
          <w:rFonts w:ascii="Times New Roman" w:hAnsi="Times New Roman"/>
        </w:rPr>
        <w:t>states</w:t>
      </w:r>
      <w:r w:rsidR="005649CE" w:rsidRPr="004562FA">
        <w:rPr>
          <w:rFonts w:ascii="Times New Roman" w:hAnsi="Times New Roman"/>
        </w:rPr>
        <w:t xml:space="preserve"> that any ‘vested right’ of users of copyright works </w:t>
      </w:r>
      <w:r w:rsidR="005649CE" w:rsidRPr="006426A8">
        <w:rPr>
          <w:rFonts w:ascii="Times New Roman" w:hAnsi="Times New Roman"/>
          <w:i/>
        </w:rPr>
        <w:t>“has not been identified yet in law”</w:t>
      </w:r>
      <w:r w:rsidR="005649CE">
        <w:rPr>
          <w:rFonts w:ascii="Times New Roman" w:hAnsi="Times New Roman"/>
          <w:i/>
        </w:rPr>
        <w:t>.</w:t>
      </w:r>
      <w:r w:rsidR="005649CE" w:rsidRPr="00D94D6C">
        <w:rPr>
          <w:rStyle w:val="FootnoteReference"/>
          <w:rFonts w:ascii="Times New Roman" w:hAnsi="Times New Roman"/>
        </w:rPr>
        <w:footnoteReference w:id="3"/>
      </w:r>
      <w:r w:rsidR="004A1777">
        <w:rPr>
          <w:rFonts w:ascii="Times New Roman" w:hAnsi="Times New Roman"/>
          <w:i/>
          <w:color w:val="000000"/>
          <w:szCs w:val="13"/>
        </w:rPr>
        <w:t xml:space="preserve"> </w:t>
      </w:r>
      <w:r w:rsidR="005649CE">
        <w:rPr>
          <w:rFonts w:ascii="Times New Roman" w:hAnsi="Times New Roman"/>
        </w:rPr>
        <w:t>I</w:t>
      </w:r>
      <w:r w:rsidR="00EE47B5">
        <w:rPr>
          <w:rFonts w:ascii="Times New Roman" w:hAnsi="Times New Roman"/>
        </w:rPr>
        <w:t xml:space="preserve">t is assumed from this that the ALRC is proposing </w:t>
      </w:r>
      <w:r w:rsidR="00EE47B5" w:rsidRPr="00375A61">
        <w:rPr>
          <w:rFonts w:ascii="Times New Roman" w:hAnsi="Times New Roman"/>
          <w:i/>
        </w:rPr>
        <w:t>not</w:t>
      </w:r>
      <w:r w:rsidR="00EE47B5">
        <w:rPr>
          <w:rFonts w:ascii="Times New Roman" w:hAnsi="Times New Roman"/>
        </w:rPr>
        <w:t xml:space="preserve"> to </w:t>
      </w:r>
      <w:r w:rsidR="00375A61">
        <w:rPr>
          <w:rFonts w:ascii="Times New Roman" w:hAnsi="Times New Roman"/>
        </w:rPr>
        <w:t xml:space="preserve">further consider the </w:t>
      </w:r>
      <w:r w:rsidR="00560870">
        <w:rPr>
          <w:rFonts w:ascii="Times New Roman" w:hAnsi="Times New Roman"/>
        </w:rPr>
        <w:t>contracting</w:t>
      </w:r>
      <w:r w:rsidR="00375A61">
        <w:rPr>
          <w:rFonts w:ascii="Times New Roman" w:hAnsi="Times New Roman"/>
        </w:rPr>
        <w:t xml:space="preserve"> out of the fair dealing </w:t>
      </w:r>
      <w:r w:rsidR="00560870">
        <w:rPr>
          <w:rFonts w:ascii="Times New Roman" w:hAnsi="Times New Roman"/>
        </w:rPr>
        <w:t>exceptions</w:t>
      </w:r>
      <w:r w:rsidR="00EE47B5">
        <w:rPr>
          <w:rFonts w:ascii="Times New Roman" w:hAnsi="Times New Roman"/>
        </w:rPr>
        <w:t>.</w:t>
      </w:r>
      <w:r w:rsidR="005649CE">
        <w:rPr>
          <w:rFonts w:ascii="Times New Roman" w:hAnsi="Times New Roman"/>
        </w:rPr>
        <w:t xml:space="preserve"> </w:t>
      </w:r>
      <w:r w:rsidR="00EE47B5">
        <w:rPr>
          <w:rFonts w:ascii="Times New Roman" w:hAnsi="Times New Roman"/>
        </w:rPr>
        <w:t xml:space="preserve">In </w:t>
      </w:r>
      <w:r w:rsidR="005649CE">
        <w:rPr>
          <w:rFonts w:ascii="Times New Roman" w:hAnsi="Times New Roman"/>
        </w:rPr>
        <w:t xml:space="preserve">light of </w:t>
      </w:r>
      <w:r w:rsidR="0023785F">
        <w:rPr>
          <w:rFonts w:ascii="Times New Roman" w:hAnsi="Times New Roman"/>
        </w:rPr>
        <w:t>its</w:t>
      </w:r>
      <w:r w:rsidR="005649CE">
        <w:rPr>
          <w:rFonts w:ascii="Times New Roman" w:hAnsi="Times New Roman"/>
        </w:rPr>
        <w:t xml:space="preserve"> prior state</w:t>
      </w:r>
      <w:r w:rsidR="00E92EBF">
        <w:rPr>
          <w:rFonts w:ascii="Times New Roman" w:hAnsi="Times New Roman"/>
        </w:rPr>
        <w:t>d</w:t>
      </w:r>
      <w:r w:rsidR="005649CE">
        <w:rPr>
          <w:rFonts w:ascii="Times New Roman" w:hAnsi="Times New Roman"/>
        </w:rPr>
        <w:t xml:space="preserve"> purpose </w:t>
      </w:r>
      <w:r w:rsidR="00560870">
        <w:rPr>
          <w:rFonts w:ascii="Times New Roman" w:hAnsi="Times New Roman"/>
        </w:rPr>
        <w:t>it is submitted this is not appropriate</w:t>
      </w:r>
      <w:r w:rsidR="004A1777" w:rsidRPr="004562FA">
        <w:rPr>
          <w:rFonts w:ascii="Times New Roman" w:hAnsi="Times New Roman"/>
        </w:rPr>
        <w:t>.</w:t>
      </w:r>
      <w:r w:rsidR="004A1777">
        <w:rPr>
          <w:rFonts w:ascii="Times New Roman" w:hAnsi="Times New Roman"/>
        </w:rPr>
        <w:t xml:space="preserve"> </w:t>
      </w:r>
    </w:p>
    <w:p w:rsidR="00CA73A6" w:rsidRDefault="005047DC" w:rsidP="009127FE">
      <w:pPr>
        <w:spacing w:after="120" w:line="300" w:lineRule="auto"/>
        <w:jc w:val="both"/>
        <w:rPr>
          <w:rFonts w:ascii="Times New Roman" w:hAnsi="Times New Roman"/>
        </w:rPr>
      </w:pPr>
      <w:r>
        <w:rPr>
          <w:rFonts w:ascii="Times New Roman" w:hAnsi="Times New Roman"/>
        </w:rPr>
        <w:t xml:space="preserve">Further, </w:t>
      </w:r>
      <w:r w:rsidR="004A1777">
        <w:rPr>
          <w:rFonts w:ascii="Times New Roman" w:hAnsi="Times New Roman"/>
        </w:rPr>
        <w:t xml:space="preserve">it is submitted </w:t>
      </w:r>
      <w:r w:rsidR="00F00232">
        <w:rPr>
          <w:rFonts w:ascii="Times New Roman" w:hAnsi="Times New Roman"/>
        </w:rPr>
        <w:t xml:space="preserve">the above </w:t>
      </w:r>
      <w:r w:rsidR="00EE47B5">
        <w:rPr>
          <w:rFonts w:ascii="Times New Roman" w:hAnsi="Times New Roman"/>
        </w:rPr>
        <w:t>view regarding the fair dealing exceptions</w:t>
      </w:r>
      <w:r w:rsidR="004A1777">
        <w:rPr>
          <w:rFonts w:ascii="Times New Roman" w:hAnsi="Times New Roman"/>
        </w:rPr>
        <w:t xml:space="preserve"> </w:t>
      </w:r>
      <w:r w:rsidR="00F00232">
        <w:rPr>
          <w:rFonts w:ascii="Times New Roman" w:hAnsi="Times New Roman"/>
        </w:rPr>
        <w:t xml:space="preserve">is </w:t>
      </w:r>
      <w:r w:rsidR="00F00232">
        <w:rPr>
          <w:rFonts w:ascii="Times New Roman" w:hAnsi="Times New Roman"/>
          <w:i/>
        </w:rPr>
        <w:t xml:space="preserve">not </w:t>
      </w:r>
      <w:r w:rsidR="004A1777">
        <w:rPr>
          <w:rFonts w:ascii="Times New Roman" w:hAnsi="Times New Roman"/>
        </w:rPr>
        <w:t>correct.</w:t>
      </w:r>
      <w:r>
        <w:rPr>
          <w:rFonts w:ascii="Times New Roman" w:hAnsi="Times New Roman"/>
        </w:rPr>
        <w:t xml:space="preserve"> </w:t>
      </w:r>
      <w:r w:rsidR="004A1777" w:rsidRPr="000A08EC">
        <w:rPr>
          <w:rFonts w:ascii="Times New Roman" w:hAnsi="Times New Roman"/>
        </w:rPr>
        <w:t>In Australia there is a</w:t>
      </w:r>
      <w:r w:rsidR="00E92EBF">
        <w:rPr>
          <w:rFonts w:ascii="Times New Roman" w:hAnsi="Times New Roman"/>
        </w:rPr>
        <w:t xml:space="preserve"> longstanding</w:t>
      </w:r>
      <w:r w:rsidR="004A1777" w:rsidRPr="000A08EC">
        <w:rPr>
          <w:rFonts w:ascii="Times New Roman" w:hAnsi="Times New Roman"/>
        </w:rPr>
        <w:t xml:space="preserve"> </w:t>
      </w:r>
      <w:r w:rsidR="004A1777" w:rsidRPr="00575F11">
        <w:rPr>
          <w:rFonts w:ascii="Times New Roman" w:hAnsi="Times New Roman"/>
          <w:i/>
        </w:rPr>
        <w:t>common law right</w:t>
      </w:r>
      <w:r w:rsidR="004A1777" w:rsidRPr="000A08EC">
        <w:rPr>
          <w:rFonts w:ascii="Times New Roman" w:hAnsi="Times New Roman"/>
        </w:rPr>
        <w:t xml:space="preserve"> </w:t>
      </w:r>
      <w:r w:rsidR="00E92EBF">
        <w:rPr>
          <w:rFonts w:ascii="Times New Roman" w:hAnsi="Times New Roman"/>
        </w:rPr>
        <w:t>vested upon</w:t>
      </w:r>
      <w:r w:rsidR="004A1777" w:rsidRPr="000A08EC">
        <w:rPr>
          <w:rFonts w:ascii="Times New Roman" w:hAnsi="Times New Roman"/>
        </w:rPr>
        <w:t xml:space="preserve"> </w:t>
      </w:r>
      <w:r w:rsidR="0082407A">
        <w:rPr>
          <w:rFonts w:ascii="Times New Roman" w:hAnsi="Times New Roman"/>
        </w:rPr>
        <w:t xml:space="preserve">users to </w:t>
      </w:r>
      <w:r w:rsidR="004A1777" w:rsidRPr="000A08EC">
        <w:rPr>
          <w:rFonts w:ascii="Times New Roman" w:hAnsi="Times New Roman"/>
        </w:rPr>
        <w:t>freely access copyright works</w:t>
      </w:r>
      <w:r w:rsidR="004A1777">
        <w:rPr>
          <w:rFonts w:ascii="Times New Roman" w:hAnsi="Times New Roman"/>
        </w:rPr>
        <w:t xml:space="preserve">. This is reflected in the </w:t>
      </w:r>
      <w:r w:rsidR="004A1777" w:rsidRPr="000A08EC">
        <w:rPr>
          <w:rFonts w:ascii="Times New Roman" w:hAnsi="Times New Roman"/>
        </w:rPr>
        <w:t>limited monopolistic rights</w:t>
      </w:r>
      <w:r w:rsidR="008D2C0F">
        <w:rPr>
          <w:rFonts w:ascii="Times New Roman" w:hAnsi="Times New Roman"/>
        </w:rPr>
        <w:t xml:space="preserve"> currently </w:t>
      </w:r>
      <w:r w:rsidR="00E92EBF">
        <w:rPr>
          <w:rFonts w:ascii="Times New Roman" w:hAnsi="Times New Roman"/>
        </w:rPr>
        <w:t xml:space="preserve">granted by the </w:t>
      </w:r>
      <w:r w:rsidR="00E92EBF" w:rsidRPr="00E92EBF">
        <w:rPr>
          <w:rFonts w:ascii="Times New Roman" w:hAnsi="Times New Roman"/>
          <w:i/>
        </w:rPr>
        <w:t>Copyright Act 1968</w:t>
      </w:r>
      <w:r w:rsidR="00E92EBF">
        <w:rPr>
          <w:rFonts w:ascii="Times New Roman" w:hAnsi="Times New Roman"/>
        </w:rPr>
        <w:t xml:space="preserve"> </w:t>
      </w:r>
      <w:r w:rsidR="004A1777" w:rsidRPr="000A08EC">
        <w:rPr>
          <w:rFonts w:ascii="Times New Roman" w:hAnsi="Times New Roman"/>
        </w:rPr>
        <w:t>to the authors and owners of copyright works</w:t>
      </w:r>
      <w:r w:rsidR="00E92EBF">
        <w:rPr>
          <w:rFonts w:ascii="Times New Roman" w:hAnsi="Times New Roman"/>
        </w:rPr>
        <w:t>, which</w:t>
      </w:r>
      <w:r w:rsidR="004A1777" w:rsidRPr="000A08EC">
        <w:rPr>
          <w:rFonts w:ascii="Times New Roman" w:hAnsi="Times New Roman"/>
        </w:rPr>
        <w:t xml:space="preserve"> </w:t>
      </w:r>
      <w:r w:rsidR="004A1777">
        <w:rPr>
          <w:rFonts w:ascii="Times New Roman" w:hAnsi="Times New Roman"/>
        </w:rPr>
        <w:t>are balance</w:t>
      </w:r>
      <w:r w:rsidR="0082407A">
        <w:rPr>
          <w:rFonts w:ascii="Times New Roman" w:hAnsi="Times New Roman"/>
        </w:rPr>
        <w:t>d</w:t>
      </w:r>
      <w:r w:rsidR="004A1777">
        <w:rPr>
          <w:rFonts w:ascii="Times New Roman" w:hAnsi="Times New Roman"/>
        </w:rPr>
        <w:t xml:space="preserve"> by provisions specifically permitting</w:t>
      </w:r>
      <w:r w:rsidR="004A1777" w:rsidRPr="000A08EC">
        <w:rPr>
          <w:rFonts w:ascii="Times New Roman" w:hAnsi="Times New Roman"/>
        </w:rPr>
        <w:t xml:space="preserve"> exceptions to what would otherwise be infringing conduct</w:t>
      </w:r>
      <w:r w:rsidR="004A1777">
        <w:rPr>
          <w:rFonts w:ascii="Times New Roman" w:hAnsi="Times New Roman"/>
        </w:rPr>
        <w:t>.</w:t>
      </w:r>
      <w:r w:rsidR="00216C22">
        <w:rPr>
          <w:rFonts w:ascii="Times New Roman" w:hAnsi="Times New Roman"/>
        </w:rPr>
        <w:t xml:space="preserve"> </w:t>
      </w:r>
      <w:r w:rsidR="00E92EBF">
        <w:rPr>
          <w:rFonts w:ascii="Times New Roman" w:hAnsi="Times New Roman"/>
        </w:rPr>
        <w:t xml:space="preserve">User’s </w:t>
      </w:r>
      <w:r w:rsidR="003D5CE1">
        <w:rPr>
          <w:rFonts w:ascii="Times New Roman" w:hAnsi="Times New Roman"/>
        </w:rPr>
        <w:t xml:space="preserve">vested </w:t>
      </w:r>
      <w:r w:rsidR="00E92EBF">
        <w:rPr>
          <w:rFonts w:ascii="Times New Roman" w:hAnsi="Times New Roman"/>
        </w:rPr>
        <w:t xml:space="preserve">rights are </w:t>
      </w:r>
      <w:r w:rsidR="00216C22">
        <w:rPr>
          <w:rFonts w:ascii="Times New Roman" w:hAnsi="Times New Roman"/>
        </w:rPr>
        <w:t>represented by the</w:t>
      </w:r>
      <w:r w:rsidR="00035D6B">
        <w:rPr>
          <w:rFonts w:ascii="Times New Roman" w:hAnsi="Times New Roman"/>
        </w:rPr>
        <w:t xml:space="preserve"> current</w:t>
      </w:r>
      <w:r w:rsidR="00216C22">
        <w:rPr>
          <w:rFonts w:ascii="Times New Roman" w:hAnsi="Times New Roman"/>
        </w:rPr>
        <w:t xml:space="preserve"> statutory fair dealing </w:t>
      </w:r>
      <w:r w:rsidR="005420D3">
        <w:rPr>
          <w:rFonts w:ascii="Times New Roman" w:hAnsi="Times New Roman"/>
        </w:rPr>
        <w:t>exception</w:t>
      </w:r>
      <w:r w:rsidR="00216C22">
        <w:rPr>
          <w:rFonts w:ascii="Times New Roman" w:hAnsi="Times New Roman"/>
        </w:rPr>
        <w:t>s</w:t>
      </w:r>
      <w:r w:rsidR="00216C22" w:rsidRPr="00265842">
        <w:rPr>
          <w:rStyle w:val="FootnoteReference"/>
          <w:rFonts w:ascii="Times New Roman" w:hAnsi="Times New Roman"/>
        </w:rPr>
        <w:footnoteReference w:id="4"/>
      </w:r>
      <w:r w:rsidR="00216C22">
        <w:rPr>
          <w:rFonts w:ascii="Times New Roman" w:hAnsi="Times New Roman"/>
        </w:rPr>
        <w:t xml:space="preserve"> but deve</w:t>
      </w:r>
      <w:r w:rsidR="001D42DF">
        <w:rPr>
          <w:rFonts w:ascii="Times New Roman" w:hAnsi="Times New Roman"/>
        </w:rPr>
        <w:t xml:space="preserve">loped long </w:t>
      </w:r>
      <w:r w:rsidR="00216C22">
        <w:rPr>
          <w:rFonts w:ascii="Times New Roman" w:hAnsi="Times New Roman"/>
        </w:rPr>
        <w:t>before and separately from those provisions.</w:t>
      </w:r>
      <w:r w:rsidR="007A3E41">
        <w:rPr>
          <w:rFonts w:ascii="Times New Roman" w:hAnsi="Times New Roman"/>
        </w:rPr>
        <w:t xml:space="preserve"> </w:t>
      </w:r>
      <w:r w:rsidR="00A90E76">
        <w:rPr>
          <w:rFonts w:ascii="Times New Roman" w:hAnsi="Times New Roman"/>
        </w:rPr>
        <w:t>The fair dealing exception</w:t>
      </w:r>
      <w:r w:rsidR="00216C22">
        <w:rPr>
          <w:rFonts w:ascii="Times New Roman" w:hAnsi="Times New Roman"/>
        </w:rPr>
        <w:t xml:space="preserve">s </w:t>
      </w:r>
      <w:r w:rsidR="00A90E76">
        <w:rPr>
          <w:rFonts w:ascii="Times New Roman" w:hAnsi="Times New Roman"/>
        </w:rPr>
        <w:t>has existed,</w:t>
      </w:r>
      <w:r w:rsidR="007A3E41">
        <w:rPr>
          <w:rFonts w:ascii="Times New Roman" w:hAnsi="Times New Roman"/>
        </w:rPr>
        <w:t xml:space="preserve"> in fact,</w:t>
      </w:r>
      <w:r w:rsidR="00A90E76">
        <w:rPr>
          <w:rFonts w:ascii="Times New Roman" w:hAnsi="Times New Roman"/>
        </w:rPr>
        <w:t xml:space="preserve"> in slightly different forms, in each of Australia’s three pieces of copyright legislation, which in turn were derived from early English law. </w:t>
      </w:r>
      <w:r w:rsidR="007A3E41">
        <w:rPr>
          <w:rFonts w:ascii="Times New Roman" w:hAnsi="Times New Roman"/>
        </w:rPr>
        <w:t>Noting t</w:t>
      </w:r>
      <w:r w:rsidR="00A90E76">
        <w:rPr>
          <w:rFonts w:ascii="Times New Roman" w:hAnsi="Times New Roman"/>
        </w:rPr>
        <w:t xml:space="preserve">he High Court recognised </w:t>
      </w:r>
      <w:r w:rsidR="00035D6B">
        <w:rPr>
          <w:rFonts w:ascii="Times New Roman" w:hAnsi="Times New Roman"/>
        </w:rPr>
        <w:t>the</w:t>
      </w:r>
      <w:r w:rsidR="00A90E76">
        <w:rPr>
          <w:rFonts w:ascii="Times New Roman" w:hAnsi="Times New Roman"/>
        </w:rPr>
        <w:t xml:space="preserve"> </w:t>
      </w:r>
      <w:r w:rsidR="007A3E41">
        <w:rPr>
          <w:rFonts w:ascii="Times New Roman" w:hAnsi="Times New Roman"/>
        </w:rPr>
        <w:t xml:space="preserve">relationship </w:t>
      </w:r>
      <w:r w:rsidR="00A90E76">
        <w:rPr>
          <w:rFonts w:ascii="Times New Roman" w:hAnsi="Times New Roman"/>
        </w:rPr>
        <w:t xml:space="preserve">between the first copyright law - the </w:t>
      </w:r>
      <w:r w:rsidR="00A90E76">
        <w:rPr>
          <w:rFonts w:ascii="Times New Roman" w:hAnsi="Times New Roman"/>
          <w:i/>
        </w:rPr>
        <w:t>Statute of Anne</w:t>
      </w:r>
      <w:r w:rsidR="00A90E76">
        <w:rPr>
          <w:rFonts w:ascii="Times New Roman" w:hAnsi="Times New Roman"/>
        </w:rPr>
        <w:t xml:space="preserve"> </w:t>
      </w:r>
      <w:r w:rsidR="00A90E76" w:rsidRPr="001A48A8">
        <w:rPr>
          <w:rFonts w:ascii="Times New Roman" w:hAnsi="Times New Roman"/>
          <w:i/>
        </w:rPr>
        <w:t>1709</w:t>
      </w:r>
      <w:r w:rsidR="00A90E76">
        <w:rPr>
          <w:rFonts w:ascii="Times New Roman" w:hAnsi="Times New Roman"/>
        </w:rPr>
        <w:t xml:space="preserve"> (UK)</w:t>
      </w:r>
      <w:r w:rsidR="00A90E76">
        <w:rPr>
          <w:rStyle w:val="FootnoteReference"/>
          <w:rFonts w:ascii="Times New Roman" w:hAnsi="Times New Roman"/>
        </w:rPr>
        <w:footnoteReference w:id="5"/>
      </w:r>
      <w:r w:rsidR="00A90E76">
        <w:rPr>
          <w:rFonts w:ascii="Times New Roman" w:hAnsi="Times New Roman"/>
        </w:rPr>
        <w:t xml:space="preserve"> (</w:t>
      </w:r>
      <w:r w:rsidR="00A90E76">
        <w:rPr>
          <w:rFonts w:ascii="Times New Roman" w:hAnsi="Times New Roman"/>
          <w:i/>
        </w:rPr>
        <w:t>‘Statute of Anne’</w:t>
      </w:r>
      <w:r w:rsidR="00A90E76">
        <w:rPr>
          <w:rFonts w:ascii="Times New Roman" w:hAnsi="Times New Roman"/>
        </w:rPr>
        <w:t>)</w:t>
      </w:r>
      <w:r w:rsidR="00A90E76">
        <w:rPr>
          <w:rFonts w:ascii="Times New Roman" w:hAnsi="Times New Roman"/>
          <w:i/>
        </w:rPr>
        <w:t xml:space="preserve"> </w:t>
      </w:r>
      <w:r w:rsidR="00A90E76">
        <w:rPr>
          <w:rFonts w:ascii="Times New Roman" w:hAnsi="Times New Roman"/>
        </w:rPr>
        <w:t xml:space="preserve">– and today’s </w:t>
      </w:r>
      <w:r w:rsidR="00323096">
        <w:rPr>
          <w:rFonts w:ascii="Times New Roman" w:hAnsi="Times New Roman"/>
        </w:rPr>
        <w:t>Act</w:t>
      </w:r>
      <w:r w:rsidR="007A3E41">
        <w:rPr>
          <w:rFonts w:ascii="Times New Roman" w:hAnsi="Times New Roman"/>
        </w:rPr>
        <w:t>;</w:t>
      </w:r>
      <w:r w:rsidR="00A90E76">
        <w:rPr>
          <w:rStyle w:val="FootnoteReference"/>
          <w:rFonts w:ascii="Times New Roman" w:hAnsi="Times New Roman"/>
        </w:rPr>
        <w:footnoteReference w:id="6"/>
      </w:r>
      <w:r w:rsidR="00A90E76">
        <w:rPr>
          <w:rFonts w:ascii="Times New Roman" w:hAnsi="Times New Roman"/>
        </w:rPr>
        <w:t xml:space="preserve"> </w:t>
      </w:r>
      <w:r w:rsidR="007A3E41">
        <w:rPr>
          <w:rFonts w:ascii="Times New Roman" w:hAnsi="Times New Roman"/>
        </w:rPr>
        <w:t>t</w:t>
      </w:r>
      <w:r w:rsidR="001260C6">
        <w:rPr>
          <w:rFonts w:ascii="Times New Roman" w:hAnsi="Times New Roman"/>
        </w:rPr>
        <w:t xml:space="preserve">he </w:t>
      </w:r>
      <w:r w:rsidR="007258FA">
        <w:rPr>
          <w:rFonts w:ascii="Times New Roman" w:hAnsi="Times New Roman"/>
        </w:rPr>
        <w:t xml:space="preserve">journey </w:t>
      </w:r>
      <w:r w:rsidR="001260C6">
        <w:rPr>
          <w:rFonts w:ascii="Times New Roman" w:hAnsi="Times New Roman"/>
        </w:rPr>
        <w:t xml:space="preserve">in fact begins before </w:t>
      </w:r>
      <w:r w:rsidR="007258FA">
        <w:rPr>
          <w:rFonts w:ascii="Times New Roman" w:hAnsi="Times New Roman"/>
          <w:i/>
        </w:rPr>
        <w:t>Anne</w:t>
      </w:r>
      <w:r w:rsidR="007258FA">
        <w:rPr>
          <w:rFonts w:ascii="Times New Roman" w:hAnsi="Times New Roman"/>
        </w:rPr>
        <w:t xml:space="preserve">. </w:t>
      </w:r>
    </w:p>
    <w:p w:rsidR="006C2B8D" w:rsidRDefault="00CA73A6" w:rsidP="009127FE">
      <w:pPr>
        <w:spacing w:after="120" w:line="300" w:lineRule="auto"/>
        <w:jc w:val="both"/>
        <w:rPr>
          <w:rFonts w:ascii="Times New Roman" w:hAnsi="Times New Roman"/>
        </w:rPr>
      </w:pPr>
      <w:r>
        <w:rPr>
          <w:rFonts w:ascii="Times New Roman" w:hAnsi="Times New Roman"/>
        </w:rPr>
        <w:t>The precursor to the modern exceptions was ‘fair abridgment’, wh</w:t>
      </w:r>
      <w:r w:rsidR="006C2B8D">
        <w:rPr>
          <w:rFonts w:ascii="Times New Roman" w:hAnsi="Times New Roman"/>
        </w:rPr>
        <w:t>i</w:t>
      </w:r>
      <w:r>
        <w:rPr>
          <w:rFonts w:ascii="Times New Roman" w:hAnsi="Times New Roman"/>
        </w:rPr>
        <w:t xml:space="preserve">ch was a judge-made doctrine, that began developing in the mid-1700s to allow the printing and selling of condensed versions of books without infringing the copyright in that book. </w:t>
      </w:r>
      <w:r>
        <w:rPr>
          <w:rFonts w:ascii="Times New Roman" w:hAnsi="Times New Roman"/>
        </w:rPr>
        <w:lastRenderedPageBreak/>
        <w:t>An ‘abridgment’ drew its expression from the original work but was easier to read, and sometimes an adaptation of some sort, but often a substitute for it.</w:t>
      </w:r>
      <w:r>
        <w:rPr>
          <w:rStyle w:val="FootnoteReference"/>
          <w:rFonts w:ascii="Times New Roman" w:hAnsi="Times New Roman"/>
        </w:rPr>
        <w:footnoteReference w:id="7"/>
      </w:r>
      <w:r w:rsidR="006C2B8D">
        <w:rPr>
          <w:rFonts w:ascii="Times New Roman" w:hAnsi="Times New Roman"/>
        </w:rPr>
        <w:t xml:space="preserve"> It was first judicially expounded in the 1740 case of </w:t>
      </w:r>
      <w:r w:rsidR="006C2B8D" w:rsidRPr="00F8731C">
        <w:rPr>
          <w:rFonts w:ascii="Times New Roman" w:hAnsi="Times New Roman"/>
          <w:i/>
        </w:rPr>
        <w:t>Gyles v Wilcox</w:t>
      </w:r>
      <w:r w:rsidR="006C2B8D">
        <w:rPr>
          <w:rFonts w:ascii="Times New Roman" w:hAnsi="Times New Roman"/>
        </w:rPr>
        <w:t>.</w:t>
      </w:r>
      <w:r w:rsidR="006C2B8D">
        <w:rPr>
          <w:rStyle w:val="FootnoteReference"/>
          <w:rFonts w:ascii="Times New Roman" w:hAnsi="Times New Roman"/>
        </w:rPr>
        <w:footnoteReference w:id="8"/>
      </w:r>
      <w:r w:rsidR="006C2B8D">
        <w:rPr>
          <w:rFonts w:ascii="Times New Roman" w:hAnsi="Times New Roman"/>
        </w:rPr>
        <w:t xml:space="preserve"> Consistently with the express purpose of </w:t>
      </w:r>
      <w:r w:rsidR="006C2B8D" w:rsidRPr="00DB2366">
        <w:rPr>
          <w:rFonts w:ascii="Times New Roman" w:hAnsi="Times New Roman"/>
          <w:i/>
        </w:rPr>
        <w:t>Anne</w:t>
      </w:r>
      <w:r w:rsidR="006C2B8D">
        <w:rPr>
          <w:rFonts w:ascii="Times New Roman" w:hAnsi="Times New Roman"/>
        </w:rPr>
        <w:t>, f</w:t>
      </w:r>
      <w:r w:rsidR="006C2B8D" w:rsidRPr="00DB2366">
        <w:rPr>
          <w:rFonts w:ascii="Times New Roman" w:hAnsi="Times New Roman"/>
        </w:rPr>
        <w:t>air</w:t>
      </w:r>
      <w:r w:rsidR="006C2B8D">
        <w:rPr>
          <w:rFonts w:ascii="Times New Roman" w:hAnsi="Times New Roman"/>
        </w:rPr>
        <w:t xml:space="preserve"> abridgments served an important public purpose: the dissemination of knowledge.</w:t>
      </w:r>
      <w:r w:rsidR="006C2B8D">
        <w:rPr>
          <w:rStyle w:val="FootnoteReference"/>
          <w:rFonts w:ascii="Times New Roman" w:hAnsi="Times New Roman"/>
        </w:rPr>
        <w:footnoteReference w:id="9"/>
      </w:r>
      <w:r w:rsidR="006C2B8D">
        <w:rPr>
          <w:rFonts w:ascii="Times New Roman" w:hAnsi="Times New Roman"/>
        </w:rPr>
        <w:t xml:space="preserve"> The abridg</w:t>
      </w:r>
      <w:r w:rsidR="003D5CE1">
        <w:rPr>
          <w:rFonts w:ascii="Times New Roman" w:hAnsi="Times New Roman"/>
        </w:rPr>
        <w:t>er</w:t>
      </w:r>
      <w:r w:rsidR="006C2B8D">
        <w:rPr>
          <w:rFonts w:ascii="Times New Roman" w:hAnsi="Times New Roman"/>
        </w:rPr>
        <w:t xml:space="preserve"> enriched the public domain by expressing existing ideas and information through a different perspective and for a different purpose. </w:t>
      </w:r>
      <w:r w:rsidR="003D5CE1">
        <w:rPr>
          <w:rFonts w:ascii="Times New Roman" w:hAnsi="Times New Roman"/>
        </w:rPr>
        <w:t>This was through a ‘derivative’ form of expression presented in a condensed manner more palatable to and cheaper for a wider audience than the original works</w:t>
      </w:r>
      <w:r w:rsidR="006C2B8D">
        <w:rPr>
          <w:rFonts w:ascii="Times New Roman" w:hAnsi="Times New Roman"/>
        </w:rPr>
        <w:t>.</w:t>
      </w:r>
      <w:r w:rsidR="006C2B8D">
        <w:rPr>
          <w:rStyle w:val="FootnoteReference"/>
          <w:rFonts w:ascii="Times New Roman" w:hAnsi="Times New Roman"/>
        </w:rPr>
        <w:footnoteReference w:id="10"/>
      </w:r>
      <w:r w:rsidR="006C2B8D">
        <w:rPr>
          <w:rFonts w:ascii="Times New Roman" w:hAnsi="Times New Roman"/>
        </w:rPr>
        <w:t xml:space="preserve">  Th</w:t>
      </w:r>
      <w:r w:rsidR="003D5CE1">
        <w:rPr>
          <w:rFonts w:ascii="Times New Roman" w:hAnsi="Times New Roman"/>
        </w:rPr>
        <w:t xml:space="preserve">is </w:t>
      </w:r>
      <w:r w:rsidR="006C2B8D">
        <w:rPr>
          <w:rFonts w:ascii="Times New Roman" w:hAnsi="Times New Roman"/>
        </w:rPr>
        <w:t>dissemination of knowledge was recognised as transcending the copyright owner’s economic and moral interests in relation to the work.</w:t>
      </w:r>
      <w:r w:rsidR="006C2B8D">
        <w:rPr>
          <w:rStyle w:val="FootnoteReference"/>
          <w:rFonts w:ascii="Times New Roman" w:hAnsi="Times New Roman"/>
        </w:rPr>
        <w:footnoteReference w:id="11"/>
      </w:r>
      <w:r w:rsidR="006C2B8D">
        <w:rPr>
          <w:rFonts w:ascii="Times New Roman" w:hAnsi="Times New Roman"/>
        </w:rPr>
        <w:t xml:space="preserve"> Indeed, often the abridgment itself was deserving of copyright protection.</w:t>
      </w:r>
      <w:r w:rsidR="006C2B8D">
        <w:rPr>
          <w:rStyle w:val="FootnoteReference"/>
          <w:rFonts w:ascii="Times New Roman" w:hAnsi="Times New Roman"/>
        </w:rPr>
        <w:footnoteReference w:id="12"/>
      </w:r>
      <w:r w:rsidR="006C2B8D">
        <w:rPr>
          <w:rFonts w:ascii="Times New Roman" w:hAnsi="Times New Roman"/>
        </w:rPr>
        <w:t xml:space="preserve"> </w:t>
      </w:r>
    </w:p>
    <w:p w:rsidR="00B60477" w:rsidRDefault="00BA0039" w:rsidP="009127FE">
      <w:pPr>
        <w:spacing w:after="120" w:line="300" w:lineRule="auto"/>
        <w:jc w:val="both"/>
        <w:rPr>
          <w:rFonts w:ascii="Times New Roman" w:hAnsi="Times New Roman"/>
        </w:rPr>
      </w:pPr>
      <w:r>
        <w:rPr>
          <w:rFonts w:ascii="Times New Roman" w:hAnsi="Times New Roman"/>
        </w:rPr>
        <w:t>The</w:t>
      </w:r>
      <w:r w:rsidR="006C2B8D">
        <w:rPr>
          <w:rFonts w:ascii="Times New Roman" w:hAnsi="Times New Roman"/>
        </w:rPr>
        <w:t xml:space="preserve"> fair abridgment doctrine post-</w:t>
      </w:r>
      <w:r w:rsidR="006C2B8D">
        <w:rPr>
          <w:rFonts w:ascii="Times New Roman" w:hAnsi="Times New Roman"/>
          <w:i/>
        </w:rPr>
        <w:t xml:space="preserve">Anne </w:t>
      </w:r>
      <w:r w:rsidR="006C2B8D">
        <w:rPr>
          <w:rFonts w:ascii="Times New Roman" w:hAnsi="Times New Roman"/>
        </w:rPr>
        <w:t xml:space="preserve">was a </w:t>
      </w:r>
      <w:r w:rsidR="006C2B8D" w:rsidRPr="00E101A6">
        <w:rPr>
          <w:rFonts w:ascii="Times New Roman" w:hAnsi="Times New Roman"/>
        </w:rPr>
        <w:t>creature</w:t>
      </w:r>
      <w:r w:rsidR="003D5CE1">
        <w:rPr>
          <w:rFonts w:ascii="Times New Roman" w:hAnsi="Times New Roman"/>
        </w:rPr>
        <w:t xml:space="preserve"> of the C</w:t>
      </w:r>
      <w:r w:rsidR="006C2B8D">
        <w:rPr>
          <w:rFonts w:ascii="Times New Roman" w:hAnsi="Times New Roman"/>
        </w:rPr>
        <w:t xml:space="preserve">ourts. </w:t>
      </w:r>
      <w:r w:rsidR="006C2B8D">
        <w:rPr>
          <w:rFonts w:ascii="Times New Roman" w:hAnsi="Times New Roman"/>
          <w:i/>
        </w:rPr>
        <w:t xml:space="preserve">Anne </w:t>
      </w:r>
      <w:r w:rsidR="006C2B8D">
        <w:rPr>
          <w:rFonts w:ascii="Times New Roman" w:hAnsi="Times New Roman"/>
        </w:rPr>
        <w:t xml:space="preserve">was silent on the legal status of abridgments, and it remains unsettled </w:t>
      </w:r>
      <w:r w:rsidR="003D5CE1">
        <w:rPr>
          <w:rFonts w:ascii="Times New Roman" w:hAnsi="Times New Roman"/>
        </w:rPr>
        <w:t xml:space="preserve">as to </w:t>
      </w:r>
      <w:r w:rsidR="006C2B8D">
        <w:rPr>
          <w:rFonts w:ascii="Times New Roman" w:hAnsi="Times New Roman"/>
        </w:rPr>
        <w:t xml:space="preserve">whether </w:t>
      </w:r>
      <w:r w:rsidR="003D5CE1">
        <w:rPr>
          <w:rFonts w:ascii="Times New Roman" w:hAnsi="Times New Roman"/>
          <w:i/>
        </w:rPr>
        <w:t>Anne</w:t>
      </w:r>
      <w:r w:rsidR="006C2B8D">
        <w:rPr>
          <w:rFonts w:ascii="Times New Roman" w:hAnsi="Times New Roman"/>
        </w:rPr>
        <w:t xml:space="preserve"> was intended to regulate their production or not.</w:t>
      </w:r>
      <w:r w:rsidR="006C2B8D">
        <w:rPr>
          <w:rStyle w:val="FootnoteReference"/>
          <w:rFonts w:ascii="Times New Roman" w:hAnsi="Times New Roman"/>
        </w:rPr>
        <w:footnoteReference w:id="13"/>
      </w:r>
      <w:r w:rsidR="006C2B8D">
        <w:rPr>
          <w:rFonts w:ascii="Times New Roman" w:hAnsi="Times New Roman"/>
        </w:rPr>
        <w:t xml:space="preserve"> Copyright then was not as well regarded as perhaps it may be today. When first enacted </w:t>
      </w:r>
      <w:r w:rsidR="001F6A37">
        <w:rPr>
          <w:rFonts w:ascii="Times New Roman" w:hAnsi="Times New Roman"/>
        </w:rPr>
        <w:t>t</w:t>
      </w:r>
      <w:r w:rsidR="006C2B8D">
        <w:rPr>
          <w:rFonts w:ascii="Times New Roman" w:hAnsi="Times New Roman"/>
        </w:rPr>
        <w:t xml:space="preserve">he British Parliament intended that </w:t>
      </w:r>
      <w:r w:rsidR="006C2B8D" w:rsidRPr="00F06846">
        <w:rPr>
          <w:rFonts w:ascii="Times New Roman" w:hAnsi="Times New Roman"/>
          <w:i/>
        </w:rPr>
        <w:t>Anne</w:t>
      </w:r>
      <w:r w:rsidR="006C2B8D">
        <w:rPr>
          <w:rFonts w:ascii="Times New Roman" w:hAnsi="Times New Roman"/>
        </w:rPr>
        <w:t xml:space="preserve"> would restrain the publishing industry and its historical monopolistic power by decentralisation.</w:t>
      </w:r>
      <w:r w:rsidR="006C2B8D">
        <w:rPr>
          <w:rStyle w:val="FootnoteReference"/>
          <w:rFonts w:ascii="Times New Roman" w:hAnsi="Times New Roman"/>
        </w:rPr>
        <w:footnoteReference w:id="14"/>
      </w:r>
      <w:r w:rsidR="006C2B8D">
        <w:rPr>
          <w:rFonts w:ascii="Times New Roman" w:hAnsi="Times New Roman"/>
        </w:rPr>
        <w:t xml:space="preserve"> Copyright thus was a</w:t>
      </w:r>
      <w:r w:rsidR="003D5CE1">
        <w:rPr>
          <w:rFonts w:ascii="Times New Roman" w:hAnsi="Times New Roman"/>
        </w:rPr>
        <w:t xml:space="preserve"> mechanism for trade regulation</w:t>
      </w:r>
      <w:r w:rsidR="006C2B8D">
        <w:rPr>
          <w:rFonts w:ascii="Times New Roman" w:hAnsi="Times New Roman"/>
        </w:rPr>
        <w:t xml:space="preserve"> </w:t>
      </w:r>
      <w:r w:rsidR="003D5CE1">
        <w:rPr>
          <w:rFonts w:ascii="Times New Roman" w:hAnsi="Times New Roman"/>
        </w:rPr>
        <w:t>and</w:t>
      </w:r>
      <w:r w:rsidR="006C2B8D">
        <w:rPr>
          <w:rFonts w:ascii="Times New Roman" w:hAnsi="Times New Roman"/>
        </w:rPr>
        <w:t xml:space="preserve"> </w:t>
      </w:r>
      <w:r w:rsidR="006C2B8D" w:rsidRPr="00604072">
        <w:rPr>
          <w:rFonts w:ascii="Times New Roman" w:hAnsi="Times New Roman"/>
          <w:i/>
        </w:rPr>
        <w:t>not</w:t>
      </w:r>
      <w:r w:rsidR="006C2B8D">
        <w:rPr>
          <w:rFonts w:ascii="Times New Roman" w:hAnsi="Times New Roman"/>
        </w:rPr>
        <w:t xml:space="preserve"> to be interpreted too broadly;</w:t>
      </w:r>
      <w:r w:rsidR="006C2B8D">
        <w:rPr>
          <w:rStyle w:val="FootnoteReference"/>
          <w:rFonts w:ascii="Times New Roman" w:hAnsi="Times New Roman"/>
        </w:rPr>
        <w:footnoteReference w:id="15"/>
      </w:r>
      <w:r w:rsidR="006C2B8D">
        <w:rPr>
          <w:rFonts w:ascii="Times New Roman" w:hAnsi="Times New Roman"/>
        </w:rPr>
        <w:t xml:space="preserve"> a view, which dominated copyright policymaking until the early 20</w:t>
      </w:r>
      <w:r w:rsidR="006C2B8D" w:rsidRPr="006E1F3E">
        <w:rPr>
          <w:rFonts w:ascii="Times New Roman" w:hAnsi="Times New Roman"/>
          <w:vertAlign w:val="superscript"/>
        </w:rPr>
        <w:t>th</w:t>
      </w:r>
      <w:r w:rsidR="006C2B8D">
        <w:rPr>
          <w:rFonts w:ascii="Times New Roman" w:hAnsi="Times New Roman"/>
        </w:rPr>
        <w:t xml:space="preserve"> Century.</w:t>
      </w:r>
      <w:r w:rsidR="006C2B8D">
        <w:rPr>
          <w:rStyle w:val="FootnoteReference"/>
          <w:rFonts w:ascii="Times New Roman" w:hAnsi="Times New Roman"/>
        </w:rPr>
        <w:footnoteReference w:id="16"/>
      </w:r>
      <w:r w:rsidR="006C2B8D">
        <w:rPr>
          <w:rFonts w:ascii="Times New Roman" w:hAnsi="Times New Roman"/>
        </w:rPr>
        <w:t xml:space="preserve">  Indeed, not only was the grant of the monopoly much more restricted than today, as it was confined to the exclusive rights of </w:t>
      </w:r>
      <w:r w:rsidR="006C2B8D" w:rsidRPr="003D5CE1">
        <w:rPr>
          <w:rFonts w:ascii="Times New Roman" w:hAnsi="Times New Roman"/>
          <w:i/>
        </w:rPr>
        <w:t>printing</w:t>
      </w:r>
      <w:r w:rsidR="006C2B8D">
        <w:rPr>
          <w:rFonts w:ascii="Times New Roman" w:hAnsi="Times New Roman"/>
        </w:rPr>
        <w:t xml:space="preserve"> and </w:t>
      </w:r>
      <w:r w:rsidR="006C2B8D" w:rsidRPr="003D5CE1">
        <w:rPr>
          <w:rFonts w:ascii="Times New Roman" w:hAnsi="Times New Roman"/>
          <w:i/>
        </w:rPr>
        <w:t>selling</w:t>
      </w:r>
      <w:r w:rsidR="006C2B8D">
        <w:rPr>
          <w:rFonts w:ascii="Times New Roman" w:hAnsi="Times New Roman"/>
        </w:rPr>
        <w:t xml:space="preserve">, </w:t>
      </w:r>
      <w:r w:rsidR="003D5CE1">
        <w:rPr>
          <w:rFonts w:ascii="Times New Roman" w:hAnsi="Times New Roman"/>
          <w:i/>
        </w:rPr>
        <w:t>Anne</w:t>
      </w:r>
      <w:r w:rsidR="006C2B8D">
        <w:rPr>
          <w:rFonts w:ascii="Times New Roman" w:hAnsi="Times New Roman"/>
        </w:rPr>
        <w:t xml:space="preserve"> was not a code </w:t>
      </w:r>
      <w:r w:rsidR="003D5CE1">
        <w:rPr>
          <w:rFonts w:ascii="Times New Roman" w:hAnsi="Times New Roman"/>
        </w:rPr>
        <w:t>as it</w:t>
      </w:r>
      <w:r w:rsidR="006C2B8D">
        <w:rPr>
          <w:rFonts w:ascii="Times New Roman" w:hAnsi="Times New Roman"/>
        </w:rPr>
        <w:t xml:space="preserve"> was not considered an exhaustive statement of the law</w:t>
      </w:r>
      <w:r w:rsidR="006C2B8D" w:rsidRPr="00583D39">
        <w:rPr>
          <w:rFonts w:ascii="Times New Roman" w:hAnsi="Times New Roman"/>
        </w:rPr>
        <w:t>.</w:t>
      </w:r>
      <w:r w:rsidR="006C2B8D">
        <w:rPr>
          <w:rStyle w:val="FootnoteReference"/>
          <w:rFonts w:ascii="Times New Roman" w:hAnsi="Times New Roman"/>
        </w:rPr>
        <w:footnoteReference w:id="17"/>
      </w:r>
      <w:r w:rsidR="006C2B8D">
        <w:rPr>
          <w:rFonts w:ascii="Times New Roman" w:hAnsi="Times New Roman"/>
        </w:rPr>
        <w:t xml:space="preserve"> Fair abridgment continued as a right until the</w:t>
      </w:r>
      <w:r w:rsidR="00814B2E">
        <w:rPr>
          <w:rFonts w:ascii="Times New Roman" w:hAnsi="Times New Roman"/>
        </w:rPr>
        <w:t xml:space="preserve"> 1860s.</w:t>
      </w:r>
      <w:r w:rsidR="00814B2E" w:rsidRPr="00814B2E">
        <w:rPr>
          <w:rStyle w:val="FootnoteReference"/>
          <w:rFonts w:ascii="Times New Roman" w:hAnsi="Times New Roman"/>
          <w:szCs w:val="20"/>
        </w:rPr>
        <w:footnoteReference w:id="18"/>
      </w:r>
      <w:r w:rsidR="00537E0A">
        <w:rPr>
          <w:rFonts w:ascii="Times New Roman" w:hAnsi="Times New Roman"/>
        </w:rPr>
        <w:t xml:space="preserve"> </w:t>
      </w:r>
    </w:p>
    <w:p w:rsidR="001F6A37" w:rsidRDefault="00B60477" w:rsidP="009127FE">
      <w:pPr>
        <w:spacing w:after="120" w:line="300" w:lineRule="auto"/>
        <w:jc w:val="both"/>
        <w:rPr>
          <w:rFonts w:ascii="Times New Roman" w:hAnsi="Times New Roman"/>
        </w:rPr>
      </w:pPr>
      <w:r>
        <w:rPr>
          <w:rFonts w:ascii="Times New Roman" w:hAnsi="Times New Roman"/>
        </w:rPr>
        <w:lastRenderedPageBreak/>
        <w:t>During the 19</w:t>
      </w:r>
      <w:r w:rsidRPr="00B60477">
        <w:rPr>
          <w:rFonts w:ascii="Times New Roman" w:hAnsi="Times New Roman"/>
          <w:vertAlign w:val="superscript"/>
        </w:rPr>
        <w:t>th</w:t>
      </w:r>
      <w:r>
        <w:rPr>
          <w:rFonts w:ascii="Times New Roman" w:hAnsi="Times New Roman"/>
        </w:rPr>
        <w:t xml:space="preserve"> Century</w:t>
      </w:r>
      <w:r w:rsidR="00537E0A">
        <w:rPr>
          <w:rFonts w:ascii="Times New Roman" w:hAnsi="Times New Roman"/>
        </w:rPr>
        <w:t xml:space="preserve"> </w:t>
      </w:r>
      <w:r w:rsidR="00814B2E">
        <w:rPr>
          <w:rFonts w:ascii="Times New Roman" w:hAnsi="Times New Roman"/>
        </w:rPr>
        <w:t>there develop</w:t>
      </w:r>
      <w:r>
        <w:rPr>
          <w:rFonts w:ascii="Times New Roman" w:hAnsi="Times New Roman"/>
        </w:rPr>
        <w:t>ed</w:t>
      </w:r>
      <w:r w:rsidR="00814B2E">
        <w:rPr>
          <w:rFonts w:ascii="Times New Roman" w:hAnsi="Times New Roman"/>
        </w:rPr>
        <w:t xml:space="preserve"> bod</w:t>
      </w:r>
      <w:r>
        <w:rPr>
          <w:rFonts w:ascii="Times New Roman" w:hAnsi="Times New Roman"/>
        </w:rPr>
        <w:t>ies</w:t>
      </w:r>
      <w:r w:rsidR="00814B2E">
        <w:rPr>
          <w:rFonts w:ascii="Times New Roman" w:hAnsi="Times New Roman"/>
        </w:rPr>
        <w:t xml:space="preserve"> of jurisprudence, which sanctioned othe</w:t>
      </w:r>
      <w:r w:rsidR="00537E0A">
        <w:rPr>
          <w:rFonts w:ascii="Times New Roman" w:hAnsi="Times New Roman"/>
        </w:rPr>
        <w:t xml:space="preserve">r third party uses of copyright </w:t>
      </w:r>
      <w:r w:rsidR="00814B2E">
        <w:rPr>
          <w:rFonts w:ascii="Times New Roman" w:hAnsi="Times New Roman"/>
        </w:rPr>
        <w:t>works</w:t>
      </w:r>
      <w:r>
        <w:rPr>
          <w:rFonts w:ascii="Times New Roman" w:hAnsi="Times New Roman"/>
        </w:rPr>
        <w:t xml:space="preserve"> – being </w:t>
      </w:r>
      <w:r w:rsidRPr="00543142">
        <w:rPr>
          <w:rFonts w:ascii="Times New Roman" w:hAnsi="Times New Roman"/>
          <w:i/>
        </w:rPr>
        <w:t>review</w:t>
      </w:r>
      <w:r>
        <w:rPr>
          <w:rFonts w:ascii="Times New Roman" w:hAnsi="Times New Roman"/>
        </w:rPr>
        <w:t xml:space="preserve">, </w:t>
      </w:r>
      <w:r w:rsidRPr="00543142">
        <w:rPr>
          <w:rFonts w:ascii="Times New Roman" w:hAnsi="Times New Roman"/>
          <w:i/>
        </w:rPr>
        <w:t>criticism</w:t>
      </w:r>
      <w:r>
        <w:rPr>
          <w:rFonts w:ascii="Times New Roman" w:hAnsi="Times New Roman"/>
        </w:rPr>
        <w:t xml:space="preserve"> and </w:t>
      </w:r>
      <w:r w:rsidR="00193849">
        <w:rPr>
          <w:rFonts w:ascii="Times New Roman" w:hAnsi="Times New Roman"/>
        </w:rPr>
        <w:t>(</w:t>
      </w:r>
      <w:r>
        <w:rPr>
          <w:rFonts w:ascii="Times New Roman" w:hAnsi="Times New Roman"/>
        </w:rPr>
        <w:t>later</w:t>
      </w:r>
      <w:r w:rsidR="00193849">
        <w:rPr>
          <w:rFonts w:ascii="Times New Roman" w:hAnsi="Times New Roman"/>
        </w:rPr>
        <w:t>)</w:t>
      </w:r>
      <w:r>
        <w:rPr>
          <w:rFonts w:ascii="Times New Roman" w:hAnsi="Times New Roman"/>
        </w:rPr>
        <w:t xml:space="preserve"> </w:t>
      </w:r>
      <w:r w:rsidRPr="00543142">
        <w:rPr>
          <w:rFonts w:ascii="Times New Roman" w:hAnsi="Times New Roman"/>
          <w:i/>
        </w:rPr>
        <w:t>fair</w:t>
      </w:r>
      <w:r>
        <w:rPr>
          <w:rFonts w:ascii="Times New Roman" w:hAnsi="Times New Roman"/>
        </w:rPr>
        <w:t xml:space="preserve"> </w:t>
      </w:r>
      <w:r w:rsidRPr="00543142">
        <w:rPr>
          <w:rFonts w:ascii="Times New Roman" w:hAnsi="Times New Roman"/>
          <w:i/>
        </w:rPr>
        <w:t>use</w:t>
      </w:r>
      <w:r w:rsidR="00814B2E">
        <w:rPr>
          <w:rFonts w:ascii="Times New Roman" w:hAnsi="Times New Roman"/>
        </w:rPr>
        <w:t>.</w:t>
      </w:r>
      <w:r w:rsidR="00814B2E">
        <w:rPr>
          <w:rStyle w:val="FootnoteReference"/>
          <w:rFonts w:ascii="Times New Roman" w:hAnsi="Times New Roman"/>
        </w:rPr>
        <w:footnoteReference w:id="19"/>
      </w:r>
      <w:r w:rsidR="00814B2E">
        <w:rPr>
          <w:rFonts w:ascii="Times New Roman" w:hAnsi="Times New Roman"/>
        </w:rPr>
        <w:t xml:space="preserve"> </w:t>
      </w:r>
      <w:r w:rsidR="006B35BC">
        <w:rPr>
          <w:rFonts w:ascii="Times New Roman" w:hAnsi="Times New Roman"/>
        </w:rPr>
        <w:t xml:space="preserve">  T</w:t>
      </w:r>
      <w:r w:rsidR="00814B2E" w:rsidRPr="005D0EDF">
        <w:rPr>
          <w:rFonts w:ascii="Times New Roman" w:hAnsi="Times New Roman"/>
        </w:rPr>
        <w:t xml:space="preserve">he word ‘review’ </w:t>
      </w:r>
      <w:r w:rsidR="00814B2E">
        <w:rPr>
          <w:rFonts w:ascii="Times New Roman" w:hAnsi="Times New Roman"/>
        </w:rPr>
        <w:t xml:space="preserve">appears to have arisen first in in the 1807 decision of </w:t>
      </w:r>
      <w:r w:rsidR="00814B2E" w:rsidRPr="006F0888">
        <w:rPr>
          <w:rFonts w:ascii="Times New Roman" w:hAnsi="Times New Roman"/>
          <w:i/>
        </w:rPr>
        <w:t>Roworth v Wilkes</w:t>
      </w:r>
      <w:r w:rsidR="00814B2E">
        <w:rPr>
          <w:rFonts w:ascii="Times New Roman" w:hAnsi="Times New Roman"/>
        </w:rPr>
        <w:t>.</w:t>
      </w:r>
      <w:r w:rsidR="00814B2E">
        <w:rPr>
          <w:rStyle w:val="FootnoteReference"/>
          <w:rFonts w:ascii="Times New Roman" w:hAnsi="Times New Roman"/>
        </w:rPr>
        <w:footnoteReference w:id="20"/>
      </w:r>
      <w:r w:rsidR="00814B2E">
        <w:rPr>
          <w:rFonts w:ascii="Times New Roman" w:hAnsi="Times New Roman"/>
        </w:rPr>
        <w:t xml:space="preserve"> ‘Criticism’</w:t>
      </w:r>
      <w:r w:rsidR="007116A0">
        <w:rPr>
          <w:rFonts w:ascii="Times New Roman" w:hAnsi="Times New Roman"/>
        </w:rPr>
        <w:t xml:space="preserve"> </w:t>
      </w:r>
      <w:r w:rsidR="00814B2E">
        <w:rPr>
          <w:rFonts w:ascii="Times New Roman" w:hAnsi="Times New Roman"/>
        </w:rPr>
        <w:t>appear</w:t>
      </w:r>
      <w:r w:rsidR="007116A0">
        <w:rPr>
          <w:rFonts w:ascii="Times New Roman" w:hAnsi="Times New Roman"/>
        </w:rPr>
        <w:t>ed</w:t>
      </w:r>
      <w:r w:rsidR="00814B2E">
        <w:rPr>
          <w:rFonts w:ascii="Times New Roman" w:hAnsi="Times New Roman"/>
        </w:rPr>
        <w:t xml:space="preserve"> a decade </w:t>
      </w:r>
      <w:r w:rsidR="00537E0A">
        <w:rPr>
          <w:rFonts w:ascii="Times New Roman" w:hAnsi="Times New Roman"/>
        </w:rPr>
        <w:t>later</w:t>
      </w:r>
      <w:r w:rsidR="00814B2E" w:rsidRPr="006F0888">
        <w:rPr>
          <w:rFonts w:ascii="Times New Roman" w:hAnsi="Times New Roman"/>
        </w:rPr>
        <w:t xml:space="preserve"> in </w:t>
      </w:r>
      <w:r w:rsidR="00814B2E">
        <w:rPr>
          <w:rFonts w:ascii="Times New Roman" w:hAnsi="Times New Roman"/>
        </w:rPr>
        <w:t xml:space="preserve">the decision in </w:t>
      </w:r>
      <w:r w:rsidR="00814B2E" w:rsidRPr="006F0888">
        <w:rPr>
          <w:rFonts w:ascii="Times New Roman" w:hAnsi="Times New Roman"/>
          <w:i/>
        </w:rPr>
        <w:t>Whittingham v Wooler</w:t>
      </w:r>
      <w:r w:rsidR="00814B2E">
        <w:rPr>
          <w:rFonts w:ascii="Times New Roman" w:hAnsi="Times New Roman"/>
        </w:rPr>
        <w:t>.</w:t>
      </w:r>
      <w:r w:rsidR="00814B2E">
        <w:rPr>
          <w:rStyle w:val="FootnoteReference"/>
          <w:rFonts w:ascii="Times New Roman" w:hAnsi="Times New Roman"/>
        </w:rPr>
        <w:footnoteReference w:id="21"/>
      </w:r>
      <w:r w:rsidR="00814B2E">
        <w:rPr>
          <w:rFonts w:ascii="Times New Roman" w:hAnsi="Times New Roman"/>
        </w:rPr>
        <w:t xml:space="preserve"> At the close of the 19</w:t>
      </w:r>
      <w:r w:rsidR="00814B2E" w:rsidRPr="00D6383A">
        <w:rPr>
          <w:rFonts w:ascii="Times New Roman" w:hAnsi="Times New Roman"/>
          <w:vertAlign w:val="superscript"/>
        </w:rPr>
        <w:t>th</w:t>
      </w:r>
      <w:r w:rsidR="00814B2E">
        <w:rPr>
          <w:rFonts w:ascii="Times New Roman" w:hAnsi="Times New Roman"/>
        </w:rPr>
        <w:t xml:space="preserve"> Century reviews were recognised as a necessary aspect of the book trade. As such, ‘fair review’ (or ‘fair criticism’) as an exception had cemented its place in the copyright regime.</w:t>
      </w:r>
      <w:r w:rsidR="00814B2E">
        <w:rPr>
          <w:rStyle w:val="FootnoteReference"/>
          <w:rFonts w:ascii="Times New Roman" w:hAnsi="Times New Roman"/>
        </w:rPr>
        <w:footnoteReference w:id="22"/>
      </w:r>
      <w:r w:rsidR="00814B2E">
        <w:rPr>
          <w:rFonts w:ascii="Times New Roman" w:hAnsi="Times New Roman"/>
        </w:rPr>
        <w:t xml:space="preserve"> </w:t>
      </w:r>
      <w:r w:rsidR="001F6A37" w:rsidRPr="0082672B">
        <w:rPr>
          <w:rFonts w:ascii="Times New Roman" w:hAnsi="Times New Roman"/>
        </w:rPr>
        <w:t>Towards the end of the 19</w:t>
      </w:r>
      <w:r w:rsidR="001F6A37" w:rsidRPr="0082672B">
        <w:rPr>
          <w:rFonts w:ascii="Times New Roman" w:hAnsi="Times New Roman"/>
          <w:vertAlign w:val="superscript"/>
        </w:rPr>
        <w:t>th</w:t>
      </w:r>
      <w:r w:rsidR="001F6A37" w:rsidRPr="0082672B">
        <w:rPr>
          <w:rFonts w:ascii="Times New Roman" w:hAnsi="Times New Roman"/>
        </w:rPr>
        <w:t xml:space="preserve"> Century, the notion of ‘fair use’ also had developed. </w:t>
      </w:r>
      <w:r w:rsidR="001F6A37">
        <w:rPr>
          <w:rFonts w:ascii="Times New Roman" w:hAnsi="Times New Roman"/>
        </w:rPr>
        <w:t xml:space="preserve"> </w:t>
      </w:r>
      <w:r w:rsidR="001F6A37" w:rsidRPr="0082672B">
        <w:rPr>
          <w:rFonts w:ascii="Times New Roman" w:hAnsi="Times New Roman"/>
        </w:rPr>
        <w:t>Bowrey</w:t>
      </w:r>
      <w:r w:rsidR="007116A0">
        <w:rPr>
          <w:rFonts w:ascii="Times New Roman" w:hAnsi="Times New Roman"/>
        </w:rPr>
        <w:t xml:space="preserve"> </w:t>
      </w:r>
      <w:r w:rsidR="001F6A37" w:rsidRPr="0082672B">
        <w:rPr>
          <w:rFonts w:ascii="Times New Roman" w:hAnsi="Times New Roman"/>
        </w:rPr>
        <w:t xml:space="preserve">argues that the case of </w:t>
      </w:r>
      <w:r w:rsidR="001F6A37" w:rsidRPr="0082672B">
        <w:rPr>
          <w:rFonts w:ascii="Times New Roman" w:hAnsi="Times New Roman"/>
          <w:i/>
        </w:rPr>
        <w:t>Sayres v Moore</w:t>
      </w:r>
      <w:r>
        <w:rPr>
          <w:rStyle w:val="FootnoteReference"/>
          <w:rFonts w:ascii="Times New Roman" w:hAnsi="Times New Roman"/>
          <w:i/>
        </w:rPr>
        <w:footnoteReference w:id="23"/>
      </w:r>
      <w:r w:rsidR="001F6A37" w:rsidRPr="0082672B">
        <w:rPr>
          <w:rFonts w:ascii="Times New Roman" w:hAnsi="Times New Roman"/>
          <w:i/>
        </w:rPr>
        <w:t xml:space="preserve"> </w:t>
      </w:r>
      <w:r w:rsidR="001F6A37" w:rsidRPr="0082672B">
        <w:rPr>
          <w:rFonts w:ascii="Times New Roman" w:hAnsi="Times New Roman"/>
        </w:rPr>
        <w:t xml:space="preserve">captures </w:t>
      </w:r>
      <w:r w:rsidR="007116A0">
        <w:rPr>
          <w:rFonts w:ascii="Times New Roman" w:hAnsi="Times New Roman"/>
        </w:rPr>
        <w:t xml:space="preserve">its </w:t>
      </w:r>
      <w:r w:rsidR="001F6A37" w:rsidRPr="0082672B">
        <w:rPr>
          <w:rFonts w:ascii="Times New Roman" w:hAnsi="Times New Roman"/>
        </w:rPr>
        <w:t>birth</w:t>
      </w:r>
      <w:r w:rsidR="007116A0">
        <w:rPr>
          <w:rFonts w:ascii="Times New Roman" w:hAnsi="Times New Roman"/>
        </w:rPr>
        <w:t>.</w:t>
      </w:r>
      <w:r w:rsidR="001F6A37">
        <w:rPr>
          <w:rStyle w:val="FootnoteReference"/>
          <w:rFonts w:ascii="Times New Roman" w:hAnsi="Times New Roman"/>
        </w:rPr>
        <w:footnoteReference w:id="24"/>
      </w:r>
      <w:r w:rsidR="007116A0">
        <w:rPr>
          <w:rFonts w:ascii="Times New Roman" w:hAnsi="Times New Roman"/>
        </w:rPr>
        <w:t xml:space="preserve"> While others</w:t>
      </w:r>
      <w:r w:rsidR="007116A0" w:rsidRPr="007116A0">
        <w:rPr>
          <w:rFonts w:ascii="Times New Roman" w:hAnsi="Times New Roman"/>
        </w:rPr>
        <w:t xml:space="preserve">, such as Patry, argue that </w:t>
      </w:r>
      <w:r w:rsidR="007116A0" w:rsidRPr="007116A0">
        <w:rPr>
          <w:rFonts w:ascii="Times New Roman" w:hAnsi="Times New Roman"/>
          <w:i/>
        </w:rPr>
        <w:t>Cary v Kearsley</w:t>
      </w:r>
      <w:r>
        <w:rPr>
          <w:rStyle w:val="FootnoteReference"/>
          <w:rFonts w:ascii="Times New Roman" w:hAnsi="Times New Roman"/>
          <w:i/>
        </w:rPr>
        <w:footnoteReference w:id="25"/>
      </w:r>
      <w:r w:rsidR="007116A0" w:rsidRPr="007116A0">
        <w:rPr>
          <w:rFonts w:ascii="Times New Roman" w:hAnsi="Times New Roman"/>
          <w:i/>
        </w:rPr>
        <w:t xml:space="preserve"> </w:t>
      </w:r>
      <w:r w:rsidR="007116A0" w:rsidRPr="007116A0">
        <w:rPr>
          <w:rFonts w:ascii="Times New Roman" w:hAnsi="Times New Roman"/>
        </w:rPr>
        <w:t>takes that mantle</w:t>
      </w:r>
      <w:r w:rsidR="007116A0">
        <w:rPr>
          <w:rFonts w:ascii="Times New Roman" w:hAnsi="Times New Roman"/>
        </w:rPr>
        <w:t>.</w:t>
      </w:r>
      <w:r w:rsidR="007116A0">
        <w:rPr>
          <w:rStyle w:val="FootnoteReference"/>
          <w:rFonts w:ascii="Times New Roman" w:hAnsi="Times New Roman"/>
        </w:rPr>
        <w:footnoteReference w:id="26"/>
      </w:r>
      <w:r w:rsidR="00511C7F">
        <w:rPr>
          <w:rFonts w:ascii="Times New Roman" w:hAnsi="Times New Roman"/>
        </w:rPr>
        <w:t xml:space="preserve"> The term ‘fair dealing’ is uniquely Antipodean.</w:t>
      </w:r>
    </w:p>
    <w:p w:rsidR="00814B2E" w:rsidRDefault="00814B2E" w:rsidP="009127FE">
      <w:pPr>
        <w:spacing w:after="120" w:line="300" w:lineRule="auto"/>
        <w:jc w:val="both"/>
        <w:rPr>
          <w:rFonts w:ascii="Times New Roman" w:hAnsi="Times New Roman"/>
        </w:rPr>
      </w:pPr>
      <w:r>
        <w:rPr>
          <w:rFonts w:ascii="Times New Roman" w:hAnsi="Times New Roman"/>
        </w:rPr>
        <w:t xml:space="preserve">Australia was </w:t>
      </w:r>
      <w:r w:rsidR="001F6A37">
        <w:rPr>
          <w:rFonts w:ascii="Times New Roman" w:hAnsi="Times New Roman"/>
        </w:rPr>
        <w:t xml:space="preserve">in fact </w:t>
      </w:r>
      <w:r>
        <w:rPr>
          <w:rFonts w:ascii="Times New Roman" w:hAnsi="Times New Roman"/>
        </w:rPr>
        <w:t xml:space="preserve">the first common law country to employ the term ‘fair dealing’ in statutory reference to permitted third party uses of a copyrighted work. Section 28 of the </w:t>
      </w:r>
      <w:r>
        <w:rPr>
          <w:rFonts w:ascii="Times New Roman" w:hAnsi="Times New Roman"/>
          <w:i/>
        </w:rPr>
        <w:t xml:space="preserve">Copyright Act 1905 </w:t>
      </w:r>
      <w:r>
        <w:rPr>
          <w:rFonts w:ascii="Times New Roman" w:hAnsi="Times New Roman"/>
        </w:rPr>
        <w:t>(Cth) (</w:t>
      </w:r>
      <w:r>
        <w:rPr>
          <w:rFonts w:ascii="Times New Roman" w:hAnsi="Times New Roman"/>
          <w:i/>
        </w:rPr>
        <w:t>‘1905 Act’</w:t>
      </w:r>
      <w:r>
        <w:rPr>
          <w:rFonts w:ascii="Times New Roman" w:hAnsi="Times New Roman"/>
        </w:rPr>
        <w:t>), Australia’s first federal copyright law, provided in broad terms:</w:t>
      </w:r>
    </w:p>
    <w:p w:rsidR="00814B2E" w:rsidRPr="009127FE" w:rsidRDefault="00814B2E" w:rsidP="009127FE">
      <w:pPr>
        <w:spacing w:after="240" w:line="300" w:lineRule="auto"/>
        <w:ind w:left="284"/>
        <w:jc w:val="both"/>
        <w:rPr>
          <w:rFonts w:ascii="Times New Roman" w:hAnsi="Times New Roman"/>
        </w:rPr>
      </w:pPr>
      <w:r w:rsidRPr="00FF7F61">
        <w:rPr>
          <w:rFonts w:ascii="Times New Roman" w:hAnsi="Times New Roman"/>
          <w:sz w:val="20"/>
          <w:szCs w:val="20"/>
        </w:rPr>
        <w:t xml:space="preserve">Copyright in a book shall not be infringed by a person making an abridgement or translation of the book for his private use (unless he uses it publicly or allows it to be used publicly by some other person), or by a person </w:t>
      </w:r>
      <w:r w:rsidRPr="006E1F3E">
        <w:rPr>
          <w:rFonts w:ascii="Times New Roman" w:hAnsi="Times New Roman"/>
          <w:b/>
          <w:sz w:val="20"/>
          <w:szCs w:val="20"/>
        </w:rPr>
        <w:t>making fair extracts from or</w:t>
      </w:r>
      <w:r w:rsidRPr="00FF7F61">
        <w:rPr>
          <w:rFonts w:ascii="Times New Roman" w:hAnsi="Times New Roman"/>
          <w:sz w:val="20"/>
          <w:szCs w:val="20"/>
        </w:rPr>
        <w:t xml:space="preserve"> </w:t>
      </w:r>
      <w:r w:rsidRPr="00712547">
        <w:rPr>
          <w:rFonts w:ascii="Times New Roman" w:hAnsi="Times New Roman"/>
          <w:b/>
          <w:sz w:val="20"/>
          <w:szCs w:val="20"/>
        </w:rPr>
        <w:t>otherwise fairly dealing</w:t>
      </w:r>
      <w:r w:rsidRPr="00FF7F61">
        <w:rPr>
          <w:rFonts w:ascii="Times New Roman" w:hAnsi="Times New Roman"/>
          <w:sz w:val="20"/>
          <w:szCs w:val="20"/>
        </w:rPr>
        <w:t xml:space="preserve"> </w:t>
      </w:r>
      <w:r w:rsidRPr="006E1F3E">
        <w:rPr>
          <w:rFonts w:ascii="Times New Roman" w:hAnsi="Times New Roman"/>
          <w:b/>
          <w:sz w:val="20"/>
          <w:szCs w:val="20"/>
        </w:rPr>
        <w:t>with</w:t>
      </w:r>
      <w:r w:rsidRPr="00FF7F61">
        <w:rPr>
          <w:rFonts w:ascii="Times New Roman" w:hAnsi="Times New Roman"/>
          <w:sz w:val="20"/>
          <w:szCs w:val="20"/>
        </w:rPr>
        <w:t xml:space="preserve"> the contents of the book </w:t>
      </w:r>
      <w:r w:rsidRPr="00F877B3">
        <w:rPr>
          <w:rFonts w:ascii="Times New Roman" w:hAnsi="Times New Roman"/>
          <w:b/>
          <w:sz w:val="20"/>
          <w:szCs w:val="20"/>
        </w:rPr>
        <w:t>for the purpose of a new work, or for the pu</w:t>
      </w:r>
      <w:r w:rsidR="00921EC5">
        <w:rPr>
          <w:rFonts w:ascii="Times New Roman" w:hAnsi="Times New Roman"/>
          <w:b/>
          <w:sz w:val="20"/>
          <w:szCs w:val="20"/>
        </w:rPr>
        <w:t xml:space="preserve">rposes of criticism, review, or </w:t>
      </w:r>
      <w:r w:rsidRPr="00F877B3">
        <w:rPr>
          <w:rFonts w:ascii="Times New Roman" w:hAnsi="Times New Roman"/>
          <w:b/>
          <w:sz w:val="20"/>
          <w:szCs w:val="20"/>
        </w:rPr>
        <w:t>refutation</w:t>
      </w:r>
      <w:r w:rsidRPr="00FF7F61">
        <w:rPr>
          <w:rFonts w:ascii="Times New Roman" w:hAnsi="Times New Roman"/>
          <w:sz w:val="20"/>
          <w:szCs w:val="20"/>
        </w:rPr>
        <w:t>, or in the ordinary course of reporting scientific information</w:t>
      </w:r>
      <w:r>
        <w:rPr>
          <w:rFonts w:ascii="Times New Roman" w:hAnsi="Times New Roman"/>
        </w:rPr>
        <w:t xml:space="preserve">. </w:t>
      </w:r>
      <w:r w:rsidRPr="00C25E9A">
        <w:rPr>
          <w:rFonts w:ascii="Times New Roman" w:hAnsi="Times New Roman"/>
          <w:sz w:val="20"/>
        </w:rPr>
        <w:t>(emphasis added)</w:t>
      </w:r>
    </w:p>
    <w:p w:rsidR="006C2B8D" w:rsidRDefault="001F6A37" w:rsidP="009127FE">
      <w:pPr>
        <w:spacing w:after="120" w:line="300" w:lineRule="auto"/>
        <w:jc w:val="both"/>
        <w:rPr>
          <w:rFonts w:ascii="Times New Roman" w:hAnsi="Times New Roman"/>
        </w:rPr>
      </w:pPr>
      <w:r>
        <w:rPr>
          <w:rFonts w:ascii="Times New Roman" w:hAnsi="Times New Roman"/>
        </w:rPr>
        <w:t>Section 28 was intended to restate the common law as developed in 18</w:t>
      </w:r>
      <w:r w:rsidRPr="008601CC">
        <w:rPr>
          <w:rFonts w:ascii="Times New Roman" w:hAnsi="Times New Roman"/>
          <w:vertAlign w:val="superscript"/>
        </w:rPr>
        <w:t>th</w:t>
      </w:r>
      <w:r>
        <w:rPr>
          <w:rFonts w:ascii="Times New Roman" w:hAnsi="Times New Roman"/>
        </w:rPr>
        <w:t xml:space="preserve"> and 19</w:t>
      </w:r>
      <w:r w:rsidRPr="008601CC">
        <w:rPr>
          <w:rFonts w:ascii="Times New Roman" w:hAnsi="Times New Roman"/>
          <w:vertAlign w:val="superscript"/>
        </w:rPr>
        <w:t>th</w:t>
      </w:r>
      <w:r>
        <w:rPr>
          <w:rFonts w:ascii="Times New Roman" w:hAnsi="Times New Roman"/>
        </w:rPr>
        <w:t xml:space="preserve"> Century England.</w:t>
      </w:r>
      <w:r>
        <w:rPr>
          <w:rStyle w:val="FootnoteReference"/>
          <w:rFonts w:ascii="Times New Roman" w:hAnsi="Times New Roman"/>
        </w:rPr>
        <w:footnoteReference w:id="27"/>
      </w:r>
      <w:r>
        <w:rPr>
          <w:rFonts w:ascii="Times New Roman" w:hAnsi="Times New Roman"/>
        </w:rPr>
        <w:t xml:space="preserve"> It clearly distinguished between fair dealings that resulted in the creation of a ‘new work’, and those that were for certain purposes: criticism, review </w:t>
      </w:r>
      <w:r>
        <w:rPr>
          <w:rFonts w:ascii="Times New Roman" w:hAnsi="Times New Roman"/>
        </w:rPr>
        <w:lastRenderedPageBreak/>
        <w:t>or refutation. In other words, it recognised that allowing fair dealings with a work was concerned with at least two aims: providing enough ‘breathing space’ for future authors; and promoting specific uses of works that, regardless of whether they were deserving of authorship, were socially-valuable.</w:t>
      </w:r>
    </w:p>
    <w:p w:rsidR="00CA73A6" w:rsidRDefault="001F6A37" w:rsidP="009127FE">
      <w:pPr>
        <w:spacing w:after="120" w:line="300" w:lineRule="auto"/>
        <w:jc w:val="both"/>
        <w:rPr>
          <w:rFonts w:ascii="Times New Roman" w:hAnsi="Times New Roman"/>
        </w:rPr>
      </w:pPr>
      <w:r>
        <w:rPr>
          <w:rFonts w:ascii="Times New Roman" w:hAnsi="Times New Roman"/>
        </w:rPr>
        <w:t xml:space="preserve">In 1912 Australia then ‘adopted’ the </w:t>
      </w:r>
      <w:r>
        <w:rPr>
          <w:rFonts w:ascii="Times New Roman" w:hAnsi="Times New Roman"/>
          <w:i/>
        </w:rPr>
        <w:t xml:space="preserve">Copyright Act 1911 </w:t>
      </w:r>
      <w:r>
        <w:rPr>
          <w:rFonts w:ascii="Times New Roman" w:hAnsi="Times New Roman"/>
        </w:rPr>
        <w:t>(UK) (</w:t>
      </w:r>
      <w:r w:rsidRPr="00FD4555">
        <w:rPr>
          <w:rFonts w:ascii="Times New Roman" w:hAnsi="Times New Roman"/>
        </w:rPr>
        <w:t>‘</w:t>
      </w:r>
      <w:r>
        <w:rPr>
          <w:rFonts w:ascii="Times New Roman" w:hAnsi="Times New Roman"/>
          <w:i/>
        </w:rPr>
        <w:t>1911 Act</w:t>
      </w:r>
      <w:r w:rsidRPr="00FD4555">
        <w:rPr>
          <w:rFonts w:ascii="Times New Roman" w:hAnsi="Times New Roman"/>
        </w:rPr>
        <w:t>’</w:t>
      </w:r>
      <w:r>
        <w:rPr>
          <w:rFonts w:ascii="Times New Roman" w:hAnsi="Times New Roman"/>
        </w:rPr>
        <w:t xml:space="preserve">) by incorporating its provisions into the </w:t>
      </w:r>
      <w:r>
        <w:rPr>
          <w:rFonts w:ascii="Times New Roman" w:hAnsi="Times New Roman"/>
          <w:i/>
        </w:rPr>
        <w:t xml:space="preserve">Copyright Act 1912 </w:t>
      </w:r>
      <w:r>
        <w:rPr>
          <w:rFonts w:ascii="Times New Roman" w:hAnsi="Times New Roman"/>
        </w:rPr>
        <w:t xml:space="preserve">(Cth) </w:t>
      </w:r>
      <w:r w:rsidRPr="00823FE8">
        <w:rPr>
          <w:rFonts w:ascii="Times New Roman" w:hAnsi="Times New Roman"/>
        </w:rPr>
        <w:t>(‘1912 Act’).</w:t>
      </w:r>
      <w:r w:rsidRPr="00823FE8">
        <w:rPr>
          <w:rStyle w:val="FootnoteReference"/>
          <w:rFonts w:ascii="Times New Roman" w:hAnsi="Times New Roman"/>
        </w:rPr>
        <w:footnoteReference w:id="28"/>
      </w:r>
      <w:r>
        <w:rPr>
          <w:rFonts w:ascii="Times New Roman" w:hAnsi="Times New Roman"/>
        </w:rPr>
        <w:t xml:space="preserve"> In many respects, the 1912 Act was a very different to the 1905 Act it replaced,</w:t>
      </w:r>
      <w:r>
        <w:rPr>
          <w:rStyle w:val="FootnoteReference"/>
          <w:rFonts w:ascii="Times New Roman" w:hAnsi="Times New Roman"/>
        </w:rPr>
        <w:footnoteReference w:id="29"/>
      </w:r>
      <w:r>
        <w:rPr>
          <w:rFonts w:ascii="Times New Roman" w:hAnsi="Times New Roman"/>
        </w:rPr>
        <w:t xml:space="preserve"> as seen in the fair dealing provision in section 2(1), which provided:</w:t>
      </w:r>
    </w:p>
    <w:p w:rsidR="001F6A37" w:rsidRPr="00545032" w:rsidRDefault="001F6A37" w:rsidP="009127FE">
      <w:pPr>
        <w:spacing w:after="240" w:line="300" w:lineRule="auto"/>
        <w:ind w:left="284"/>
        <w:jc w:val="both"/>
        <w:rPr>
          <w:rFonts w:ascii="Times New Roman" w:hAnsi="Times New Roman"/>
        </w:rPr>
      </w:pPr>
      <w:r w:rsidRPr="002169B9">
        <w:rPr>
          <w:rFonts w:ascii="Times New Roman" w:hAnsi="Times New Roman"/>
          <w:sz w:val="20"/>
          <w:szCs w:val="20"/>
        </w:rPr>
        <w:t>The following … shall not constitute the infringement of a copyright (i) any fair dealing with any work for the purposes of private study, research, criticism, review or newspaper summary</w:t>
      </w:r>
      <w:r>
        <w:rPr>
          <w:rFonts w:ascii="Times New Roman" w:hAnsi="Times New Roman"/>
        </w:rPr>
        <w:t>.</w:t>
      </w:r>
    </w:p>
    <w:p w:rsidR="00692733" w:rsidRDefault="001F6A37" w:rsidP="00692733">
      <w:pPr>
        <w:spacing w:after="120" w:line="300" w:lineRule="auto"/>
        <w:jc w:val="both"/>
        <w:rPr>
          <w:rFonts w:ascii="Times New Roman" w:hAnsi="Times New Roman"/>
        </w:rPr>
      </w:pPr>
      <w:r>
        <w:rPr>
          <w:rFonts w:ascii="Times New Roman" w:hAnsi="Times New Roman"/>
        </w:rPr>
        <w:t>The protections granted to fair abridgement by Section 28 of the 1905 Act were not replicated in the 1912 Act. However, As Viscount Haldane noted</w:t>
      </w:r>
      <w:r w:rsidR="00921EC5">
        <w:rPr>
          <w:rFonts w:ascii="Times New Roman" w:hAnsi="Times New Roman"/>
        </w:rPr>
        <w:t>,</w:t>
      </w:r>
      <w:r>
        <w:rPr>
          <w:rFonts w:ascii="Times New Roman" w:hAnsi="Times New Roman"/>
        </w:rPr>
        <w:t xml:space="preserve"> Section 2(1) was intended to codify the body of common law principles the courts had </w:t>
      </w:r>
      <w:r w:rsidRPr="00D4184A">
        <w:rPr>
          <w:rFonts w:ascii="Times New Roman" w:hAnsi="Times New Roman"/>
        </w:rPr>
        <w:t xml:space="preserve">developed </w:t>
      </w:r>
      <w:r w:rsidR="00D4184A" w:rsidRPr="00D4184A">
        <w:rPr>
          <w:rFonts w:ascii="Times New Roman" w:hAnsi="Times New Roman"/>
          <w:i/>
        </w:rPr>
        <w:t>“</w:t>
      </w:r>
      <w:r w:rsidRPr="00D4184A">
        <w:rPr>
          <w:rFonts w:ascii="Times New Roman" w:hAnsi="Times New Roman"/>
          <w:i/>
        </w:rPr>
        <w:t>with the greatest care</w:t>
      </w:r>
      <w:r w:rsidR="00D4184A">
        <w:rPr>
          <w:rFonts w:ascii="Times New Roman" w:hAnsi="Times New Roman"/>
          <w:i/>
        </w:rPr>
        <w:t>”</w:t>
      </w:r>
      <w:r w:rsidRPr="00677DE5">
        <w:rPr>
          <w:rFonts w:ascii="Times New Roman" w:hAnsi="Times New Roman"/>
        </w:rPr>
        <w:t xml:space="preserve"> </w:t>
      </w:r>
      <w:r>
        <w:rPr>
          <w:rFonts w:ascii="Times New Roman" w:hAnsi="Times New Roman"/>
        </w:rPr>
        <w:t>in relation to fair reviews and other fair uses.</w:t>
      </w:r>
      <w:r>
        <w:rPr>
          <w:rStyle w:val="FootnoteReference"/>
          <w:rFonts w:ascii="Times New Roman" w:hAnsi="Times New Roman"/>
        </w:rPr>
        <w:footnoteReference w:id="30"/>
      </w:r>
      <w:r>
        <w:rPr>
          <w:rFonts w:ascii="Times New Roman" w:hAnsi="Times New Roman"/>
        </w:rPr>
        <w:t xml:space="preserve">  The replacement of the 1912 Act with the </w:t>
      </w:r>
      <w:r w:rsidRPr="005F0921">
        <w:rPr>
          <w:rFonts w:ascii="Times New Roman" w:hAnsi="Times New Roman"/>
        </w:rPr>
        <w:t>1968 Act</w:t>
      </w:r>
      <w:r>
        <w:rPr>
          <w:rStyle w:val="FootnoteReference"/>
          <w:rFonts w:ascii="Times New Roman" w:hAnsi="Times New Roman"/>
        </w:rPr>
        <w:footnoteReference w:id="31"/>
      </w:r>
      <w:r>
        <w:rPr>
          <w:rFonts w:ascii="Times New Roman" w:hAnsi="Times New Roman"/>
        </w:rPr>
        <w:t xml:space="preserve"> saw limited change as fair dealing was re-enacted in substantively the same form. The ‘new’ fair dealing provisions covered essentially the same kinds of uses as prescribed under the 1912 Act: </w:t>
      </w:r>
      <w:r w:rsidRPr="00FE754C">
        <w:rPr>
          <w:rFonts w:ascii="Times New Roman" w:hAnsi="Times New Roman"/>
        </w:rPr>
        <w:t xml:space="preserve">research or </w:t>
      </w:r>
      <w:r>
        <w:rPr>
          <w:rFonts w:ascii="Times New Roman" w:hAnsi="Times New Roman"/>
        </w:rPr>
        <w:t xml:space="preserve">private </w:t>
      </w:r>
      <w:r w:rsidRPr="00FE754C">
        <w:rPr>
          <w:rFonts w:ascii="Times New Roman" w:hAnsi="Times New Roman"/>
        </w:rPr>
        <w:t>study,</w:t>
      </w:r>
      <w:r>
        <w:rPr>
          <w:rStyle w:val="FootnoteReference"/>
          <w:rFonts w:ascii="Times New Roman" w:hAnsi="Times New Roman"/>
        </w:rPr>
        <w:footnoteReference w:id="32"/>
      </w:r>
      <w:r>
        <w:rPr>
          <w:rFonts w:ascii="Times New Roman" w:hAnsi="Times New Roman"/>
        </w:rPr>
        <w:t xml:space="preserve"> criticism or review,</w:t>
      </w:r>
      <w:r>
        <w:rPr>
          <w:rStyle w:val="FootnoteReference"/>
          <w:rFonts w:ascii="Times New Roman" w:hAnsi="Times New Roman"/>
        </w:rPr>
        <w:footnoteReference w:id="33"/>
      </w:r>
      <w:r w:rsidRPr="00FE754C">
        <w:rPr>
          <w:rFonts w:ascii="Times New Roman" w:hAnsi="Times New Roman"/>
        </w:rPr>
        <w:t xml:space="preserve"> </w:t>
      </w:r>
      <w:r>
        <w:rPr>
          <w:rFonts w:ascii="Times New Roman" w:hAnsi="Times New Roman"/>
        </w:rPr>
        <w:t>and news reporting.</w:t>
      </w:r>
      <w:r>
        <w:rPr>
          <w:rStyle w:val="FootnoteReference"/>
          <w:rFonts w:ascii="Times New Roman" w:hAnsi="Times New Roman"/>
        </w:rPr>
        <w:footnoteReference w:id="34"/>
      </w:r>
      <w:r>
        <w:rPr>
          <w:rFonts w:ascii="Times New Roman" w:hAnsi="Times New Roman"/>
        </w:rPr>
        <w:t xml:space="preserve"> The only substantive changes were the </w:t>
      </w:r>
      <w:r>
        <w:rPr>
          <w:rFonts w:ascii="Times New Roman" w:hAnsi="Times New Roman"/>
        </w:rPr>
        <w:lastRenderedPageBreak/>
        <w:t>additions of the exceptions permitting reproductions for judicial proceedings, and one of fair dealing for the purpose of professional advice.</w:t>
      </w:r>
      <w:r>
        <w:rPr>
          <w:rStyle w:val="FootnoteReference"/>
          <w:rFonts w:ascii="Times New Roman" w:hAnsi="Times New Roman"/>
        </w:rPr>
        <w:footnoteReference w:id="35"/>
      </w:r>
    </w:p>
    <w:p w:rsidR="003C6480" w:rsidRPr="007258FA" w:rsidRDefault="003C6480" w:rsidP="00692733">
      <w:pPr>
        <w:spacing w:after="120" w:line="300" w:lineRule="auto"/>
        <w:jc w:val="both"/>
        <w:rPr>
          <w:rFonts w:ascii="Times New Roman" w:hAnsi="Times New Roman"/>
        </w:rPr>
      </w:pPr>
      <w:r>
        <w:rPr>
          <w:rFonts w:ascii="Times New Roman" w:hAnsi="Times New Roman"/>
        </w:rPr>
        <w:t>The 1968 Act was subject to scrutiny and amendment in the 1970s. In response to concerns that the inherent uncertainty of the fair dealing threshold meant copyright users were struggling to independently identify the boundaries of how much copying they were permitted to do,</w:t>
      </w:r>
      <w:r>
        <w:rPr>
          <w:rStyle w:val="FootnoteReference"/>
          <w:rFonts w:ascii="Times New Roman" w:hAnsi="Times New Roman"/>
        </w:rPr>
        <w:footnoteReference w:id="36"/>
      </w:r>
      <w:r>
        <w:rPr>
          <w:rFonts w:ascii="Times New Roman" w:hAnsi="Times New Roman"/>
        </w:rPr>
        <w:t xml:space="preserve"> the Franki Committee recommended extending the definition of what was a ‘reasonable portion’ of copying by introducing set, quantifiable limits for the benefit of copiers.</w:t>
      </w:r>
      <w:r>
        <w:rPr>
          <w:rStyle w:val="FootnoteReference"/>
          <w:rFonts w:ascii="Times New Roman" w:hAnsi="Times New Roman"/>
        </w:rPr>
        <w:footnoteReference w:id="37"/>
      </w:r>
      <w:r>
        <w:rPr>
          <w:rFonts w:ascii="Times New Roman" w:hAnsi="Times New Roman"/>
        </w:rPr>
        <w:t xml:space="preserve"> It was also recommended that the word ‘private’ be removed from ‘private study’.</w:t>
      </w:r>
      <w:r>
        <w:rPr>
          <w:rStyle w:val="FootnoteReference"/>
          <w:rFonts w:ascii="Times New Roman" w:hAnsi="Times New Roman"/>
        </w:rPr>
        <w:footnoteReference w:id="38"/>
      </w:r>
      <w:r>
        <w:rPr>
          <w:rFonts w:ascii="Times New Roman" w:hAnsi="Times New Roman"/>
        </w:rPr>
        <w:t xml:space="preserve"> These recommendations were subsequently incorporated into the 1968 Act.</w:t>
      </w:r>
      <w:r>
        <w:rPr>
          <w:rStyle w:val="FootnoteReference"/>
          <w:rFonts w:ascii="Times New Roman" w:hAnsi="Times New Roman"/>
        </w:rPr>
        <w:footnoteReference w:id="39"/>
      </w:r>
      <w:r w:rsidR="00692733">
        <w:rPr>
          <w:rFonts w:ascii="Times New Roman" w:hAnsi="Times New Roman"/>
        </w:rPr>
        <w:t xml:space="preserve"> B</w:t>
      </w:r>
      <w:r>
        <w:rPr>
          <w:rFonts w:ascii="Times New Roman" w:hAnsi="Times New Roman"/>
        </w:rPr>
        <w:t>y the late 1970s it was the position in Australia that the public interests served by the fair dealing exceptions allowing research and study served were considered to be too important, too fundamental, to be replaced by a pay-per-use scheme.</w:t>
      </w:r>
    </w:p>
    <w:p w:rsidR="00202191" w:rsidRDefault="004A1777" w:rsidP="009127FE">
      <w:pPr>
        <w:spacing w:after="120" w:line="300" w:lineRule="auto"/>
        <w:jc w:val="both"/>
        <w:rPr>
          <w:rFonts w:ascii="Times New Roman" w:hAnsi="Times New Roman"/>
        </w:rPr>
      </w:pPr>
      <w:r>
        <w:rPr>
          <w:rFonts w:ascii="Times New Roman" w:hAnsi="Times New Roman"/>
        </w:rPr>
        <w:t xml:space="preserve">The </w:t>
      </w:r>
      <w:r w:rsidR="00364AD0">
        <w:rPr>
          <w:rFonts w:ascii="Times New Roman" w:hAnsi="Times New Roman"/>
        </w:rPr>
        <w:t xml:space="preserve">current </w:t>
      </w:r>
      <w:r>
        <w:rPr>
          <w:rFonts w:ascii="Times New Roman" w:hAnsi="Times New Roman"/>
        </w:rPr>
        <w:t xml:space="preserve">fair dealing exceptions are fundamental public interests, which the law </w:t>
      </w:r>
      <w:r w:rsidRPr="00164AA5">
        <w:rPr>
          <w:rFonts w:ascii="Times New Roman" w:hAnsi="Times New Roman"/>
          <w:i/>
        </w:rPr>
        <w:t>recognises</w:t>
      </w:r>
      <w:r>
        <w:rPr>
          <w:rFonts w:ascii="Times New Roman" w:hAnsi="Times New Roman"/>
        </w:rPr>
        <w:t xml:space="preserve"> as </w:t>
      </w:r>
      <w:r w:rsidRPr="00164AA5">
        <w:rPr>
          <w:rFonts w:ascii="Times New Roman" w:hAnsi="Times New Roman"/>
        </w:rPr>
        <w:t>transcending</w:t>
      </w:r>
      <w:r>
        <w:rPr>
          <w:rFonts w:ascii="Times New Roman" w:hAnsi="Times New Roman"/>
        </w:rPr>
        <w:t xml:space="preserve"> the </w:t>
      </w:r>
      <w:r w:rsidRPr="00164AA5">
        <w:rPr>
          <w:rFonts w:ascii="Times New Roman" w:hAnsi="Times New Roman"/>
          <w:i/>
        </w:rPr>
        <w:t>limited</w:t>
      </w:r>
      <w:r>
        <w:rPr>
          <w:rFonts w:ascii="Times New Roman" w:hAnsi="Times New Roman"/>
        </w:rPr>
        <w:t xml:space="preserve"> monopoly of copyright on account of the </w:t>
      </w:r>
      <w:r w:rsidRPr="00164AA5">
        <w:rPr>
          <w:rFonts w:ascii="Times New Roman" w:hAnsi="Times New Roman"/>
          <w:i/>
        </w:rPr>
        <w:t>public entitlement</w:t>
      </w:r>
      <w:r>
        <w:rPr>
          <w:rFonts w:ascii="Times New Roman" w:hAnsi="Times New Roman"/>
        </w:rPr>
        <w:t xml:space="preserve"> to reasonable access to copyright material.</w:t>
      </w:r>
      <w:r>
        <w:rPr>
          <w:rStyle w:val="FootnoteReference"/>
          <w:rFonts w:ascii="Times New Roman" w:hAnsi="Times New Roman"/>
        </w:rPr>
        <w:footnoteReference w:id="40"/>
      </w:r>
      <w:r>
        <w:rPr>
          <w:rFonts w:ascii="Times New Roman" w:hAnsi="Times New Roman"/>
        </w:rPr>
        <w:t xml:space="preserve"> </w:t>
      </w:r>
      <w:r w:rsidR="00364AD0">
        <w:rPr>
          <w:rFonts w:ascii="Times New Roman" w:hAnsi="Times New Roman"/>
        </w:rPr>
        <w:t xml:space="preserve">They are, in the broad context of this review, </w:t>
      </w:r>
      <w:r w:rsidR="00364AD0">
        <w:rPr>
          <w:rFonts w:ascii="Times New Roman" w:hAnsi="Times New Roman"/>
          <w:i/>
        </w:rPr>
        <w:t xml:space="preserve">vested property rights, </w:t>
      </w:r>
      <w:r w:rsidR="00364AD0">
        <w:rPr>
          <w:rFonts w:ascii="Times New Roman" w:hAnsi="Times New Roman"/>
        </w:rPr>
        <w:t xml:space="preserve">which are vested in the users of copyright works. </w:t>
      </w:r>
      <w:r>
        <w:rPr>
          <w:rFonts w:ascii="Times New Roman" w:hAnsi="Times New Roman"/>
        </w:rPr>
        <w:t>Th</w:t>
      </w:r>
      <w:r w:rsidR="00364AD0">
        <w:rPr>
          <w:rFonts w:ascii="Times New Roman" w:hAnsi="Times New Roman"/>
        </w:rPr>
        <w:t>ese rights</w:t>
      </w:r>
      <w:r>
        <w:rPr>
          <w:rFonts w:ascii="Times New Roman" w:hAnsi="Times New Roman"/>
        </w:rPr>
        <w:t xml:space="preserve"> ensure for society as a whole that copyright’s grasp over ideas, information and culture is no stronger than that of the very public domain that copyright seeks to enrich.</w:t>
      </w:r>
      <w:r w:rsidR="00364AD0">
        <w:rPr>
          <w:rFonts w:ascii="Times New Roman" w:hAnsi="Times New Roman"/>
        </w:rPr>
        <w:t xml:space="preserve"> As such these rights</w:t>
      </w:r>
      <w:r w:rsidR="00A90E76">
        <w:rPr>
          <w:rFonts w:ascii="Times New Roman" w:hAnsi="Times New Roman"/>
        </w:rPr>
        <w:t xml:space="preserve"> must be appropriately protected.</w:t>
      </w:r>
    </w:p>
    <w:p w:rsidR="00202191" w:rsidRDefault="00202191" w:rsidP="009127FE">
      <w:pPr>
        <w:spacing w:after="120" w:line="300" w:lineRule="auto"/>
        <w:jc w:val="both"/>
        <w:rPr>
          <w:rFonts w:ascii="Times New Roman" w:hAnsi="Times New Roman"/>
        </w:rPr>
      </w:pPr>
      <w:r>
        <w:rPr>
          <w:rFonts w:ascii="Times New Roman" w:hAnsi="Times New Roman"/>
        </w:rPr>
        <w:t xml:space="preserve">Implementing this submitter’s </w:t>
      </w:r>
      <w:r w:rsidR="00921EC5">
        <w:rPr>
          <w:rFonts w:ascii="Times New Roman" w:hAnsi="Times New Roman"/>
        </w:rPr>
        <w:t xml:space="preserve">prior </w:t>
      </w:r>
      <w:r>
        <w:rPr>
          <w:rFonts w:ascii="Times New Roman" w:hAnsi="Times New Roman"/>
        </w:rPr>
        <w:t>recommendations to IP 46</w:t>
      </w:r>
      <w:r w:rsidR="00334C83">
        <w:rPr>
          <w:rStyle w:val="FootnoteReference"/>
          <w:rFonts w:ascii="Times New Roman" w:hAnsi="Times New Roman"/>
        </w:rPr>
        <w:footnoteReference w:id="41"/>
      </w:r>
      <w:r>
        <w:rPr>
          <w:rFonts w:ascii="Times New Roman" w:hAnsi="Times New Roman"/>
        </w:rPr>
        <w:t xml:space="preserve"> would not alter the long established balance between creators, owners and users. What it would do is make a difference to the ordinary users, as it would enable proper guidance to be provided by the courts removed from the likelihood of the effects of owner abuse or their own ignorance that arise when fair dealing is left to the mercy of contractual negotiations. Such an amendment would also benefit Australia as a whole. The </w:t>
      </w:r>
      <w:r>
        <w:rPr>
          <w:rFonts w:ascii="Times New Roman" w:hAnsi="Times New Roman"/>
        </w:rPr>
        <w:lastRenderedPageBreak/>
        <w:t>precedents established through this process, in particular as the courts consider the application of copyright law in the digital context, would enable the proper development of the copyright regime into our future.</w:t>
      </w:r>
      <w:r w:rsidRPr="00144BD3">
        <w:rPr>
          <w:rFonts w:ascii="Times New Roman" w:hAnsi="Times New Roman"/>
        </w:rPr>
        <w:t xml:space="preserve"> As Viscount Haldane </w:t>
      </w:r>
      <w:r>
        <w:rPr>
          <w:rFonts w:ascii="Times New Roman" w:hAnsi="Times New Roman"/>
        </w:rPr>
        <w:t>noted</w:t>
      </w:r>
      <w:r w:rsidRPr="00144BD3">
        <w:rPr>
          <w:rFonts w:ascii="Times New Roman" w:hAnsi="Times New Roman"/>
        </w:rPr>
        <w:t xml:space="preserve"> </w:t>
      </w:r>
      <w:r w:rsidRPr="008A7D7E">
        <w:rPr>
          <w:rFonts w:ascii="Times New Roman" w:hAnsi="Times New Roman"/>
          <w:i/>
        </w:rPr>
        <w:t>“</w:t>
      </w:r>
      <w:r w:rsidRPr="008A7D7E">
        <w:rPr>
          <w:rFonts w:ascii="Times New Roman" w:hAnsi="Times New Roman"/>
          <w:lang w:val="en-GB"/>
        </w:rPr>
        <w:t>[t]</w:t>
      </w:r>
      <w:r w:rsidRPr="008A7D7E">
        <w:rPr>
          <w:rFonts w:ascii="Times New Roman" w:hAnsi="Times New Roman"/>
          <w:i/>
          <w:lang w:val="en-GB"/>
        </w:rPr>
        <w:t>he law of fair criticism and reproduction for the purposes of fair criticism is the work of the Courts”</w:t>
      </w:r>
      <w:r w:rsidRPr="008A7D7E">
        <w:rPr>
          <w:rFonts w:ascii="Times New Roman" w:hAnsi="Times New Roman"/>
          <w:lang w:val="en-GB"/>
        </w:rPr>
        <w:t>;</w:t>
      </w:r>
      <w:r w:rsidRPr="008A7D7E">
        <w:rPr>
          <w:rStyle w:val="FootnoteReference"/>
          <w:rFonts w:ascii="Times New Roman" w:hAnsi="Times New Roman"/>
          <w:lang w:val="en-GB"/>
        </w:rPr>
        <w:footnoteReference w:id="42"/>
      </w:r>
      <w:r w:rsidRPr="008A7D7E">
        <w:rPr>
          <w:rFonts w:ascii="Times New Roman" w:hAnsi="Times New Roman"/>
          <w:lang w:val="en-GB"/>
        </w:rPr>
        <w:t xml:space="preserve"> and </w:t>
      </w:r>
      <w:r>
        <w:rPr>
          <w:rFonts w:ascii="Times New Roman" w:hAnsi="Times New Roman"/>
          <w:lang w:val="en-GB"/>
        </w:rPr>
        <w:t>so it should remain</w:t>
      </w:r>
      <w:r w:rsidRPr="008A7D7E">
        <w:rPr>
          <w:rFonts w:ascii="Times New Roman" w:hAnsi="Times New Roman"/>
          <w:lang w:val="en-GB"/>
        </w:rPr>
        <w:t>.</w:t>
      </w:r>
    </w:p>
    <w:bookmarkEnd w:id="1"/>
    <w:bookmarkEnd w:id="2"/>
    <w:p w:rsidR="00202191" w:rsidRDefault="00202191" w:rsidP="009127FE">
      <w:pPr>
        <w:spacing w:after="120" w:line="300" w:lineRule="auto"/>
        <w:jc w:val="both"/>
        <w:rPr>
          <w:rFonts w:ascii="Times New Roman" w:hAnsi="Times New Roman"/>
        </w:rPr>
      </w:pPr>
    </w:p>
    <w:sectPr w:rsidR="00202191" w:rsidSect="004A1777">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30E" w:rsidRDefault="00CD730E">
      <w:r>
        <w:separator/>
      </w:r>
    </w:p>
  </w:endnote>
  <w:endnote w:type="continuationSeparator" w:id="0">
    <w:p w:rsidR="00CD730E" w:rsidRDefault="00CD7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Default="001C15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2E" w:rsidRPr="00814B2E" w:rsidRDefault="00814B2E" w:rsidP="00814B2E">
    <w:pPr>
      <w:pStyle w:val="Footer"/>
      <w:tabs>
        <w:tab w:val="left" w:pos="5103"/>
      </w:tabs>
      <w:rPr>
        <w:lang w:val="en-AU"/>
      </w:rPr>
    </w:pPr>
    <w:r>
      <w:rPr>
        <w:lang w:val="en-AU"/>
      </w:rPr>
      <w:t xml:space="preserve">Cradduck – submission to ALRC IP 46 Interim Report </w:t>
    </w:r>
    <w:r>
      <w:rPr>
        <w:lang w:val="en-AU"/>
      </w:rPr>
      <w:tab/>
      <w:t xml:space="preserve">  </w:t>
    </w:r>
    <w:r>
      <w:rPr>
        <w:lang w:val="en-AU"/>
      </w:rPr>
      <w:tab/>
      <w:t>21 September 2015</w:t>
    </w:r>
    <w:r>
      <w:rPr>
        <w:lang w:val="en-AU"/>
      </w:rPr>
      <w:tab/>
    </w:r>
    <w:r w:rsidRPr="00814B2E">
      <w:rPr>
        <w:lang w:val="en-AU"/>
      </w:rPr>
      <w:t xml:space="preserve">Page </w:t>
    </w:r>
    <w:r w:rsidR="0042316E" w:rsidRPr="00814B2E">
      <w:rPr>
        <w:b/>
        <w:lang w:val="en-AU"/>
      </w:rPr>
      <w:fldChar w:fldCharType="begin"/>
    </w:r>
    <w:r w:rsidRPr="00814B2E">
      <w:rPr>
        <w:b/>
        <w:lang w:val="en-AU"/>
      </w:rPr>
      <w:instrText xml:space="preserve"> PAGE  \* Arabic  \* MERGEFORMAT </w:instrText>
    </w:r>
    <w:r w:rsidR="0042316E" w:rsidRPr="00814B2E">
      <w:rPr>
        <w:b/>
        <w:lang w:val="en-AU"/>
      </w:rPr>
      <w:fldChar w:fldCharType="separate"/>
    </w:r>
    <w:r w:rsidR="001C15C4">
      <w:rPr>
        <w:b/>
        <w:noProof/>
        <w:lang w:val="en-AU"/>
      </w:rPr>
      <w:t>1</w:t>
    </w:r>
    <w:r w:rsidR="0042316E" w:rsidRPr="00814B2E">
      <w:rPr>
        <w:b/>
        <w:lang w:val="en-AU"/>
      </w:rPr>
      <w:fldChar w:fldCharType="end"/>
    </w:r>
    <w:r w:rsidRPr="00814B2E">
      <w:rPr>
        <w:lang w:val="en-AU"/>
      </w:rPr>
      <w:t xml:space="preserve"> of </w:t>
    </w:r>
    <w:fldSimple w:instr=" NUMPAGES  \* Arabic  \* MERGEFORMAT ">
      <w:r w:rsidR="001C15C4">
        <w:rPr>
          <w:b/>
          <w:noProof/>
          <w:lang w:val="en-AU"/>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Default="001C1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30E" w:rsidRDefault="00CD730E">
      <w:r>
        <w:separator/>
      </w:r>
    </w:p>
  </w:footnote>
  <w:footnote w:type="continuationSeparator" w:id="0">
    <w:p w:rsidR="00CD730E" w:rsidRDefault="00CD730E">
      <w:r>
        <w:continuationSeparator/>
      </w:r>
    </w:p>
  </w:footnote>
  <w:footnote w:id="1">
    <w:p w:rsidR="00F30D61" w:rsidRPr="00162CA9" w:rsidRDefault="00F30D61" w:rsidP="00F30D61">
      <w:pPr>
        <w:pStyle w:val="FootnoteText"/>
        <w:widowControl w:val="0"/>
        <w:jc w:val="both"/>
        <w:rPr>
          <w:szCs w:val="19"/>
        </w:rPr>
      </w:pPr>
      <w:r w:rsidRPr="00162CA9">
        <w:rPr>
          <w:rStyle w:val="FootnoteReference"/>
          <w:szCs w:val="19"/>
        </w:rPr>
        <w:footnoteRef/>
      </w:r>
      <w:r w:rsidRPr="00162CA9">
        <w:rPr>
          <w:szCs w:val="19"/>
        </w:rPr>
        <w:t xml:space="preserve"> </w:t>
      </w:r>
      <w:r w:rsidRPr="00162CA9">
        <w:rPr>
          <w:i/>
          <w:szCs w:val="19"/>
        </w:rPr>
        <w:t>ALRC</w:t>
      </w:r>
      <w:r w:rsidRPr="00162CA9">
        <w:rPr>
          <w:szCs w:val="19"/>
        </w:rPr>
        <w:t xml:space="preserve"> </w:t>
      </w:r>
      <w:r w:rsidRPr="00162CA9">
        <w:rPr>
          <w:i/>
          <w:szCs w:val="19"/>
        </w:rPr>
        <w:t xml:space="preserve">IP 46: </w:t>
      </w:r>
      <w:r w:rsidRPr="00162CA9">
        <w:rPr>
          <w:szCs w:val="19"/>
        </w:rPr>
        <w:t>Traditional Rights and Freedoms – Enc</w:t>
      </w:r>
      <w:r w:rsidR="00466C6D" w:rsidRPr="00162CA9">
        <w:rPr>
          <w:szCs w:val="19"/>
        </w:rPr>
        <w:t>roachments by Commonwealth Law</w:t>
      </w:r>
      <w:r w:rsidR="00466C6D" w:rsidRPr="00162CA9">
        <w:rPr>
          <w:szCs w:val="19"/>
          <w:lang w:val="en-AU"/>
        </w:rPr>
        <w:t>,</w:t>
      </w:r>
      <w:r w:rsidRPr="00162CA9">
        <w:rPr>
          <w:szCs w:val="19"/>
        </w:rPr>
        <w:t xml:space="preserve"> p.51.</w:t>
      </w:r>
    </w:p>
  </w:footnote>
  <w:footnote w:id="2">
    <w:p w:rsidR="004A1777" w:rsidRPr="00162CA9" w:rsidRDefault="004A1777">
      <w:pPr>
        <w:pStyle w:val="FootnoteText"/>
        <w:rPr>
          <w:szCs w:val="19"/>
        </w:rPr>
      </w:pPr>
      <w:r w:rsidRPr="00162CA9">
        <w:rPr>
          <w:rStyle w:val="FootnoteReference"/>
          <w:szCs w:val="19"/>
        </w:rPr>
        <w:footnoteRef/>
      </w:r>
      <w:r w:rsidRPr="00162CA9">
        <w:rPr>
          <w:szCs w:val="19"/>
        </w:rPr>
        <w:t xml:space="preserve"> ALRC </w:t>
      </w:r>
      <w:r w:rsidRPr="00162CA9">
        <w:rPr>
          <w:color w:val="000000"/>
          <w:szCs w:val="19"/>
        </w:rPr>
        <w:t xml:space="preserve">Interim </w:t>
      </w:r>
      <w:r w:rsidR="00F2695E" w:rsidRPr="00162CA9">
        <w:rPr>
          <w:color w:val="000000"/>
          <w:szCs w:val="19"/>
        </w:rPr>
        <w:t>Report</w:t>
      </w:r>
      <w:r w:rsidRPr="00162CA9">
        <w:rPr>
          <w:color w:val="000000"/>
          <w:szCs w:val="19"/>
        </w:rPr>
        <w:t xml:space="preserve"> [7.30].</w:t>
      </w:r>
    </w:p>
  </w:footnote>
  <w:footnote w:id="3">
    <w:p w:rsidR="005649CE" w:rsidRPr="00162CA9" w:rsidRDefault="005649CE" w:rsidP="005649CE">
      <w:pPr>
        <w:pStyle w:val="FootnoteText"/>
        <w:rPr>
          <w:szCs w:val="19"/>
        </w:rPr>
      </w:pPr>
      <w:r w:rsidRPr="00162CA9">
        <w:rPr>
          <w:rStyle w:val="FootnoteReference"/>
          <w:szCs w:val="19"/>
        </w:rPr>
        <w:footnoteRef/>
      </w:r>
      <w:r w:rsidRPr="00162CA9">
        <w:rPr>
          <w:szCs w:val="19"/>
        </w:rPr>
        <w:t xml:space="preserve"> ALRC Interim Report [7.95].</w:t>
      </w:r>
    </w:p>
  </w:footnote>
  <w:footnote w:id="4">
    <w:p w:rsidR="00216C22" w:rsidRPr="00162CA9" w:rsidRDefault="00216C22" w:rsidP="00216C22">
      <w:pPr>
        <w:pStyle w:val="FootnoteText"/>
        <w:widowControl w:val="0"/>
        <w:jc w:val="both"/>
        <w:rPr>
          <w:szCs w:val="19"/>
        </w:rPr>
      </w:pPr>
      <w:r w:rsidRPr="00162CA9">
        <w:rPr>
          <w:rStyle w:val="FootnoteReference"/>
          <w:szCs w:val="19"/>
        </w:rPr>
        <w:footnoteRef/>
      </w:r>
      <w:r w:rsidRPr="00162CA9">
        <w:rPr>
          <w:szCs w:val="19"/>
        </w:rPr>
        <w:t xml:space="preserve"> </w:t>
      </w:r>
      <w:r w:rsidRPr="00162CA9">
        <w:rPr>
          <w:i/>
          <w:szCs w:val="19"/>
        </w:rPr>
        <w:t xml:space="preserve">Copyright Act 1968 </w:t>
      </w:r>
      <w:r w:rsidRPr="00162CA9">
        <w:rPr>
          <w:szCs w:val="19"/>
        </w:rPr>
        <w:t>(Cth) ss. 40-43 and 103A-104.</w:t>
      </w:r>
    </w:p>
  </w:footnote>
  <w:footnote w:id="5">
    <w:p w:rsidR="00A90E76" w:rsidRPr="00162CA9" w:rsidRDefault="00A90E76" w:rsidP="00A90E76">
      <w:pPr>
        <w:pStyle w:val="FootnoteText"/>
        <w:jc w:val="both"/>
        <w:rPr>
          <w:szCs w:val="19"/>
          <w:lang/>
        </w:rPr>
      </w:pPr>
      <w:r w:rsidRPr="00162CA9">
        <w:rPr>
          <w:rStyle w:val="FootnoteReference"/>
          <w:szCs w:val="19"/>
        </w:rPr>
        <w:footnoteRef/>
      </w:r>
      <w:r w:rsidRPr="00162CA9">
        <w:rPr>
          <w:szCs w:val="19"/>
        </w:rPr>
        <w:t xml:space="preserve"> 8 Anne c 19 </w:t>
      </w:r>
    </w:p>
  </w:footnote>
  <w:footnote w:id="6">
    <w:p w:rsidR="00A90E76" w:rsidRPr="00162CA9" w:rsidRDefault="00A90E76" w:rsidP="00BA0039">
      <w:pPr>
        <w:pStyle w:val="HTMLPreformatted"/>
        <w:jc w:val="both"/>
        <w:rPr>
          <w:rFonts w:ascii="Times New Roman" w:hAnsi="Times New Roman" w:cs="Times New Roman"/>
          <w:i/>
          <w:szCs w:val="19"/>
          <w:lang/>
        </w:rPr>
      </w:pPr>
      <w:r w:rsidRPr="00162CA9">
        <w:rPr>
          <w:rStyle w:val="FootnoteReference"/>
          <w:rFonts w:ascii="Times New Roman" w:hAnsi="Times New Roman"/>
          <w:szCs w:val="19"/>
        </w:rPr>
        <w:footnoteRef/>
      </w:r>
      <w:r w:rsidRPr="00162CA9">
        <w:rPr>
          <w:rFonts w:ascii="Times New Roman" w:hAnsi="Times New Roman" w:cs="Times New Roman"/>
          <w:szCs w:val="19"/>
        </w:rPr>
        <w:t xml:space="preserve"> </w:t>
      </w:r>
      <w:r w:rsidRPr="00162CA9">
        <w:rPr>
          <w:rFonts w:ascii="Times New Roman" w:hAnsi="Times New Roman" w:cs="Times New Roman"/>
          <w:i/>
          <w:szCs w:val="19"/>
        </w:rPr>
        <w:t xml:space="preserve">IceTV Pty Ltd v Nine Network Pty Ltd </w:t>
      </w:r>
      <w:r w:rsidRPr="00162CA9">
        <w:rPr>
          <w:rFonts w:ascii="Times New Roman" w:hAnsi="Times New Roman" w:cs="Times New Roman"/>
          <w:szCs w:val="19"/>
        </w:rPr>
        <w:t xml:space="preserve">(2009) 239 CLR 458, 471[25] per French CJ, Crennan and Kiefel JJ (references omitted). See also </w:t>
      </w:r>
      <w:r w:rsidRPr="00162CA9">
        <w:rPr>
          <w:rFonts w:ascii="Times New Roman" w:hAnsi="Times New Roman" w:cs="Times New Roman"/>
          <w:i/>
          <w:szCs w:val="19"/>
        </w:rPr>
        <w:t>Galerie d'art du Petit Champlain Inc v Théberge</w:t>
      </w:r>
      <w:r w:rsidRPr="00162CA9">
        <w:rPr>
          <w:rFonts w:ascii="Times New Roman" w:hAnsi="Times New Roman" w:cs="Times New Roman"/>
          <w:szCs w:val="19"/>
        </w:rPr>
        <w:t xml:space="preserve"> [2002] 2 SCR 336, [30] per Binnie J. For a recent critique on this access/incentive paradigm, see Nicolas Suzor, ‘Access, Progress, and Fairness: Rethinking Exclusivity in Copyright Law’ (2013) 15(2) </w:t>
      </w:r>
      <w:r w:rsidRPr="00162CA9">
        <w:rPr>
          <w:rFonts w:ascii="Times New Roman" w:hAnsi="Times New Roman" w:cs="Times New Roman"/>
          <w:i/>
          <w:szCs w:val="19"/>
        </w:rPr>
        <w:t>Vanderbilt Journal of Technology and Entertainment Law</w:t>
      </w:r>
      <w:r w:rsidRPr="00162CA9">
        <w:rPr>
          <w:rFonts w:ascii="Times New Roman" w:hAnsi="Times New Roman" w:cs="Times New Roman"/>
          <w:szCs w:val="19"/>
        </w:rPr>
        <w:t xml:space="preserve"> 297. </w:t>
      </w:r>
      <w:r w:rsidRPr="00162CA9">
        <w:rPr>
          <w:rFonts w:ascii="Times New Roman" w:hAnsi="Times New Roman" w:cs="Times New Roman"/>
          <w:i/>
          <w:szCs w:val="19"/>
        </w:rPr>
        <w:t xml:space="preserve">Anne </w:t>
      </w:r>
      <w:r w:rsidRPr="00162CA9">
        <w:rPr>
          <w:rFonts w:ascii="Times New Roman" w:hAnsi="Times New Roman" w:cs="Times New Roman"/>
          <w:szCs w:val="19"/>
        </w:rPr>
        <w:t xml:space="preserve">provided: </w:t>
      </w:r>
      <w:r w:rsidRPr="00162CA9">
        <w:rPr>
          <w:rFonts w:ascii="Times New Roman" w:hAnsi="Times New Roman" w:cs="Times New Roman"/>
          <w:i/>
          <w:szCs w:val="19"/>
          <w:lang/>
        </w:rPr>
        <w:t>An Act for the Encouragement of Learning, by Vesting the Copies of Printed Books in the Authors or Purchasers of such Copies, during the Times therein mentioned.</w:t>
      </w:r>
    </w:p>
  </w:footnote>
  <w:footnote w:id="7">
    <w:p w:rsidR="00CA73A6" w:rsidRPr="00162CA9" w:rsidRDefault="00CA73A6" w:rsidP="00CA73A6">
      <w:pPr>
        <w:pStyle w:val="FootnoteText"/>
        <w:jc w:val="both"/>
        <w:rPr>
          <w:szCs w:val="19"/>
        </w:rPr>
      </w:pPr>
      <w:r w:rsidRPr="00162CA9">
        <w:rPr>
          <w:rStyle w:val="FootnoteReference"/>
          <w:szCs w:val="19"/>
        </w:rPr>
        <w:footnoteRef/>
      </w:r>
      <w:r w:rsidRPr="00162CA9">
        <w:rPr>
          <w:szCs w:val="19"/>
        </w:rPr>
        <w:t xml:space="preserve"> David Vaver, ‘Abridgements and Abstracts: Copyright Implications’ (1995) 17(5) </w:t>
      </w:r>
      <w:r w:rsidRPr="00162CA9">
        <w:rPr>
          <w:i/>
          <w:szCs w:val="19"/>
        </w:rPr>
        <w:t>European Intellectual Property Review</w:t>
      </w:r>
      <w:r w:rsidRPr="00162CA9">
        <w:rPr>
          <w:szCs w:val="19"/>
        </w:rPr>
        <w:t xml:space="preserve"> 225.</w:t>
      </w:r>
    </w:p>
  </w:footnote>
  <w:footnote w:id="8">
    <w:p w:rsidR="006C2B8D" w:rsidRPr="00162CA9" w:rsidRDefault="006C2B8D" w:rsidP="006C2B8D">
      <w:pPr>
        <w:pStyle w:val="FootnoteText"/>
        <w:jc w:val="both"/>
        <w:rPr>
          <w:szCs w:val="19"/>
        </w:rPr>
      </w:pPr>
      <w:r w:rsidRPr="00162CA9">
        <w:rPr>
          <w:rStyle w:val="FootnoteReference"/>
          <w:szCs w:val="19"/>
        </w:rPr>
        <w:footnoteRef/>
      </w:r>
      <w:r w:rsidRPr="00162CA9">
        <w:rPr>
          <w:szCs w:val="19"/>
        </w:rPr>
        <w:t xml:space="preserve"> (1740) 26 ER 489. </w:t>
      </w:r>
    </w:p>
  </w:footnote>
  <w:footnote w:id="9">
    <w:p w:rsidR="006C2B8D" w:rsidRPr="00162CA9" w:rsidRDefault="006C2B8D" w:rsidP="006C2B8D">
      <w:pPr>
        <w:pStyle w:val="FootnoteText"/>
        <w:jc w:val="both"/>
        <w:rPr>
          <w:szCs w:val="19"/>
        </w:rPr>
      </w:pPr>
      <w:r w:rsidRPr="00162CA9">
        <w:rPr>
          <w:rStyle w:val="FootnoteReference"/>
          <w:szCs w:val="19"/>
        </w:rPr>
        <w:footnoteRef/>
      </w:r>
      <w:r w:rsidRPr="00162CA9">
        <w:rPr>
          <w:szCs w:val="19"/>
        </w:rPr>
        <w:t xml:space="preserve"> Matthew Sag, ‘The Prehistory of Fair Use’ (2011) 76(4) </w:t>
      </w:r>
      <w:r w:rsidRPr="00162CA9">
        <w:rPr>
          <w:i/>
          <w:szCs w:val="19"/>
        </w:rPr>
        <w:t xml:space="preserve">Brooklyn Law Review </w:t>
      </w:r>
      <w:r w:rsidRPr="00162CA9">
        <w:rPr>
          <w:szCs w:val="19"/>
        </w:rPr>
        <w:t>1371, 1384-5.</w:t>
      </w:r>
    </w:p>
  </w:footnote>
  <w:footnote w:id="10">
    <w:p w:rsidR="006C2B8D" w:rsidRPr="00162CA9" w:rsidRDefault="006C2B8D" w:rsidP="006C2B8D">
      <w:pPr>
        <w:pStyle w:val="FootnoteText"/>
        <w:jc w:val="both"/>
        <w:rPr>
          <w:szCs w:val="19"/>
        </w:rPr>
      </w:pPr>
      <w:r w:rsidRPr="00162CA9">
        <w:rPr>
          <w:rStyle w:val="FootnoteReference"/>
          <w:szCs w:val="19"/>
        </w:rPr>
        <w:footnoteRef/>
      </w:r>
      <w:r w:rsidRPr="00162CA9">
        <w:rPr>
          <w:szCs w:val="19"/>
        </w:rPr>
        <w:t xml:space="preserve"> </w:t>
      </w:r>
      <w:r w:rsidR="00F2695E" w:rsidRPr="00162CA9">
        <w:rPr>
          <w:szCs w:val="19"/>
        </w:rPr>
        <w:t xml:space="preserve">See </w:t>
      </w:r>
      <w:r w:rsidR="00F2695E">
        <w:rPr>
          <w:szCs w:val="19"/>
          <w:lang w:val="en-AU"/>
        </w:rPr>
        <w:t>e.g.</w:t>
      </w:r>
      <w:r w:rsidR="00F2695E" w:rsidRPr="00162CA9">
        <w:rPr>
          <w:szCs w:val="19"/>
        </w:rPr>
        <w:t xml:space="preserve">, </w:t>
      </w:r>
      <w:r w:rsidR="00F2695E" w:rsidRPr="00162CA9">
        <w:rPr>
          <w:i/>
          <w:szCs w:val="19"/>
        </w:rPr>
        <w:t xml:space="preserve">Strahan v Newbery </w:t>
      </w:r>
      <w:r w:rsidR="00F2695E" w:rsidRPr="00162CA9">
        <w:rPr>
          <w:szCs w:val="19"/>
        </w:rPr>
        <w:t xml:space="preserve">(1774) Lofft 775; 98 ER 913, 913-14 per Lord Chancellor Aspley: </w:t>
      </w:r>
    </w:p>
  </w:footnote>
  <w:footnote w:id="11">
    <w:p w:rsidR="006C2B8D" w:rsidRPr="00162CA9" w:rsidRDefault="006C2B8D" w:rsidP="006C2B8D">
      <w:pPr>
        <w:pStyle w:val="FootnoteText"/>
        <w:jc w:val="both"/>
        <w:rPr>
          <w:szCs w:val="19"/>
        </w:rPr>
      </w:pPr>
      <w:r w:rsidRPr="00162CA9">
        <w:rPr>
          <w:rStyle w:val="FootnoteReference"/>
          <w:szCs w:val="19"/>
        </w:rPr>
        <w:footnoteRef/>
      </w:r>
      <w:r w:rsidRPr="00162CA9">
        <w:rPr>
          <w:szCs w:val="19"/>
        </w:rPr>
        <w:t xml:space="preserve"> Jane Ginsburg, ‘“Une chose publique”? The author’s domain and the public domain in early British, French and US copyright law’ (2006) 65(3) </w:t>
      </w:r>
      <w:r w:rsidRPr="00162CA9">
        <w:rPr>
          <w:i/>
          <w:szCs w:val="19"/>
        </w:rPr>
        <w:t>Cambridge Law Journal</w:t>
      </w:r>
      <w:r w:rsidRPr="00162CA9">
        <w:rPr>
          <w:szCs w:val="19"/>
        </w:rPr>
        <w:t xml:space="preserve"> 636, 648. See also the remarks of de Grey J in the famous </w:t>
      </w:r>
      <w:r w:rsidRPr="00162CA9">
        <w:rPr>
          <w:i/>
          <w:szCs w:val="19"/>
        </w:rPr>
        <w:t>Donaldson v Beckett</w:t>
      </w:r>
      <w:r w:rsidRPr="00162CA9">
        <w:rPr>
          <w:szCs w:val="19"/>
        </w:rPr>
        <w:t xml:space="preserve"> litigation, cited in Stephen Parks (ed), </w:t>
      </w:r>
      <w:r w:rsidRPr="00162CA9">
        <w:rPr>
          <w:i/>
          <w:szCs w:val="19"/>
        </w:rPr>
        <w:t>The Literary Property Debate: Six Tracts 1764-1774</w:t>
      </w:r>
      <w:r w:rsidRPr="00162CA9">
        <w:rPr>
          <w:szCs w:val="19"/>
        </w:rPr>
        <w:t xml:space="preserve"> (Garland Publishing, 1975) 46.</w:t>
      </w:r>
    </w:p>
  </w:footnote>
  <w:footnote w:id="12">
    <w:p w:rsidR="006C2B8D" w:rsidRPr="00162CA9" w:rsidRDefault="006C2B8D" w:rsidP="006C2B8D">
      <w:pPr>
        <w:autoSpaceDE w:val="0"/>
        <w:autoSpaceDN w:val="0"/>
        <w:adjustRightInd w:val="0"/>
        <w:jc w:val="both"/>
        <w:rPr>
          <w:rFonts w:ascii="Times New Roman" w:hAnsi="Times New Roman"/>
          <w:sz w:val="20"/>
          <w:szCs w:val="19"/>
        </w:rPr>
      </w:pPr>
      <w:r w:rsidRPr="00162CA9">
        <w:rPr>
          <w:rStyle w:val="FootnoteReference"/>
          <w:rFonts w:ascii="Times New Roman" w:hAnsi="Times New Roman"/>
          <w:sz w:val="20"/>
          <w:szCs w:val="19"/>
        </w:rPr>
        <w:footnoteRef/>
      </w:r>
      <w:r w:rsidRPr="00162CA9">
        <w:rPr>
          <w:rFonts w:ascii="Times New Roman" w:hAnsi="Times New Roman"/>
          <w:sz w:val="20"/>
          <w:szCs w:val="19"/>
        </w:rPr>
        <w:t xml:space="preserve"> Richard Godson, </w:t>
      </w:r>
      <w:r w:rsidRPr="00162CA9">
        <w:rPr>
          <w:rFonts w:ascii="Times New Roman" w:hAnsi="Times New Roman"/>
          <w:bCs/>
          <w:i/>
          <w:sz w:val="20"/>
          <w:szCs w:val="19"/>
        </w:rPr>
        <w:t xml:space="preserve">A </w:t>
      </w:r>
      <w:r w:rsidRPr="00162CA9">
        <w:rPr>
          <w:rFonts w:ascii="Times New Roman" w:hAnsi="Times New Roman"/>
          <w:i/>
          <w:sz w:val="20"/>
          <w:szCs w:val="19"/>
        </w:rPr>
        <w:t xml:space="preserve">Practical Treatise </w:t>
      </w:r>
      <w:r w:rsidRPr="00162CA9">
        <w:rPr>
          <w:rFonts w:ascii="Times New Roman" w:hAnsi="Times New Roman"/>
          <w:bCs/>
          <w:i/>
          <w:sz w:val="20"/>
          <w:szCs w:val="19"/>
        </w:rPr>
        <w:t xml:space="preserve">on the </w:t>
      </w:r>
      <w:r w:rsidRPr="00162CA9">
        <w:rPr>
          <w:rFonts w:ascii="Times New Roman" w:hAnsi="Times New Roman"/>
          <w:i/>
          <w:sz w:val="20"/>
          <w:szCs w:val="19"/>
        </w:rPr>
        <w:t xml:space="preserve">Law of </w:t>
      </w:r>
      <w:r w:rsidRPr="00162CA9">
        <w:rPr>
          <w:rFonts w:ascii="Times New Roman" w:hAnsi="Times New Roman"/>
          <w:bCs/>
          <w:i/>
          <w:sz w:val="20"/>
          <w:szCs w:val="19"/>
        </w:rPr>
        <w:t xml:space="preserve">Patents </w:t>
      </w:r>
      <w:r w:rsidRPr="00162CA9">
        <w:rPr>
          <w:rFonts w:ascii="Times New Roman" w:hAnsi="Times New Roman"/>
          <w:i/>
          <w:sz w:val="20"/>
          <w:szCs w:val="19"/>
        </w:rPr>
        <w:t xml:space="preserve">for </w:t>
      </w:r>
      <w:r w:rsidRPr="00162CA9">
        <w:rPr>
          <w:rFonts w:ascii="Times New Roman" w:hAnsi="Times New Roman"/>
          <w:bCs/>
          <w:i/>
          <w:sz w:val="20"/>
          <w:szCs w:val="19"/>
        </w:rPr>
        <w:t xml:space="preserve">Inventions and </w:t>
      </w:r>
      <w:r w:rsidRPr="00162CA9">
        <w:rPr>
          <w:rFonts w:ascii="Times New Roman" w:hAnsi="Times New Roman"/>
          <w:i/>
          <w:sz w:val="20"/>
          <w:szCs w:val="19"/>
        </w:rPr>
        <w:t>of Copyright</w:t>
      </w:r>
      <w:r w:rsidRPr="00162CA9">
        <w:rPr>
          <w:rFonts w:ascii="Times New Roman" w:hAnsi="Times New Roman"/>
          <w:sz w:val="20"/>
          <w:szCs w:val="19"/>
        </w:rPr>
        <w:t xml:space="preserve"> (Saunders &amp; Benning, 1832) 238.</w:t>
      </w:r>
    </w:p>
  </w:footnote>
  <w:footnote w:id="13">
    <w:p w:rsidR="006C2B8D" w:rsidRPr="00162CA9" w:rsidRDefault="006C2B8D" w:rsidP="006C2B8D">
      <w:pPr>
        <w:pStyle w:val="FootnoteText"/>
        <w:jc w:val="both"/>
        <w:rPr>
          <w:szCs w:val="19"/>
        </w:rPr>
      </w:pPr>
      <w:r w:rsidRPr="00162CA9">
        <w:rPr>
          <w:rStyle w:val="FootnoteReference"/>
          <w:szCs w:val="19"/>
        </w:rPr>
        <w:footnoteRef/>
      </w:r>
      <w:r w:rsidRPr="00162CA9">
        <w:rPr>
          <w:szCs w:val="19"/>
        </w:rPr>
        <w:t xml:space="preserve"> See Ronan Deazley, ‘The Statute of Anne and the Great Abridgement Swindle’ (2010) 47(4) </w:t>
      </w:r>
      <w:r w:rsidRPr="00162CA9">
        <w:rPr>
          <w:i/>
          <w:szCs w:val="19"/>
        </w:rPr>
        <w:t>Houston Law Review</w:t>
      </w:r>
      <w:r w:rsidRPr="00162CA9">
        <w:rPr>
          <w:szCs w:val="19"/>
        </w:rPr>
        <w:t xml:space="preserve"> 793. There are, however, some with more definitive views: see Alexandra Sims, ‘Appellations of piracy: fair dealing’s prehistory’ (2011) 1 </w:t>
      </w:r>
      <w:r w:rsidRPr="00162CA9">
        <w:rPr>
          <w:i/>
          <w:szCs w:val="19"/>
        </w:rPr>
        <w:t xml:space="preserve">Intellectual Property Quarterly </w:t>
      </w:r>
      <w:r w:rsidRPr="00162CA9">
        <w:rPr>
          <w:szCs w:val="19"/>
        </w:rPr>
        <w:t xml:space="preserve">3, 7 (noting </w:t>
      </w:r>
      <w:r w:rsidRPr="00162CA9">
        <w:rPr>
          <w:i/>
          <w:szCs w:val="19"/>
        </w:rPr>
        <w:t>Anne</w:t>
      </w:r>
      <w:r w:rsidRPr="00162CA9">
        <w:rPr>
          <w:szCs w:val="19"/>
        </w:rPr>
        <w:t xml:space="preserve"> was passed in full knowledge of the continuing prevalence of abridgements in the book trade’).</w:t>
      </w:r>
    </w:p>
  </w:footnote>
  <w:footnote w:id="14">
    <w:p w:rsidR="006C2B8D" w:rsidRPr="00162CA9" w:rsidRDefault="006C2B8D" w:rsidP="006C2B8D">
      <w:pPr>
        <w:pStyle w:val="FootnoteText"/>
        <w:jc w:val="both"/>
        <w:rPr>
          <w:szCs w:val="19"/>
        </w:rPr>
      </w:pPr>
      <w:r w:rsidRPr="00162CA9">
        <w:rPr>
          <w:rStyle w:val="FootnoteReference"/>
          <w:szCs w:val="19"/>
        </w:rPr>
        <w:footnoteRef/>
      </w:r>
      <w:r w:rsidRPr="00162CA9">
        <w:rPr>
          <w:szCs w:val="19"/>
        </w:rPr>
        <w:t xml:space="preserve"> B Khan, </w:t>
      </w:r>
      <w:r w:rsidRPr="00162CA9">
        <w:rPr>
          <w:i/>
          <w:szCs w:val="19"/>
        </w:rPr>
        <w:t xml:space="preserve">Intellectual Property and Economic Development: Lessons from American and European History </w:t>
      </w:r>
      <w:r w:rsidRPr="00162CA9">
        <w:rPr>
          <w:szCs w:val="19"/>
        </w:rPr>
        <w:t xml:space="preserve">(London, Commission on Intellectual Property Rights, 2002) 33-34; Marci Hamilton, ‘Copyright Duration Extension and the Dark Heart of Copyright’ (1996) 14 </w:t>
      </w:r>
      <w:r w:rsidRPr="00162CA9">
        <w:rPr>
          <w:i/>
          <w:szCs w:val="19"/>
        </w:rPr>
        <w:t>Cardozo Arts and Entertainment Law Journal</w:t>
      </w:r>
      <w:r w:rsidRPr="00162CA9">
        <w:rPr>
          <w:szCs w:val="19"/>
        </w:rPr>
        <w:t xml:space="preserve"> 655, 659.</w:t>
      </w:r>
    </w:p>
  </w:footnote>
  <w:footnote w:id="15">
    <w:p w:rsidR="006C2B8D" w:rsidRPr="00162CA9" w:rsidRDefault="006C2B8D" w:rsidP="006C2B8D">
      <w:pPr>
        <w:pStyle w:val="FootnoteText"/>
        <w:jc w:val="both"/>
        <w:rPr>
          <w:szCs w:val="19"/>
        </w:rPr>
      </w:pPr>
      <w:r w:rsidRPr="00162CA9">
        <w:rPr>
          <w:rStyle w:val="FootnoteReference"/>
          <w:szCs w:val="19"/>
        </w:rPr>
        <w:footnoteRef/>
      </w:r>
      <w:r w:rsidRPr="00162CA9">
        <w:rPr>
          <w:szCs w:val="19"/>
        </w:rPr>
        <w:t xml:space="preserve"> Lyman Ray Patterson and Stanley W Lindberg, </w:t>
      </w:r>
      <w:r w:rsidRPr="00162CA9">
        <w:rPr>
          <w:i/>
          <w:szCs w:val="19"/>
        </w:rPr>
        <w:t>The Nature of Copyright: A Law of Users’ Rights</w:t>
      </w:r>
      <w:r w:rsidRPr="00162CA9">
        <w:rPr>
          <w:szCs w:val="19"/>
        </w:rPr>
        <w:t xml:space="preserve"> (University of Georgia Press, 1991) 28-29.</w:t>
      </w:r>
    </w:p>
  </w:footnote>
  <w:footnote w:id="16">
    <w:p w:rsidR="006C2B8D" w:rsidRPr="00162CA9" w:rsidRDefault="006C2B8D" w:rsidP="006C2B8D">
      <w:pPr>
        <w:pStyle w:val="FootnoteText"/>
        <w:jc w:val="both"/>
        <w:rPr>
          <w:szCs w:val="19"/>
        </w:rPr>
      </w:pPr>
      <w:r w:rsidRPr="00162CA9">
        <w:rPr>
          <w:rStyle w:val="FootnoteReference"/>
          <w:szCs w:val="19"/>
        </w:rPr>
        <w:footnoteRef/>
      </w:r>
      <w:r w:rsidRPr="00162CA9">
        <w:rPr>
          <w:szCs w:val="19"/>
        </w:rPr>
        <w:t xml:space="preserve"> Benedict Atkinson, </w:t>
      </w:r>
      <w:r w:rsidRPr="00162CA9">
        <w:rPr>
          <w:i/>
          <w:szCs w:val="19"/>
        </w:rPr>
        <w:t>The True History of Copyright: The Australian Experience 1905-2005</w:t>
      </w:r>
      <w:r w:rsidRPr="00162CA9">
        <w:rPr>
          <w:szCs w:val="19"/>
        </w:rPr>
        <w:t xml:space="preserve"> (Sydney University Press, 2007) 256-57.</w:t>
      </w:r>
    </w:p>
  </w:footnote>
  <w:footnote w:id="17">
    <w:p w:rsidR="006C2B8D" w:rsidRPr="00162CA9" w:rsidRDefault="006C2B8D" w:rsidP="006C2B8D">
      <w:pPr>
        <w:pStyle w:val="FootnoteText"/>
        <w:jc w:val="both"/>
        <w:rPr>
          <w:szCs w:val="19"/>
        </w:rPr>
      </w:pPr>
      <w:r w:rsidRPr="00162CA9">
        <w:rPr>
          <w:rStyle w:val="FootnoteReference"/>
          <w:szCs w:val="19"/>
        </w:rPr>
        <w:footnoteRef/>
      </w:r>
      <w:r w:rsidRPr="00162CA9">
        <w:rPr>
          <w:szCs w:val="19"/>
        </w:rPr>
        <w:t xml:space="preserve"> Sims, above n </w:t>
      </w:r>
      <w:r w:rsidR="001F6A37" w:rsidRPr="00162CA9">
        <w:rPr>
          <w:szCs w:val="19"/>
          <w:lang w:val="en-AU"/>
        </w:rPr>
        <w:t>1</w:t>
      </w:r>
      <w:r w:rsidR="00F7502E" w:rsidRPr="00162CA9">
        <w:rPr>
          <w:szCs w:val="19"/>
          <w:lang w:val="en-AU"/>
        </w:rPr>
        <w:t>3</w:t>
      </w:r>
      <w:r w:rsidRPr="00162CA9">
        <w:rPr>
          <w:szCs w:val="19"/>
        </w:rPr>
        <w:t>, 4.</w:t>
      </w:r>
    </w:p>
  </w:footnote>
  <w:footnote w:id="18">
    <w:p w:rsidR="00814B2E" w:rsidRPr="00162CA9" w:rsidRDefault="00814B2E" w:rsidP="00814B2E">
      <w:pPr>
        <w:pStyle w:val="FootnoteText"/>
        <w:jc w:val="both"/>
        <w:rPr>
          <w:szCs w:val="19"/>
        </w:rPr>
      </w:pPr>
      <w:r w:rsidRPr="00162CA9">
        <w:rPr>
          <w:rStyle w:val="FootnoteReference"/>
          <w:szCs w:val="19"/>
        </w:rPr>
        <w:footnoteRef/>
      </w:r>
      <w:r w:rsidRPr="00162CA9">
        <w:rPr>
          <w:szCs w:val="19"/>
        </w:rPr>
        <w:t xml:space="preserve"> </w:t>
      </w:r>
      <w:r w:rsidRPr="00162CA9">
        <w:rPr>
          <w:i/>
          <w:szCs w:val="19"/>
        </w:rPr>
        <w:t xml:space="preserve">Tinsley v Lacy </w:t>
      </w:r>
      <w:r w:rsidRPr="00162CA9">
        <w:rPr>
          <w:szCs w:val="19"/>
        </w:rPr>
        <w:t>(1863) 1 H &amp; M 747; 71 ER 327, 330.</w:t>
      </w:r>
    </w:p>
  </w:footnote>
  <w:footnote w:id="19">
    <w:p w:rsidR="00814B2E" w:rsidRPr="00162CA9" w:rsidRDefault="00814B2E" w:rsidP="00814B2E">
      <w:pPr>
        <w:pStyle w:val="FootnoteText"/>
        <w:jc w:val="both"/>
        <w:rPr>
          <w:szCs w:val="19"/>
          <w:lang w:val="en-AU"/>
        </w:rPr>
      </w:pPr>
      <w:r w:rsidRPr="00162CA9">
        <w:rPr>
          <w:rStyle w:val="FootnoteReference"/>
          <w:szCs w:val="19"/>
        </w:rPr>
        <w:footnoteRef/>
      </w:r>
      <w:r w:rsidRPr="00162CA9">
        <w:rPr>
          <w:szCs w:val="19"/>
        </w:rPr>
        <w:t xml:space="preserve"> In the early 18</w:t>
      </w:r>
      <w:r w:rsidRPr="00162CA9">
        <w:rPr>
          <w:szCs w:val="19"/>
          <w:vertAlign w:val="superscript"/>
        </w:rPr>
        <w:t>th</w:t>
      </w:r>
      <w:r w:rsidRPr="00162CA9">
        <w:rPr>
          <w:szCs w:val="19"/>
        </w:rPr>
        <w:t xml:space="preserve"> Century, the courts also referred to ‘fair quotations’ as permitted uses of copyright-protected material: see </w:t>
      </w:r>
      <w:r w:rsidRPr="00162CA9">
        <w:rPr>
          <w:i/>
          <w:szCs w:val="19"/>
        </w:rPr>
        <w:t>Wilkins v Aikin</w:t>
      </w:r>
      <w:r w:rsidRPr="00162CA9">
        <w:rPr>
          <w:szCs w:val="19"/>
        </w:rPr>
        <w:t xml:space="preserve"> (1810) 34 ER 163, 164 per Lord Eldon; </w:t>
      </w:r>
      <w:r w:rsidRPr="00162CA9">
        <w:rPr>
          <w:i/>
          <w:szCs w:val="19"/>
        </w:rPr>
        <w:t>Mawman v Tegg</w:t>
      </w:r>
      <w:r w:rsidRPr="00162CA9">
        <w:rPr>
          <w:szCs w:val="19"/>
        </w:rPr>
        <w:t xml:space="preserve"> (1826) 38 ER 380, 384 per Lord Eldon. </w:t>
      </w:r>
    </w:p>
  </w:footnote>
  <w:footnote w:id="20">
    <w:p w:rsidR="00814B2E" w:rsidRPr="00162CA9" w:rsidRDefault="00814B2E" w:rsidP="00814B2E">
      <w:pPr>
        <w:pStyle w:val="FootnoteText"/>
        <w:jc w:val="both"/>
        <w:rPr>
          <w:szCs w:val="19"/>
        </w:rPr>
      </w:pPr>
      <w:r w:rsidRPr="00162CA9">
        <w:rPr>
          <w:rStyle w:val="FootnoteReference"/>
          <w:szCs w:val="19"/>
        </w:rPr>
        <w:footnoteRef/>
      </w:r>
      <w:r w:rsidRPr="00162CA9">
        <w:rPr>
          <w:szCs w:val="19"/>
        </w:rPr>
        <w:t xml:space="preserve"> (1807) 170 ER 889; 1 Camp 94. It is, however, noteworthy that ‘review’ and ‘criticism’ appeared in argument by counsel, before the courts adopted such terminology: see </w:t>
      </w:r>
      <w:r w:rsidR="00F2695E" w:rsidRPr="00162CA9">
        <w:rPr>
          <w:szCs w:val="19"/>
        </w:rPr>
        <w:t>e</w:t>
      </w:r>
      <w:r w:rsidR="00F2695E">
        <w:rPr>
          <w:szCs w:val="19"/>
          <w:lang w:val="en-AU"/>
        </w:rPr>
        <w:t>.</w:t>
      </w:r>
      <w:r w:rsidR="00F2695E" w:rsidRPr="00162CA9">
        <w:rPr>
          <w:szCs w:val="19"/>
        </w:rPr>
        <w:t>g</w:t>
      </w:r>
      <w:r w:rsidR="00F2695E">
        <w:rPr>
          <w:szCs w:val="19"/>
          <w:lang w:val="en-AU"/>
        </w:rPr>
        <w:t>.</w:t>
      </w:r>
      <w:r w:rsidRPr="00162CA9">
        <w:rPr>
          <w:szCs w:val="19"/>
        </w:rPr>
        <w:t xml:space="preserve">, </w:t>
      </w:r>
      <w:r w:rsidRPr="00162CA9">
        <w:rPr>
          <w:i/>
          <w:szCs w:val="19"/>
        </w:rPr>
        <w:t xml:space="preserve">Macklin v Richardson </w:t>
      </w:r>
      <w:r w:rsidRPr="00162CA9">
        <w:rPr>
          <w:szCs w:val="19"/>
        </w:rPr>
        <w:t xml:space="preserve">(1770) 27 ER 451; Amb 694, 696 and </w:t>
      </w:r>
      <w:r w:rsidRPr="00162CA9">
        <w:rPr>
          <w:i/>
          <w:szCs w:val="19"/>
        </w:rPr>
        <w:t xml:space="preserve">Roworth v Wilkes </w:t>
      </w:r>
      <w:r w:rsidRPr="00162CA9">
        <w:rPr>
          <w:szCs w:val="19"/>
        </w:rPr>
        <w:t>(1807) 170 ER 889; 1 Camp 94, 97.</w:t>
      </w:r>
    </w:p>
  </w:footnote>
  <w:footnote w:id="21">
    <w:p w:rsidR="00814B2E" w:rsidRPr="00162CA9" w:rsidRDefault="00814B2E" w:rsidP="00814B2E">
      <w:pPr>
        <w:pStyle w:val="FootnoteText"/>
        <w:jc w:val="both"/>
        <w:rPr>
          <w:szCs w:val="19"/>
        </w:rPr>
      </w:pPr>
      <w:r w:rsidRPr="00162CA9">
        <w:rPr>
          <w:rStyle w:val="FootnoteReference"/>
          <w:szCs w:val="19"/>
        </w:rPr>
        <w:footnoteRef/>
      </w:r>
      <w:r w:rsidRPr="00162CA9">
        <w:rPr>
          <w:szCs w:val="19"/>
        </w:rPr>
        <w:t xml:space="preserve"> (1817) 2 Swans 428; 36 ER 679.</w:t>
      </w:r>
    </w:p>
  </w:footnote>
  <w:footnote w:id="22">
    <w:p w:rsidR="00814B2E" w:rsidRPr="00162CA9" w:rsidRDefault="00814B2E" w:rsidP="00814B2E">
      <w:pPr>
        <w:pStyle w:val="FootnoteText"/>
        <w:jc w:val="both"/>
        <w:rPr>
          <w:szCs w:val="19"/>
        </w:rPr>
      </w:pPr>
      <w:r w:rsidRPr="00162CA9">
        <w:rPr>
          <w:rStyle w:val="FootnoteReference"/>
          <w:szCs w:val="19"/>
        </w:rPr>
        <w:footnoteRef/>
      </w:r>
      <w:r w:rsidRPr="00162CA9">
        <w:rPr>
          <w:szCs w:val="19"/>
        </w:rPr>
        <w:t xml:space="preserve"> </w:t>
      </w:r>
      <w:r w:rsidRPr="00162CA9">
        <w:rPr>
          <w:i/>
          <w:szCs w:val="19"/>
        </w:rPr>
        <w:t>Chatterton v Cave</w:t>
      </w:r>
      <w:r w:rsidRPr="00162CA9">
        <w:rPr>
          <w:szCs w:val="19"/>
        </w:rPr>
        <w:t xml:space="preserve"> (1878) 3 AC 483, 492 (‘Books are published with an expectation, if not a desire, that they will be criticised in reviews, and if deemed valuable that parts of them will be used as affording illustrations by way of quotation, or the like--and if the quantity taken be neither substantial nor material, if, as it has been expressed by some judges, ‘a fair use’ only be made of the publication, no wrong is done and no action can be brought.’).</w:t>
      </w:r>
    </w:p>
  </w:footnote>
  <w:footnote w:id="23">
    <w:p w:rsidR="00B60477" w:rsidRPr="00162CA9" w:rsidRDefault="00B60477" w:rsidP="00EE47B5">
      <w:pPr>
        <w:pStyle w:val="FootnoteText"/>
        <w:jc w:val="both"/>
        <w:rPr>
          <w:szCs w:val="19"/>
          <w:lang w:val="en-AU"/>
        </w:rPr>
      </w:pPr>
      <w:r w:rsidRPr="00162CA9">
        <w:rPr>
          <w:rStyle w:val="FootnoteReference"/>
          <w:szCs w:val="19"/>
        </w:rPr>
        <w:footnoteRef/>
      </w:r>
      <w:r w:rsidRPr="00162CA9">
        <w:rPr>
          <w:szCs w:val="19"/>
        </w:rPr>
        <w:t xml:space="preserve"> (1785) 102 ER 139</w:t>
      </w:r>
    </w:p>
  </w:footnote>
  <w:footnote w:id="24">
    <w:p w:rsidR="001F6A37" w:rsidRPr="00162CA9" w:rsidRDefault="001F6A37" w:rsidP="00EE47B5">
      <w:pPr>
        <w:pStyle w:val="FootnoteText"/>
        <w:jc w:val="both"/>
        <w:rPr>
          <w:szCs w:val="19"/>
          <w:lang w:val="en-AU"/>
        </w:rPr>
      </w:pPr>
      <w:r w:rsidRPr="00162CA9">
        <w:rPr>
          <w:rStyle w:val="FootnoteReference"/>
          <w:szCs w:val="19"/>
        </w:rPr>
        <w:footnoteRef/>
      </w:r>
      <w:r w:rsidRPr="00162CA9">
        <w:rPr>
          <w:szCs w:val="19"/>
        </w:rPr>
        <w:t xml:space="preserve"> Kathy Bowrey, ‘On Clarifying the role of originality and fair use in 19th century UK jurisprudence: appreciating ‘the humble grey which emerges as the result of long controversy’ [2008] </w:t>
      </w:r>
      <w:r w:rsidRPr="00162CA9">
        <w:rPr>
          <w:i/>
          <w:szCs w:val="19"/>
        </w:rPr>
        <w:t>University of New South Wales Law Research Series</w:t>
      </w:r>
      <w:r w:rsidRPr="00162CA9">
        <w:rPr>
          <w:szCs w:val="19"/>
        </w:rPr>
        <w:t xml:space="preserve"> 58.</w:t>
      </w:r>
      <w:r w:rsidRPr="00162CA9">
        <w:rPr>
          <w:szCs w:val="19"/>
          <w:lang w:val="en-AU"/>
        </w:rPr>
        <w:t xml:space="preserve">  </w:t>
      </w:r>
    </w:p>
  </w:footnote>
  <w:footnote w:id="25">
    <w:p w:rsidR="00B60477" w:rsidRPr="00162CA9" w:rsidRDefault="00B60477" w:rsidP="00EE47B5">
      <w:pPr>
        <w:pStyle w:val="FootnoteText"/>
        <w:jc w:val="both"/>
        <w:rPr>
          <w:szCs w:val="19"/>
          <w:lang w:val="en-AU"/>
        </w:rPr>
      </w:pPr>
      <w:r w:rsidRPr="00162CA9">
        <w:rPr>
          <w:rStyle w:val="FootnoteReference"/>
          <w:szCs w:val="19"/>
        </w:rPr>
        <w:footnoteRef/>
      </w:r>
      <w:r w:rsidRPr="00162CA9">
        <w:rPr>
          <w:szCs w:val="19"/>
        </w:rPr>
        <w:t xml:space="preserve"> (1803) 4 Esp 168</w:t>
      </w:r>
      <w:r w:rsidRPr="00162CA9">
        <w:rPr>
          <w:szCs w:val="19"/>
          <w:lang w:val="en-AU"/>
        </w:rPr>
        <w:t>.</w:t>
      </w:r>
    </w:p>
  </w:footnote>
  <w:footnote w:id="26">
    <w:p w:rsidR="007116A0" w:rsidRPr="00162CA9" w:rsidRDefault="007116A0" w:rsidP="00EE47B5">
      <w:pPr>
        <w:pStyle w:val="FootnoteText"/>
        <w:jc w:val="both"/>
        <w:rPr>
          <w:szCs w:val="19"/>
          <w:lang w:val="en-AU"/>
        </w:rPr>
      </w:pPr>
      <w:r w:rsidRPr="00162CA9">
        <w:rPr>
          <w:rStyle w:val="FootnoteReference"/>
          <w:szCs w:val="19"/>
        </w:rPr>
        <w:footnoteRef/>
      </w:r>
      <w:r w:rsidRPr="00162CA9">
        <w:rPr>
          <w:szCs w:val="19"/>
        </w:rPr>
        <w:t xml:space="preserve"> William Patry, </w:t>
      </w:r>
      <w:r w:rsidRPr="00162CA9">
        <w:rPr>
          <w:i/>
          <w:szCs w:val="19"/>
        </w:rPr>
        <w:t>The Fair Use Privilege in Copyright Law</w:t>
      </w:r>
      <w:r w:rsidRPr="00162CA9">
        <w:rPr>
          <w:szCs w:val="19"/>
        </w:rPr>
        <w:t xml:space="preserve"> (The Bureau of National Affairs Inc, 1985) 3; while others, such as Sims, argue that </w:t>
      </w:r>
      <w:r w:rsidRPr="00162CA9">
        <w:rPr>
          <w:i/>
          <w:szCs w:val="19"/>
        </w:rPr>
        <w:t>Cary v Kearsley</w:t>
      </w:r>
      <w:r w:rsidRPr="00162CA9">
        <w:rPr>
          <w:szCs w:val="19"/>
        </w:rPr>
        <w:t xml:space="preserve"> had nothing to do with fair use or fair dealing, but, instead, the question of whether the defendant’s reproduction was a new and original work: Sims, above n </w:t>
      </w:r>
      <w:r w:rsidRPr="00162CA9">
        <w:rPr>
          <w:szCs w:val="19"/>
          <w:lang w:val="en-AU"/>
        </w:rPr>
        <w:t>14</w:t>
      </w:r>
      <w:r w:rsidRPr="00162CA9">
        <w:rPr>
          <w:szCs w:val="19"/>
        </w:rPr>
        <w:t xml:space="preserve">, 21. In any event, while the use of the expression ‘fair use’ had solidified after Vice Chancellor Wood handed down judgments in </w:t>
      </w:r>
      <w:r w:rsidRPr="00162CA9">
        <w:rPr>
          <w:i/>
          <w:szCs w:val="19"/>
        </w:rPr>
        <w:t>Jarrold v Houlston</w:t>
      </w:r>
      <w:r w:rsidRPr="00162CA9">
        <w:rPr>
          <w:szCs w:val="19"/>
        </w:rPr>
        <w:t xml:space="preserve"> 3 K &amp; J 708, 714-15 (1857) and </w:t>
      </w:r>
      <w:r w:rsidRPr="00162CA9">
        <w:rPr>
          <w:i/>
          <w:szCs w:val="19"/>
        </w:rPr>
        <w:t>Scott v Stanford</w:t>
      </w:r>
      <w:r w:rsidRPr="00162CA9">
        <w:rPr>
          <w:szCs w:val="19"/>
        </w:rPr>
        <w:t xml:space="preserve"> LR 3 Eq 718, 722 (1867), the term would not find its way into the </w:t>
      </w:r>
      <w:r w:rsidRPr="00162CA9">
        <w:rPr>
          <w:i/>
          <w:szCs w:val="19"/>
        </w:rPr>
        <w:t xml:space="preserve">Copyright Act 1911 </w:t>
      </w:r>
      <w:r w:rsidRPr="00162CA9">
        <w:rPr>
          <w:szCs w:val="19"/>
        </w:rPr>
        <w:t>(UK), and nor into Australia’s copyright laws.</w:t>
      </w:r>
    </w:p>
  </w:footnote>
  <w:footnote w:id="27">
    <w:p w:rsidR="001F6A37" w:rsidRPr="00162CA9" w:rsidRDefault="001F6A37" w:rsidP="00EE47B5">
      <w:pPr>
        <w:pStyle w:val="FootnoteText"/>
        <w:jc w:val="both"/>
        <w:rPr>
          <w:szCs w:val="19"/>
        </w:rPr>
      </w:pPr>
      <w:r w:rsidRPr="00162CA9">
        <w:rPr>
          <w:rStyle w:val="FootnoteReference"/>
          <w:szCs w:val="19"/>
        </w:rPr>
        <w:footnoteRef/>
      </w:r>
      <w:r w:rsidRPr="00162CA9">
        <w:rPr>
          <w:szCs w:val="19"/>
        </w:rPr>
        <w:t xml:space="preserve"> Commonwealth, </w:t>
      </w:r>
      <w:r w:rsidRPr="00162CA9">
        <w:rPr>
          <w:i/>
          <w:szCs w:val="19"/>
        </w:rPr>
        <w:t>Parliamentary Debates</w:t>
      </w:r>
      <w:r w:rsidRPr="00162CA9">
        <w:rPr>
          <w:szCs w:val="19"/>
        </w:rPr>
        <w:t>, Senate, 28 September 1905, 2912 (John Keating).</w:t>
      </w:r>
    </w:p>
  </w:footnote>
  <w:footnote w:id="28">
    <w:p w:rsidR="001F6A37" w:rsidRPr="00162CA9" w:rsidRDefault="001F6A37" w:rsidP="001F6A37">
      <w:pPr>
        <w:pStyle w:val="FootnoteText"/>
        <w:jc w:val="both"/>
        <w:rPr>
          <w:szCs w:val="19"/>
          <w:lang w:val="en-AU"/>
        </w:rPr>
      </w:pPr>
      <w:r w:rsidRPr="00162CA9">
        <w:rPr>
          <w:rStyle w:val="FootnoteReference"/>
          <w:szCs w:val="19"/>
        </w:rPr>
        <w:footnoteRef/>
      </w:r>
      <w:r w:rsidRPr="00162CA9">
        <w:rPr>
          <w:szCs w:val="19"/>
        </w:rPr>
        <w:t xml:space="preserve"> See </w:t>
      </w:r>
      <w:r w:rsidRPr="00162CA9">
        <w:rPr>
          <w:i/>
          <w:szCs w:val="19"/>
        </w:rPr>
        <w:t>Copyright Act 1912</w:t>
      </w:r>
      <w:r w:rsidRPr="00162CA9">
        <w:rPr>
          <w:szCs w:val="19"/>
        </w:rPr>
        <w:t xml:space="preserve"> (Cth) s 8. By virtue of s 25(1) of the </w:t>
      </w:r>
      <w:r w:rsidRPr="00162CA9">
        <w:rPr>
          <w:i/>
          <w:szCs w:val="19"/>
        </w:rPr>
        <w:t xml:space="preserve">Copyright Act 1911 </w:t>
      </w:r>
      <w:r w:rsidRPr="00162CA9">
        <w:rPr>
          <w:szCs w:val="19"/>
        </w:rPr>
        <w:t xml:space="preserve">(UK), the 1911 Act applied throughout the dominions of the British Empire. As such, the High Court of Australia later held that the 1911 Act applied in Australia by force of Imperial law, rather than by virtue of any law enacted by the Commonwealth parliament supported by s 51(xviii) of the </w:t>
      </w:r>
      <w:r w:rsidRPr="00162CA9">
        <w:rPr>
          <w:i/>
          <w:szCs w:val="19"/>
        </w:rPr>
        <w:t>Australian</w:t>
      </w:r>
      <w:r w:rsidRPr="00162CA9">
        <w:rPr>
          <w:szCs w:val="19"/>
        </w:rPr>
        <w:t xml:space="preserve"> </w:t>
      </w:r>
      <w:r w:rsidRPr="00162CA9">
        <w:rPr>
          <w:i/>
          <w:szCs w:val="19"/>
        </w:rPr>
        <w:t>Constitution</w:t>
      </w:r>
      <w:r w:rsidRPr="00162CA9">
        <w:rPr>
          <w:szCs w:val="19"/>
        </w:rPr>
        <w:t xml:space="preserve">: </w:t>
      </w:r>
      <w:r w:rsidRPr="00162CA9">
        <w:rPr>
          <w:i/>
          <w:szCs w:val="19"/>
        </w:rPr>
        <w:t>Gramophone Co Ltd v Leo Feist Incorporated</w:t>
      </w:r>
      <w:r w:rsidRPr="00162CA9">
        <w:rPr>
          <w:szCs w:val="19"/>
        </w:rPr>
        <w:t xml:space="preserve"> (1928) 41 CLR 1. As Hansard reports, the 1911 Act was introduced </w:t>
      </w:r>
      <w:r w:rsidRPr="00162CA9">
        <w:rPr>
          <w:i/>
          <w:szCs w:val="19"/>
        </w:rPr>
        <w:t>“To amend and consolidate the Law relating to Copyright”</w:t>
      </w:r>
      <w:r w:rsidRPr="00162CA9">
        <w:rPr>
          <w:szCs w:val="19"/>
        </w:rPr>
        <w:t xml:space="preserve"> United Kingdom, </w:t>
      </w:r>
      <w:r w:rsidRPr="00162CA9">
        <w:rPr>
          <w:i/>
          <w:szCs w:val="19"/>
        </w:rPr>
        <w:t>Parliamentary Debates</w:t>
      </w:r>
      <w:r w:rsidRPr="00162CA9">
        <w:rPr>
          <w:szCs w:val="19"/>
        </w:rPr>
        <w:t>, House of Commons, vol 23, c1534. For an account of the social, political and economic milieu surrounding the enactment of the 1</w:t>
      </w:r>
      <w:r w:rsidR="00823FE8" w:rsidRPr="00162CA9">
        <w:rPr>
          <w:szCs w:val="19"/>
        </w:rPr>
        <w:t xml:space="preserve">912 Act, see Atkinson, above n </w:t>
      </w:r>
      <w:r w:rsidR="00823FE8" w:rsidRPr="00162CA9">
        <w:rPr>
          <w:szCs w:val="19"/>
          <w:lang w:val="en-AU"/>
        </w:rPr>
        <w:t>1</w:t>
      </w:r>
      <w:r w:rsidRPr="00162CA9">
        <w:rPr>
          <w:szCs w:val="19"/>
        </w:rPr>
        <w:t xml:space="preserve">6, 63-8. Also see United Kingdom, </w:t>
      </w:r>
      <w:r w:rsidRPr="00162CA9">
        <w:rPr>
          <w:i/>
          <w:szCs w:val="19"/>
        </w:rPr>
        <w:t>Parliamentary Debates</w:t>
      </w:r>
      <w:r w:rsidRPr="00162CA9">
        <w:rPr>
          <w:szCs w:val="19"/>
        </w:rPr>
        <w:t>, House of Commons, 7 April 2011, vol 23 cc2587-663</w:t>
      </w:r>
      <w:r w:rsidR="003C6480" w:rsidRPr="00162CA9">
        <w:rPr>
          <w:szCs w:val="19"/>
          <w:lang w:val="en-AU"/>
        </w:rPr>
        <w:t>.</w:t>
      </w:r>
      <w:r w:rsidRPr="00162CA9">
        <w:rPr>
          <w:szCs w:val="19"/>
        </w:rPr>
        <w:t xml:space="preserve"> </w:t>
      </w:r>
    </w:p>
  </w:footnote>
  <w:footnote w:id="29">
    <w:p w:rsidR="001F6A37" w:rsidRPr="00162CA9" w:rsidRDefault="001F6A37" w:rsidP="001F6A37">
      <w:pPr>
        <w:pStyle w:val="FootnoteText"/>
        <w:jc w:val="both"/>
        <w:rPr>
          <w:szCs w:val="19"/>
        </w:rPr>
      </w:pPr>
      <w:r w:rsidRPr="00162CA9">
        <w:rPr>
          <w:rStyle w:val="FootnoteReference"/>
          <w:szCs w:val="19"/>
        </w:rPr>
        <w:footnoteRef/>
      </w:r>
      <w:r w:rsidRPr="00162CA9">
        <w:rPr>
          <w:szCs w:val="19"/>
        </w:rPr>
        <w:t xml:space="preserve"> Atkinson, above n </w:t>
      </w:r>
      <w:r w:rsidR="00823FE8" w:rsidRPr="00162CA9">
        <w:rPr>
          <w:szCs w:val="19"/>
          <w:lang w:val="en-AU"/>
        </w:rPr>
        <w:t>1</w:t>
      </w:r>
      <w:r w:rsidRPr="00162CA9">
        <w:rPr>
          <w:szCs w:val="19"/>
        </w:rPr>
        <w:t xml:space="preserve">6, 89-91. Following from the prescriptive imperial model, and differentially to the 1905 Act it replaced, the 1912 Act exhaustively defined exceptions, which was also notable in comparison with the broader more illustrative method to be found in US ‘fair use’ model. See </w:t>
      </w:r>
      <w:r w:rsidR="00202191" w:rsidRPr="00162CA9">
        <w:rPr>
          <w:szCs w:val="19"/>
        </w:rPr>
        <w:t xml:space="preserve">Robert Burrell and Allison Coleman, </w:t>
      </w:r>
      <w:r w:rsidR="00202191" w:rsidRPr="00162CA9">
        <w:rPr>
          <w:i/>
          <w:szCs w:val="19"/>
        </w:rPr>
        <w:t xml:space="preserve">Copyright Exceptions: The Digital Impact </w:t>
      </w:r>
      <w:r w:rsidR="00202191" w:rsidRPr="00162CA9">
        <w:rPr>
          <w:szCs w:val="19"/>
        </w:rPr>
        <w:t xml:space="preserve">Cambridge University Press, (2005), </w:t>
      </w:r>
      <w:r w:rsidR="00202191" w:rsidRPr="00162CA9">
        <w:rPr>
          <w:szCs w:val="19"/>
          <w:lang w:val="en-AU"/>
        </w:rPr>
        <w:t>2</w:t>
      </w:r>
      <w:r w:rsidRPr="00162CA9">
        <w:rPr>
          <w:szCs w:val="19"/>
        </w:rPr>
        <w:t xml:space="preserve">49-260. Particularly at fn 41, where those authors note the lack of Australian debate of the fair dealing provisions in the 1912 Act; and at 259-260 for an overview of </w:t>
      </w:r>
      <w:r w:rsidRPr="00162CA9">
        <w:rPr>
          <w:i/>
          <w:szCs w:val="19"/>
        </w:rPr>
        <w:t xml:space="preserve">Copinger’s </w:t>
      </w:r>
      <w:r w:rsidRPr="00162CA9">
        <w:rPr>
          <w:szCs w:val="19"/>
        </w:rPr>
        <w:t>charting of subsequent development of the restrictive view of fair dealing under the 1911 Act.</w:t>
      </w:r>
    </w:p>
  </w:footnote>
  <w:footnote w:id="30">
    <w:p w:rsidR="001F6A37" w:rsidRPr="00162CA9" w:rsidRDefault="001F6A37" w:rsidP="001F6A37">
      <w:pPr>
        <w:pStyle w:val="FootnoteText"/>
        <w:jc w:val="both"/>
        <w:rPr>
          <w:szCs w:val="19"/>
        </w:rPr>
      </w:pPr>
      <w:r w:rsidRPr="00162CA9">
        <w:rPr>
          <w:rStyle w:val="FootnoteReference"/>
          <w:szCs w:val="19"/>
        </w:rPr>
        <w:footnoteRef/>
      </w:r>
      <w:r w:rsidRPr="00162CA9">
        <w:rPr>
          <w:szCs w:val="19"/>
        </w:rPr>
        <w:t xml:space="preserve"> United Kingdom, </w:t>
      </w:r>
      <w:r w:rsidRPr="00162CA9">
        <w:rPr>
          <w:i/>
          <w:szCs w:val="19"/>
        </w:rPr>
        <w:t>Parliamentary Debates</w:t>
      </w:r>
      <w:r w:rsidRPr="00162CA9">
        <w:rPr>
          <w:szCs w:val="19"/>
        </w:rPr>
        <w:t xml:space="preserve">, House of Lords, 14 November 1911, vol 10, cc 113-66 (Viscount Haldane: ‘The principle of fair dealing is a principle which the Courts have applied with the greatest care. Infringement of copyright cannot be allowed under disguise. All that is done here is to make a plain declaration of what the law is and to put all copyright works under the same wording.’) </w:t>
      </w:r>
      <w:hyperlink r:id="rId1" w:anchor="S5LV0010P0_19111114_HOL_59" w:history="1">
        <w:r w:rsidRPr="00162CA9">
          <w:rPr>
            <w:rStyle w:val="Hyperlink"/>
            <w:szCs w:val="19"/>
          </w:rPr>
          <w:t>http://hansard.millbanksystems.com/lords/1911/nov/14/imperial-copyright#S5LV0010P0_19111114_HOL_59</w:t>
        </w:r>
      </w:hyperlink>
      <w:r w:rsidRPr="00162CA9">
        <w:rPr>
          <w:szCs w:val="19"/>
        </w:rPr>
        <w:t xml:space="preserve">. As subsequent authors note: </w:t>
      </w:r>
      <w:r w:rsidRPr="00162CA9">
        <w:rPr>
          <w:i/>
          <w:szCs w:val="19"/>
        </w:rPr>
        <w:t xml:space="preserve">“A common feature of debates on the reform of copyright law since at least 1911 is that </w:t>
      </w:r>
      <w:r w:rsidRPr="00162CA9">
        <w:rPr>
          <w:szCs w:val="19"/>
        </w:rPr>
        <w:t xml:space="preserve">[the UK] </w:t>
      </w:r>
      <w:r w:rsidRPr="00162CA9">
        <w:rPr>
          <w:i/>
          <w:szCs w:val="19"/>
        </w:rPr>
        <w:t>Parliament has shown a desire to reform the law within the framework set by earlier judicial decisions”</w:t>
      </w:r>
      <w:r w:rsidRPr="00162CA9">
        <w:rPr>
          <w:szCs w:val="19"/>
        </w:rPr>
        <w:t xml:space="preserve"> – </w:t>
      </w:r>
      <w:r w:rsidR="00202191" w:rsidRPr="00162CA9">
        <w:rPr>
          <w:szCs w:val="19"/>
        </w:rPr>
        <w:t xml:space="preserve">Burrell and Coleman, above n </w:t>
      </w:r>
      <w:r w:rsidR="00202191" w:rsidRPr="00162CA9">
        <w:rPr>
          <w:szCs w:val="19"/>
          <w:lang w:val="en-AU"/>
        </w:rPr>
        <w:t>27</w:t>
      </w:r>
      <w:r w:rsidRPr="00162CA9">
        <w:rPr>
          <w:szCs w:val="19"/>
        </w:rPr>
        <w:t>, 242.</w:t>
      </w:r>
    </w:p>
  </w:footnote>
  <w:footnote w:id="31">
    <w:p w:rsidR="001F6A37" w:rsidRPr="00162CA9" w:rsidRDefault="001F6A37" w:rsidP="001F6A37">
      <w:pPr>
        <w:pStyle w:val="FootnoteText"/>
        <w:jc w:val="both"/>
        <w:rPr>
          <w:szCs w:val="19"/>
        </w:rPr>
      </w:pPr>
      <w:r w:rsidRPr="00162CA9">
        <w:rPr>
          <w:rStyle w:val="FootnoteReference"/>
          <w:szCs w:val="19"/>
        </w:rPr>
        <w:footnoteRef/>
      </w:r>
      <w:r w:rsidRPr="00162CA9">
        <w:rPr>
          <w:szCs w:val="19"/>
        </w:rPr>
        <w:t xml:space="preserve"> While the United Kingdom w</w:t>
      </w:r>
      <w:r w:rsidR="00823FE8" w:rsidRPr="00162CA9">
        <w:rPr>
          <w:szCs w:val="19"/>
        </w:rPr>
        <w:t xml:space="preserve">ould replace its 1911 Act with </w:t>
      </w:r>
      <w:r w:rsidR="00823FE8" w:rsidRPr="00162CA9">
        <w:rPr>
          <w:szCs w:val="19"/>
          <w:lang w:val="en-AU"/>
        </w:rPr>
        <w:t>its</w:t>
      </w:r>
      <w:r w:rsidRPr="00162CA9">
        <w:rPr>
          <w:szCs w:val="19"/>
        </w:rPr>
        <w:t xml:space="preserve"> 1956 Act, the High Court of Australia later held that the former Act was still in force in Australia until the enactment of the 1968 Act: </w:t>
      </w:r>
      <w:r w:rsidRPr="00162CA9">
        <w:rPr>
          <w:i/>
          <w:szCs w:val="19"/>
        </w:rPr>
        <w:t>Copyright Owners Reproduction Society Ltd v EMI (Australia) Pty Ltd</w:t>
      </w:r>
      <w:r w:rsidRPr="00162CA9">
        <w:rPr>
          <w:szCs w:val="19"/>
        </w:rPr>
        <w:t xml:space="preserve"> (1958) 100 CLR 597, 603.</w:t>
      </w:r>
    </w:p>
  </w:footnote>
  <w:footnote w:id="32">
    <w:p w:rsidR="001F6A37" w:rsidRPr="00162CA9" w:rsidRDefault="001F6A37" w:rsidP="001F6A37">
      <w:pPr>
        <w:pStyle w:val="subsection"/>
        <w:widowControl w:val="0"/>
        <w:spacing w:before="0" w:beforeAutospacing="0" w:after="0" w:afterAutospacing="0"/>
        <w:jc w:val="both"/>
        <w:rPr>
          <w:sz w:val="20"/>
          <w:szCs w:val="19"/>
        </w:rPr>
      </w:pPr>
      <w:r w:rsidRPr="00162CA9">
        <w:rPr>
          <w:rStyle w:val="FootnoteReference"/>
          <w:sz w:val="20"/>
          <w:szCs w:val="19"/>
        </w:rPr>
        <w:footnoteRef/>
      </w:r>
      <w:r w:rsidRPr="00162CA9">
        <w:rPr>
          <w:sz w:val="20"/>
          <w:szCs w:val="19"/>
        </w:rPr>
        <w:t xml:space="preserve"> </w:t>
      </w:r>
      <w:r w:rsidRPr="00162CA9">
        <w:rPr>
          <w:i/>
          <w:sz w:val="20"/>
          <w:szCs w:val="19"/>
        </w:rPr>
        <w:t xml:space="preserve">Copyright Act 1968 </w:t>
      </w:r>
      <w:r w:rsidRPr="00162CA9">
        <w:rPr>
          <w:sz w:val="20"/>
          <w:szCs w:val="19"/>
        </w:rPr>
        <w:t xml:space="preserve">(Cth) s 40. </w:t>
      </w:r>
    </w:p>
  </w:footnote>
  <w:footnote w:id="33">
    <w:p w:rsidR="001F6A37" w:rsidRPr="00162CA9" w:rsidRDefault="001F6A37" w:rsidP="001F6A37">
      <w:pPr>
        <w:pStyle w:val="FootnoteText"/>
        <w:widowControl w:val="0"/>
        <w:jc w:val="both"/>
        <w:rPr>
          <w:szCs w:val="19"/>
        </w:rPr>
      </w:pPr>
      <w:r w:rsidRPr="00162CA9">
        <w:rPr>
          <w:rStyle w:val="FootnoteReference"/>
          <w:szCs w:val="19"/>
        </w:rPr>
        <w:footnoteRef/>
      </w:r>
      <w:r w:rsidRPr="00162CA9">
        <w:rPr>
          <w:szCs w:val="19"/>
        </w:rPr>
        <w:t xml:space="preserve"> </w:t>
      </w:r>
      <w:r w:rsidRPr="00162CA9">
        <w:rPr>
          <w:i/>
          <w:szCs w:val="19"/>
        </w:rPr>
        <w:t xml:space="preserve">Copyright Act 1968 </w:t>
      </w:r>
      <w:r w:rsidRPr="00162CA9">
        <w:rPr>
          <w:szCs w:val="19"/>
        </w:rPr>
        <w:t xml:space="preserve">(Cth) ss 41, 103A. </w:t>
      </w:r>
    </w:p>
  </w:footnote>
  <w:footnote w:id="34">
    <w:p w:rsidR="001F6A37" w:rsidRPr="00162CA9" w:rsidRDefault="001F6A37" w:rsidP="001F6A37">
      <w:pPr>
        <w:pStyle w:val="subsection"/>
        <w:widowControl w:val="0"/>
        <w:spacing w:before="0" w:beforeAutospacing="0" w:after="0" w:afterAutospacing="0"/>
        <w:jc w:val="both"/>
        <w:rPr>
          <w:sz w:val="20"/>
          <w:szCs w:val="19"/>
        </w:rPr>
      </w:pPr>
      <w:r w:rsidRPr="00162CA9">
        <w:rPr>
          <w:rStyle w:val="FootnoteReference"/>
          <w:sz w:val="20"/>
          <w:szCs w:val="19"/>
        </w:rPr>
        <w:footnoteRef/>
      </w:r>
      <w:r w:rsidRPr="00162CA9">
        <w:rPr>
          <w:sz w:val="20"/>
          <w:szCs w:val="19"/>
        </w:rPr>
        <w:t xml:space="preserve"> </w:t>
      </w:r>
      <w:r w:rsidRPr="00162CA9">
        <w:rPr>
          <w:i/>
          <w:sz w:val="20"/>
          <w:szCs w:val="19"/>
        </w:rPr>
        <w:t xml:space="preserve">Copyright Act 1968 </w:t>
      </w:r>
      <w:r w:rsidRPr="00162CA9">
        <w:rPr>
          <w:sz w:val="20"/>
          <w:szCs w:val="19"/>
        </w:rPr>
        <w:t xml:space="preserve">(Cth) ss 42, 103B. </w:t>
      </w:r>
    </w:p>
  </w:footnote>
  <w:footnote w:id="35">
    <w:p w:rsidR="001F6A37" w:rsidRPr="00162CA9" w:rsidRDefault="001F6A37" w:rsidP="001F6A37">
      <w:pPr>
        <w:pStyle w:val="FootnoteText"/>
        <w:jc w:val="both"/>
        <w:rPr>
          <w:szCs w:val="19"/>
        </w:rPr>
      </w:pPr>
      <w:r w:rsidRPr="00162CA9">
        <w:rPr>
          <w:rStyle w:val="FootnoteReference"/>
          <w:szCs w:val="19"/>
        </w:rPr>
        <w:footnoteRef/>
      </w:r>
      <w:r w:rsidRPr="00162CA9">
        <w:rPr>
          <w:szCs w:val="19"/>
        </w:rPr>
        <w:t xml:space="preserve"> </w:t>
      </w:r>
      <w:r w:rsidRPr="00162CA9">
        <w:rPr>
          <w:i/>
          <w:szCs w:val="19"/>
        </w:rPr>
        <w:t xml:space="preserve">Copyright Act 1968 </w:t>
      </w:r>
      <w:r w:rsidRPr="00162CA9">
        <w:rPr>
          <w:szCs w:val="19"/>
        </w:rPr>
        <w:t>(Cth) ss 43, 104.</w:t>
      </w:r>
    </w:p>
  </w:footnote>
  <w:footnote w:id="36">
    <w:p w:rsidR="003C6480" w:rsidRPr="00162CA9" w:rsidRDefault="003C6480" w:rsidP="003C6480">
      <w:pPr>
        <w:pStyle w:val="FootnoteText"/>
        <w:jc w:val="both"/>
        <w:rPr>
          <w:szCs w:val="19"/>
        </w:rPr>
      </w:pPr>
      <w:r w:rsidRPr="00162CA9">
        <w:rPr>
          <w:rStyle w:val="FootnoteReference"/>
          <w:szCs w:val="19"/>
        </w:rPr>
        <w:footnoteRef/>
      </w:r>
      <w:r w:rsidRPr="00162CA9">
        <w:rPr>
          <w:szCs w:val="19"/>
        </w:rPr>
        <w:t xml:space="preserve"> </w:t>
      </w:r>
      <w:r w:rsidR="00692733" w:rsidRPr="00162CA9">
        <w:rPr>
          <w:szCs w:val="19"/>
        </w:rPr>
        <w:t xml:space="preserve">Copyright Law Committee on Reprographic Reproduction, </w:t>
      </w:r>
      <w:r w:rsidR="00692733" w:rsidRPr="00162CA9">
        <w:rPr>
          <w:i/>
          <w:szCs w:val="19"/>
        </w:rPr>
        <w:t>Report of the Copyright Law Committee on Reprographic Reproduction</w:t>
      </w:r>
      <w:r w:rsidR="00692733" w:rsidRPr="00162CA9">
        <w:rPr>
          <w:szCs w:val="19"/>
        </w:rPr>
        <w:t xml:space="preserve"> (1976) [1.2</w:t>
      </w:r>
      <w:r w:rsidR="00692733" w:rsidRPr="00162CA9">
        <w:rPr>
          <w:szCs w:val="19"/>
          <w:lang w:val="en-AU"/>
        </w:rPr>
        <w:t>6</w:t>
      </w:r>
      <w:r w:rsidR="00692733" w:rsidRPr="00162CA9">
        <w:rPr>
          <w:szCs w:val="19"/>
        </w:rPr>
        <w:t>] (</w:t>
      </w:r>
      <w:r w:rsidR="00692733" w:rsidRPr="00162CA9">
        <w:rPr>
          <w:i/>
          <w:szCs w:val="19"/>
        </w:rPr>
        <w:t>‘Franki Committee Report’</w:t>
      </w:r>
      <w:r w:rsidR="00692733" w:rsidRPr="00162CA9">
        <w:rPr>
          <w:szCs w:val="19"/>
        </w:rPr>
        <w:t>).</w:t>
      </w:r>
      <w:r w:rsidRPr="00162CA9">
        <w:rPr>
          <w:szCs w:val="19"/>
        </w:rPr>
        <w:t xml:space="preserve"> </w:t>
      </w:r>
    </w:p>
  </w:footnote>
  <w:footnote w:id="37">
    <w:p w:rsidR="003C6480" w:rsidRPr="00162CA9" w:rsidRDefault="003C6480" w:rsidP="003C6480">
      <w:pPr>
        <w:pStyle w:val="FootnoteText"/>
        <w:jc w:val="both"/>
        <w:rPr>
          <w:szCs w:val="19"/>
        </w:rPr>
      </w:pPr>
      <w:r w:rsidRPr="00162CA9">
        <w:rPr>
          <w:rStyle w:val="FootnoteReference"/>
          <w:szCs w:val="19"/>
        </w:rPr>
        <w:footnoteRef/>
      </w:r>
      <w:r w:rsidRPr="00162CA9">
        <w:rPr>
          <w:szCs w:val="19"/>
        </w:rPr>
        <w:t xml:space="preserve"> Ibid [2.60]. Notably, however, these limits were not ‘maximums’, in the sense that they were merely included to act as a guide for users of copyright material. The person relying on the provision could, theoretically, exceed these limits and still receive the benefit of the fair dealing provision; depending, of course, on the application of the other factors relevant to the assessment of ‘fairness’.</w:t>
      </w:r>
    </w:p>
  </w:footnote>
  <w:footnote w:id="38">
    <w:p w:rsidR="003C6480" w:rsidRPr="00162CA9" w:rsidRDefault="003C6480" w:rsidP="003C6480">
      <w:pPr>
        <w:pStyle w:val="FootnoteText"/>
        <w:jc w:val="both"/>
        <w:rPr>
          <w:szCs w:val="19"/>
        </w:rPr>
      </w:pPr>
      <w:r w:rsidRPr="00162CA9">
        <w:rPr>
          <w:rStyle w:val="FootnoteReference"/>
          <w:szCs w:val="19"/>
        </w:rPr>
        <w:footnoteRef/>
      </w:r>
      <w:r w:rsidRPr="00162CA9">
        <w:rPr>
          <w:szCs w:val="19"/>
        </w:rPr>
        <w:t xml:space="preserve"> Ibid [1.45].</w:t>
      </w:r>
    </w:p>
  </w:footnote>
  <w:footnote w:id="39">
    <w:p w:rsidR="003C6480" w:rsidRPr="00162CA9" w:rsidRDefault="003C6480" w:rsidP="003C6480">
      <w:pPr>
        <w:pStyle w:val="FootnoteText"/>
        <w:jc w:val="both"/>
        <w:rPr>
          <w:szCs w:val="19"/>
        </w:rPr>
      </w:pPr>
      <w:r w:rsidRPr="00162CA9">
        <w:rPr>
          <w:rStyle w:val="FootnoteReference"/>
          <w:szCs w:val="19"/>
        </w:rPr>
        <w:footnoteRef/>
      </w:r>
      <w:r w:rsidRPr="00162CA9">
        <w:rPr>
          <w:szCs w:val="19"/>
        </w:rPr>
        <w:t xml:space="preserve"> Copyright Amendment Bill (No 2) 1979 (Cth). See also Explanatory Memorandum, Copyright Amendment Bill (No 2) 1979 (Cth) &lt;http://www.austlii.edu.au/au/legis/cth/bill_em/cab21979250/memo_0.html&gt;. “Reasonable portion” was defined as follows: ‘Without limiting the meaning of the expression, the copying of not more than 10 per cent of the number of pages or one chapter of a literary, dramatic or musical work is to be taken to be a reasonable portion of that work’. See </w:t>
      </w:r>
      <w:r w:rsidRPr="00162CA9">
        <w:rPr>
          <w:i/>
          <w:szCs w:val="19"/>
        </w:rPr>
        <w:t xml:space="preserve">Copyright Act 1968 </w:t>
      </w:r>
      <w:r w:rsidRPr="00162CA9">
        <w:rPr>
          <w:szCs w:val="19"/>
        </w:rPr>
        <w:t>(Cth) s 40(5)-(7).</w:t>
      </w:r>
    </w:p>
  </w:footnote>
  <w:footnote w:id="40">
    <w:p w:rsidR="004A1777" w:rsidRPr="00162CA9" w:rsidRDefault="004A1777" w:rsidP="004A1777">
      <w:pPr>
        <w:pStyle w:val="FootnoteText"/>
        <w:widowControl w:val="0"/>
        <w:jc w:val="both"/>
        <w:rPr>
          <w:szCs w:val="19"/>
        </w:rPr>
      </w:pPr>
      <w:r w:rsidRPr="00162CA9">
        <w:rPr>
          <w:rStyle w:val="FootnoteReference"/>
          <w:szCs w:val="19"/>
        </w:rPr>
        <w:footnoteRef/>
      </w:r>
      <w:r w:rsidRPr="00162CA9">
        <w:rPr>
          <w:szCs w:val="19"/>
        </w:rPr>
        <w:t xml:space="preserve"> </w:t>
      </w:r>
      <w:r w:rsidRPr="00162CA9">
        <w:rPr>
          <w:i/>
          <w:szCs w:val="19"/>
        </w:rPr>
        <w:t>Phonographic Performance Company of Australia Limited v Commonwealth of Australia</w:t>
      </w:r>
      <w:r w:rsidR="00364AD0" w:rsidRPr="00162CA9">
        <w:rPr>
          <w:szCs w:val="19"/>
        </w:rPr>
        <w:t xml:space="preserve"> (2012) 246 CLR 561, [97]</w:t>
      </w:r>
      <w:r w:rsidRPr="00162CA9">
        <w:rPr>
          <w:szCs w:val="19"/>
        </w:rPr>
        <w:t>.</w:t>
      </w:r>
    </w:p>
  </w:footnote>
  <w:footnote w:id="41">
    <w:p w:rsidR="00334C83" w:rsidRPr="00162CA9" w:rsidRDefault="00334C83">
      <w:pPr>
        <w:pStyle w:val="FootnoteText"/>
        <w:rPr>
          <w:szCs w:val="19"/>
          <w:lang w:val="en-AU"/>
        </w:rPr>
      </w:pPr>
      <w:r w:rsidRPr="00162CA9">
        <w:rPr>
          <w:rStyle w:val="FootnoteReference"/>
          <w:szCs w:val="19"/>
        </w:rPr>
        <w:footnoteRef/>
      </w:r>
      <w:r w:rsidRPr="00162CA9">
        <w:rPr>
          <w:szCs w:val="19"/>
        </w:rPr>
        <w:t xml:space="preserve"> </w:t>
      </w:r>
      <w:r w:rsidRPr="00162CA9">
        <w:rPr>
          <w:szCs w:val="19"/>
          <w:lang w:val="en-AU"/>
        </w:rPr>
        <w:t>Submission #67 dated 23 February 2015</w:t>
      </w:r>
      <w:r w:rsidR="00EE47B5" w:rsidRPr="00162CA9">
        <w:rPr>
          <w:szCs w:val="19"/>
          <w:lang w:val="en-AU"/>
        </w:rPr>
        <w:t>.</w:t>
      </w:r>
    </w:p>
  </w:footnote>
  <w:footnote w:id="42">
    <w:p w:rsidR="00202191" w:rsidRPr="00162CA9" w:rsidRDefault="00202191" w:rsidP="00202191">
      <w:pPr>
        <w:pStyle w:val="FootnoteText"/>
        <w:jc w:val="both"/>
        <w:rPr>
          <w:szCs w:val="19"/>
        </w:rPr>
      </w:pPr>
      <w:r w:rsidRPr="00162CA9">
        <w:rPr>
          <w:rStyle w:val="FootnoteReference"/>
          <w:szCs w:val="19"/>
        </w:rPr>
        <w:footnoteRef/>
      </w:r>
      <w:r w:rsidRPr="00162CA9">
        <w:rPr>
          <w:szCs w:val="19"/>
        </w:rPr>
        <w:t xml:space="preserve"> United Kingdom, </w:t>
      </w:r>
      <w:r w:rsidRPr="00162CA9">
        <w:rPr>
          <w:i/>
          <w:szCs w:val="19"/>
        </w:rPr>
        <w:t>Parliamentary Debates</w:t>
      </w:r>
      <w:r w:rsidRPr="00162CA9">
        <w:rPr>
          <w:szCs w:val="19"/>
        </w:rPr>
        <w:t xml:space="preserve">, House of Lords, 14 November 1911, vol 10, cc 113-66 </w:t>
      </w:r>
      <w:hyperlink r:id="rId2" w:anchor="S5LV0010P0_19111114_HOL_59" w:history="1">
        <w:r w:rsidRPr="00162CA9">
          <w:rPr>
            <w:rStyle w:val="Hyperlink"/>
            <w:szCs w:val="19"/>
          </w:rPr>
          <w:t>http://hansard.millbanksystems.com/lords/1911/nov/14/imperial-copyright#S5LV0010P0_19111114_HOL_59</w:t>
        </w:r>
      </w:hyperlink>
      <w:r w:rsidRPr="00162CA9">
        <w:rPr>
          <w:szCs w:val="19"/>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Default="001C15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Pr="001C15C4" w:rsidRDefault="001C15C4">
    <w:pPr>
      <w:pStyle w:val="Header"/>
      <w:rPr>
        <w:sz w:val="32"/>
        <w:szCs w:val="32"/>
        <w:lang w:val="en-AU"/>
      </w:rPr>
    </w:pPr>
    <w:r w:rsidRPr="001C15C4">
      <w:rPr>
        <w:sz w:val="32"/>
        <w:szCs w:val="32"/>
        <w:lang w:val="en-AU"/>
      </w:rPr>
      <w:t>113. Dr L Cradduck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C4" w:rsidRDefault="001C15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6AF2"/>
    <w:multiLevelType w:val="hybridMultilevel"/>
    <w:tmpl w:val="19647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D12885"/>
    <w:multiLevelType w:val="hybridMultilevel"/>
    <w:tmpl w:val="C15A35B2"/>
    <w:lvl w:ilvl="0" w:tplc="C5224D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493C5007"/>
    <w:multiLevelType w:val="hybridMultilevel"/>
    <w:tmpl w:val="D01A34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FC041BC"/>
    <w:multiLevelType w:val="multilevel"/>
    <w:tmpl w:val="53541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4814DD"/>
    <w:multiLevelType w:val="hybridMultilevel"/>
    <w:tmpl w:val="164CA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3E21332"/>
    <w:multiLevelType w:val="hybridMultilevel"/>
    <w:tmpl w:val="DDE64E6A"/>
    <w:lvl w:ilvl="0" w:tplc="1A5EFF2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6F166D7A"/>
    <w:multiLevelType w:val="hybridMultilevel"/>
    <w:tmpl w:val="535411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65733B"/>
    <w:rsid w:val="000014D0"/>
    <w:rsid w:val="00035D6B"/>
    <w:rsid w:val="001260C6"/>
    <w:rsid w:val="0015333F"/>
    <w:rsid w:val="00162CA9"/>
    <w:rsid w:val="00193849"/>
    <w:rsid w:val="001C15C4"/>
    <w:rsid w:val="001D42DF"/>
    <w:rsid w:val="001F6A37"/>
    <w:rsid w:val="00202191"/>
    <w:rsid w:val="00216C22"/>
    <w:rsid w:val="0023785F"/>
    <w:rsid w:val="00323096"/>
    <w:rsid w:val="00334C83"/>
    <w:rsid w:val="00364AD0"/>
    <w:rsid w:val="00375A61"/>
    <w:rsid w:val="003C6480"/>
    <w:rsid w:val="003D5CE1"/>
    <w:rsid w:val="00420E1A"/>
    <w:rsid w:val="0042316E"/>
    <w:rsid w:val="00436706"/>
    <w:rsid w:val="00445B75"/>
    <w:rsid w:val="00460A1C"/>
    <w:rsid w:val="00466C6D"/>
    <w:rsid w:val="004A1777"/>
    <w:rsid w:val="004B32E6"/>
    <w:rsid w:val="005047DC"/>
    <w:rsid w:val="00511C7F"/>
    <w:rsid w:val="00537E0A"/>
    <w:rsid w:val="005420D3"/>
    <w:rsid w:val="00543142"/>
    <w:rsid w:val="00560870"/>
    <w:rsid w:val="005649CE"/>
    <w:rsid w:val="005739C1"/>
    <w:rsid w:val="005E5684"/>
    <w:rsid w:val="0065733B"/>
    <w:rsid w:val="00692733"/>
    <w:rsid w:val="006B35BC"/>
    <w:rsid w:val="006C2B8D"/>
    <w:rsid w:val="00705BE9"/>
    <w:rsid w:val="007116A0"/>
    <w:rsid w:val="007258FA"/>
    <w:rsid w:val="00775CD1"/>
    <w:rsid w:val="007A3E41"/>
    <w:rsid w:val="00814640"/>
    <w:rsid w:val="00814B2E"/>
    <w:rsid w:val="00823FE8"/>
    <w:rsid w:val="0082407A"/>
    <w:rsid w:val="00895F0B"/>
    <w:rsid w:val="008C719E"/>
    <w:rsid w:val="008D2C0F"/>
    <w:rsid w:val="009127FE"/>
    <w:rsid w:val="00921EC5"/>
    <w:rsid w:val="00952BB5"/>
    <w:rsid w:val="009A3764"/>
    <w:rsid w:val="00A90E76"/>
    <w:rsid w:val="00B60477"/>
    <w:rsid w:val="00BA0039"/>
    <w:rsid w:val="00BA697C"/>
    <w:rsid w:val="00C14613"/>
    <w:rsid w:val="00CA73A6"/>
    <w:rsid w:val="00CD730E"/>
    <w:rsid w:val="00D4184A"/>
    <w:rsid w:val="00E92EBF"/>
    <w:rsid w:val="00EE47B5"/>
    <w:rsid w:val="00EF0476"/>
    <w:rsid w:val="00F00232"/>
    <w:rsid w:val="00F2695E"/>
    <w:rsid w:val="00F30D61"/>
    <w:rsid w:val="00F7502E"/>
    <w:rsid w:val="00FA15EB"/>
    <w:rsid w:val="00FE17DF"/>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359D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5733B"/>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uiPriority w:val="99"/>
    <w:rsid w:val="0065733B"/>
    <w:rPr>
      <w:rFonts w:ascii="Times New Roman" w:eastAsia="Times New Roman" w:hAnsi="Times New Roman" w:cs="Times New Roman"/>
      <w:sz w:val="20"/>
      <w:szCs w:val="20"/>
      <w:lang w:eastAsia="en-AU"/>
    </w:rPr>
  </w:style>
  <w:style w:type="character" w:styleId="FootnoteReference">
    <w:name w:val="footnote reference"/>
    <w:uiPriority w:val="99"/>
    <w:semiHidden/>
    <w:rsid w:val="0065733B"/>
    <w:rPr>
      <w:rFonts w:cs="Times New Roman"/>
      <w:vertAlign w:val="superscript"/>
    </w:rPr>
  </w:style>
  <w:style w:type="character" w:styleId="Hyperlink">
    <w:name w:val="Hyperlink"/>
    <w:uiPriority w:val="99"/>
    <w:rsid w:val="0065733B"/>
    <w:rPr>
      <w:rFonts w:cs="Times New Roman"/>
      <w:color w:val="0000FF"/>
      <w:u w:val="single"/>
    </w:rPr>
  </w:style>
  <w:style w:type="paragraph" w:styleId="Header">
    <w:name w:val="header"/>
    <w:basedOn w:val="Normal"/>
    <w:link w:val="HeaderChar"/>
    <w:uiPriority w:val="99"/>
    <w:unhideWhenUsed/>
    <w:rsid w:val="0065733B"/>
    <w:pPr>
      <w:tabs>
        <w:tab w:val="center" w:pos="4513"/>
        <w:tab w:val="right" w:pos="9026"/>
      </w:tabs>
    </w:pPr>
    <w:rPr>
      <w:rFonts w:ascii="Calibri" w:eastAsia="Times New Roman" w:hAnsi="Calibri"/>
      <w:sz w:val="20"/>
      <w:szCs w:val="20"/>
      <w:lang/>
    </w:rPr>
  </w:style>
  <w:style w:type="character" w:customStyle="1" w:styleId="HeaderChar">
    <w:name w:val="Header Char"/>
    <w:basedOn w:val="DefaultParagraphFont"/>
    <w:link w:val="Header"/>
    <w:uiPriority w:val="99"/>
    <w:rsid w:val="0065733B"/>
    <w:rPr>
      <w:rFonts w:ascii="Calibri" w:eastAsia="Times New Roman" w:hAnsi="Calibri" w:cs="Times New Roman"/>
      <w:sz w:val="20"/>
      <w:szCs w:val="20"/>
      <w:lang/>
    </w:rPr>
  </w:style>
  <w:style w:type="paragraph" w:styleId="Footer">
    <w:name w:val="footer"/>
    <w:basedOn w:val="Normal"/>
    <w:link w:val="FooterChar"/>
    <w:uiPriority w:val="99"/>
    <w:unhideWhenUsed/>
    <w:rsid w:val="0065733B"/>
    <w:pPr>
      <w:tabs>
        <w:tab w:val="center" w:pos="4513"/>
        <w:tab w:val="right" w:pos="9026"/>
      </w:tabs>
    </w:pPr>
    <w:rPr>
      <w:rFonts w:ascii="Calibri" w:eastAsia="Times New Roman" w:hAnsi="Calibri"/>
      <w:sz w:val="20"/>
      <w:szCs w:val="20"/>
      <w:lang/>
    </w:rPr>
  </w:style>
  <w:style w:type="character" w:customStyle="1" w:styleId="FooterChar">
    <w:name w:val="Footer Char"/>
    <w:basedOn w:val="DefaultParagraphFont"/>
    <w:link w:val="Footer"/>
    <w:uiPriority w:val="99"/>
    <w:rsid w:val="0065733B"/>
    <w:rPr>
      <w:rFonts w:ascii="Calibri" w:eastAsia="Times New Roman" w:hAnsi="Calibri" w:cs="Times New Roman"/>
      <w:sz w:val="20"/>
      <w:szCs w:val="20"/>
      <w:lang/>
    </w:rPr>
  </w:style>
  <w:style w:type="table" w:styleId="TableGrid">
    <w:name w:val="Table Grid"/>
    <w:basedOn w:val="TableNormal"/>
    <w:uiPriority w:val="59"/>
    <w:rsid w:val="0065733B"/>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5733B"/>
    <w:pPr>
      <w:autoSpaceDE w:val="0"/>
      <w:autoSpaceDN w:val="0"/>
      <w:adjustRightInd w:val="0"/>
    </w:pPr>
    <w:rPr>
      <w:rFonts w:ascii="Gill Sans MT" w:eastAsia="Times New Roman" w:hAnsi="Gill Sans MT" w:cs="Gill Sans MT"/>
      <w:color w:val="000000"/>
      <w:sz w:val="24"/>
      <w:szCs w:val="24"/>
    </w:rPr>
  </w:style>
  <w:style w:type="paragraph" w:styleId="NormalWeb">
    <w:name w:val="Normal (Web)"/>
    <w:basedOn w:val="Normal"/>
    <w:uiPriority w:val="99"/>
    <w:rsid w:val="0065733B"/>
    <w:pPr>
      <w:spacing w:before="100" w:beforeAutospacing="1" w:after="240"/>
    </w:pPr>
    <w:rPr>
      <w:rFonts w:ascii="Times New Roman" w:eastAsia="Times New Roman" w:hAnsi="Times New Roman"/>
      <w:lang w:val="en-AU" w:eastAsia="en-AU"/>
    </w:rPr>
  </w:style>
  <w:style w:type="character" w:customStyle="1" w:styleId="BodyText2Char">
    <w:name w:val="Body Text 2 Char"/>
    <w:rsid w:val="0065733B"/>
    <w:rPr>
      <w:rFonts w:ascii="Arial" w:hAnsi="Arial" w:cs="Arial" w:hint="default"/>
      <w:noProof w:val="0"/>
      <w:sz w:val="24"/>
      <w:lang w:val="en-US" w:eastAsia="en-AU" w:bidi="ar-SA"/>
    </w:rPr>
  </w:style>
  <w:style w:type="character" w:styleId="Emphasis">
    <w:name w:val="Emphasis"/>
    <w:uiPriority w:val="20"/>
    <w:qFormat/>
    <w:rsid w:val="0065733B"/>
    <w:rPr>
      <w:i/>
      <w:iCs/>
    </w:rPr>
  </w:style>
  <w:style w:type="character" w:styleId="FollowedHyperlink">
    <w:name w:val="FollowedHyperlink"/>
    <w:uiPriority w:val="99"/>
    <w:semiHidden/>
    <w:unhideWhenUsed/>
    <w:rsid w:val="0065733B"/>
    <w:rPr>
      <w:color w:val="800080"/>
      <w:u w:val="single"/>
    </w:rPr>
  </w:style>
  <w:style w:type="paragraph" w:customStyle="1" w:styleId="subsection">
    <w:name w:val="subsection"/>
    <w:basedOn w:val="Normal"/>
    <w:rsid w:val="0065733B"/>
    <w:pPr>
      <w:spacing w:before="100" w:beforeAutospacing="1" w:after="100" w:afterAutospacing="1"/>
    </w:pPr>
    <w:rPr>
      <w:rFonts w:ascii="Times New Roman" w:eastAsia="Times New Roman" w:hAnsi="Times New Roman"/>
      <w:lang w:val="en-AU" w:eastAsia="en-AU"/>
    </w:rPr>
  </w:style>
  <w:style w:type="character" w:styleId="CommentReference">
    <w:name w:val="annotation reference"/>
    <w:rsid w:val="0065733B"/>
    <w:rPr>
      <w:sz w:val="16"/>
      <w:szCs w:val="16"/>
    </w:rPr>
  </w:style>
  <w:style w:type="paragraph" w:styleId="CommentText">
    <w:name w:val="annotation text"/>
    <w:basedOn w:val="Normal"/>
    <w:link w:val="CommentTextChar"/>
    <w:rsid w:val="0065733B"/>
    <w:pPr>
      <w:spacing w:after="200" w:line="276" w:lineRule="auto"/>
    </w:pPr>
    <w:rPr>
      <w:rFonts w:ascii="Calibri" w:eastAsia="Times New Roman" w:hAnsi="Calibri"/>
      <w:sz w:val="20"/>
      <w:szCs w:val="20"/>
      <w:lang/>
    </w:rPr>
  </w:style>
  <w:style w:type="character" w:customStyle="1" w:styleId="CommentTextChar">
    <w:name w:val="Comment Text Char"/>
    <w:basedOn w:val="DefaultParagraphFont"/>
    <w:link w:val="CommentText"/>
    <w:rsid w:val="0065733B"/>
    <w:rPr>
      <w:rFonts w:ascii="Calibri" w:eastAsia="Times New Roman" w:hAnsi="Calibri" w:cs="Times New Roman"/>
      <w:sz w:val="20"/>
      <w:szCs w:val="20"/>
      <w:lang/>
    </w:rPr>
  </w:style>
  <w:style w:type="paragraph" w:styleId="CommentSubject">
    <w:name w:val="annotation subject"/>
    <w:basedOn w:val="CommentText"/>
    <w:next w:val="CommentText"/>
    <w:link w:val="CommentSubjectChar"/>
    <w:rsid w:val="0065733B"/>
    <w:rPr>
      <w:b/>
      <w:bCs/>
    </w:rPr>
  </w:style>
  <w:style w:type="character" w:customStyle="1" w:styleId="CommentSubjectChar">
    <w:name w:val="Comment Subject Char"/>
    <w:basedOn w:val="CommentTextChar"/>
    <w:link w:val="CommentSubject"/>
    <w:rsid w:val="0065733B"/>
    <w:rPr>
      <w:rFonts w:ascii="Calibri" w:eastAsia="Times New Roman" w:hAnsi="Calibri" w:cs="Times New Roman"/>
      <w:b/>
      <w:bCs/>
      <w:sz w:val="20"/>
      <w:szCs w:val="20"/>
      <w:lang/>
    </w:rPr>
  </w:style>
  <w:style w:type="paragraph" w:styleId="BalloonText">
    <w:name w:val="Balloon Text"/>
    <w:basedOn w:val="Normal"/>
    <w:link w:val="BalloonTextChar"/>
    <w:rsid w:val="0065733B"/>
    <w:rPr>
      <w:rFonts w:ascii="Segoe UI" w:eastAsia="Times New Roman" w:hAnsi="Segoe UI"/>
      <w:sz w:val="18"/>
      <w:szCs w:val="18"/>
      <w:lang/>
    </w:rPr>
  </w:style>
  <w:style w:type="character" w:customStyle="1" w:styleId="BalloonTextChar">
    <w:name w:val="Balloon Text Char"/>
    <w:basedOn w:val="DefaultParagraphFont"/>
    <w:link w:val="BalloonText"/>
    <w:rsid w:val="0065733B"/>
    <w:rPr>
      <w:rFonts w:ascii="Segoe UI" w:eastAsia="Times New Roman" w:hAnsi="Segoe UI" w:cs="Times New Roman"/>
      <w:sz w:val="18"/>
      <w:szCs w:val="18"/>
      <w:lang/>
    </w:rPr>
  </w:style>
  <w:style w:type="paragraph" w:styleId="HTMLPreformatted">
    <w:name w:val="HTML Preformatted"/>
    <w:basedOn w:val="Normal"/>
    <w:link w:val="HTMLPreformattedChar"/>
    <w:uiPriority w:val="99"/>
    <w:unhideWhenUsed/>
    <w:rsid w:val="00A90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A90E76"/>
    <w:rPr>
      <w:rFonts w:ascii="Courier New" w:eastAsia="Times New Roman" w:hAnsi="Courier New" w:cs="Courier New"/>
    </w:rPr>
  </w:style>
  <w:style w:type="paragraph" w:styleId="EndnoteText">
    <w:name w:val="endnote text"/>
    <w:basedOn w:val="Normal"/>
    <w:link w:val="EndnoteTextChar"/>
    <w:uiPriority w:val="99"/>
    <w:semiHidden/>
    <w:unhideWhenUsed/>
    <w:rsid w:val="00B60477"/>
    <w:rPr>
      <w:sz w:val="20"/>
      <w:szCs w:val="20"/>
    </w:rPr>
  </w:style>
  <w:style w:type="character" w:customStyle="1" w:styleId="EndnoteTextChar">
    <w:name w:val="Endnote Text Char"/>
    <w:basedOn w:val="DefaultParagraphFont"/>
    <w:link w:val="EndnoteText"/>
    <w:uiPriority w:val="99"/>
    <w:semiHidden/>
    <w:rsid w:val="00B60477"/>
    <w:rPr>
      <w:lang w:val="en-US" w:eastAsia="en-US"/>
    </w:rPr>
  </w:style>
  <w:style w:type="character" w:styleId="EndnoteReference">
    <w:name w:val="endnote reference"/>
    <w:basedOn w:val="DefaultParagraphFont"/>
    <w:uiPriority w:val="99"/>
    <w:semiHidden/>
    <w:unhideWhenUsed/>
    <w:rsid w:val="00B604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359D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5733B"/>
    <w:rPr>
      <w:rFonts w:ascii="Times New Roman" w:eastAsia="Times New Roman" w:hAnsi="Times New Roman"/>
      <w:sz w:val="20"/>
      <w:szCs w:val="20"/>
      <w:lang w:val="x-none" w:eastAsia="en-AU"/>
    </w:rPr>
  </w:style>
  <w:style w:type="character" w:customStyle="1" w:styleId="FootnoteTextChar">
    <w:name w:val="Footnote Text Char"/>
    <w:basedOn w:val="DefaultParagraphFont"/>
    <w:link w:val="FootnoteText"/>
    <w:uiPriority w:val="99"/>
    <w:rsid w:val="0065733B"/>
    <w:rPr>
      <w:rFonts w:ascii="Times New Roman" w:eastAsia="Times New Roman" w:hAnsi="Times New Roman" w:cs="Times New Roman"/>
      <w:sz w:val="20"/>
      <w:szCs w:val="20"/>
      <w:lang w:val="x-none" w:eastAsia="en-AU"/>
    </w:rPr>
  </w:style>
  <w:style w:type="character" w:styleId="FootnoteReference">
    <w:name w:val="footnote reference"/>
    <w:uiPriority w:val="99"/>
    <w:semiHidden/>
    <w:rsid w:val="0065733B"/>
    <w:rPr>
      <w:rFonts w:cs="Times New Roman"/>
      <w:vertAlign w:val="superscript"/>
    </w:rPr>
  </w:style>
  <w:style w:type="character" w:styleId="Hyperlink">
    <w:name w:val="Hyperlink"/>
    <w:uiPriority w:val="99"/>
    <w:rsid w:val="0065733B"/>
    <w:rPr>
      <w:rFonts w:cs="Times New Roman"/>
      <w:color w:val="0000FF"/>
      <w:u w:val="single"/>
    </w:rPr>
  </w:style>
  <w:style w:type="paragraph" w:styleId="Header">
    <w:name w:val="header"/>
    <w:basedOn w:val="Normal"/>
    <w:link w:val="HeaderChar"/>
    <w:uiPriority w:val="99"/>
    <w:unhideWhenUsed/>
    <w:rsid w:val="0065733B"/>
    <w:pPr>
      <w:tabs>
        <w:tab w:val="center" w:pos="4513"/>
        <w:tab w:val="right" w:pos="9026"/>
      </w:tabs>
    </w:pPr>
    <w:rPr>
      <w:rFonts w:ascii="Calibri" w:eastAsia="Times New Roman" w:hAnsi="Calibri"/>
      <w:sz w:val="20"/>
      <w:szCs w:val="20"/>
      <w:lang w:val="x-none" w:eastAsia="x-none"/>
    </w:rPr>
  </w:style>
  <w:style w:type="character" w:customStyle="1" w:styleId="HeaderChar">
    <w:name w:val="Header Char"/>
    <w:basedOn w:val="DefaultParagraphFont"/>
    <w:link w:val="Header"/>
    <w:uiPriority w:val="99"/>
    <w:rsid w:val="0065733B"/>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65733B"/>
    <w:pPr>
      <w:tabs>
        <w:tab w:val="center" w:pos="4513"/>
        <w:tab w:val="right" w:pos="9026"/>
      </w:tabs>
    </w:pPr>
    <w:rPr>
      <w:rFonts w:ascii="Calibri" w:eastAsia="Times New Roman" w:hAnsi="Calibri"/>
      <w:sz w:val="20"/>
      <w:szCs w:val="20"/>
      <w:lang w:val="x-none" w:eastAsia="x-none"/>
    </w:rPr>
  </w:style>
  <w:style w:type="character" w:customStyle="1" w:styleId="FooterChar">
    <w:name w:val="Footer Char"/>
    <w:basedOn w:val="DefaultParagraphFont"/>
    <w:link w:val="Footer"/>
    <w:uiPriority w:val="99"/>
    <w:rsid w:val="0065733B"/>
    <w:rPr>
      <w:rFonts w:ascii="Calibri" w:eastAsia="Times New Roman" w:hAnsi="Calibri" w:cs="Times New Roman"/>
      <w:sz w:val="20"/>
      <w:szCs w:val="20"/>
      <w:lang w:val="x-none" w:eastAsia="x-none"/>
    </w:rPr>
  </w:style>
  <w:style w:type="table" w:styleId="TableGrid">
    <w:name w:val="Table Grid"/>
    <w:basedOn w:val="TableNormal"/>
    <w:uiPriority w:val="59"/>
    <w:rsid w:val="0065733B"/>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5733B"/>
    <w:pPr>
      <w:autoSpaceDE w:val="0"/>
      <w:autoSpaceDN w:val="0"/>
      <w:adjustRightInd w:val="0"/>
    </w:pPr>
    <w:rPr>
      <w:rFonts w:ascii="Gill Sans MT" w:eastAsia="Times New Roman" w:hAnsi="Gill Sans MT" w:cs="Gill Sans MT"/>
      <w:color w:val="000000"/>
      <w:sz w:val="24"/>
      <w:szCs w:val="24"/>
    </w:rPr>
  </w:style>
  <w:style w:type="paragraph" w:styleId="NormalWeb">
    <w:name w:val="Normal (Web)"/>
    <w:basedOn w:val="Normal"/>
    <w:uiPriority w:val="99"/>
    <w:rsid w:val="0065733B"/>
    <w:pPr>
      <w:spacing w:before="100" w:beforeAutospacing="1" w:after="240"/>
    </w:pPr>
    <w:rPr>
      <w:rFonts w:ascii="Times New Roman" w:eastAsia="Times New Roman" w:hAnsi="Times New Roman"/>
      <w:lang w:val="en-AU" w:eastAsia="en-AU"/>
    </w:rPr>
  </w:style>
  <w:style w:type="character" w:customStyle="1" w:styleId="BodyText2Char">
    <w:name w:val="Body Text 2 Char"/>
    <w:rsid w:val="0065733B"/>
    <w:rPr>
      <w:rFonts w:ascii="Arial" w:hAnsi="Arial" w:cs="Arial" w:hint="default"/>
      <w:noProof w:val="0"/>
      <w:sz w:val="24"/>
      <w:lang w:val="en-US" w:eastAsia="en-AU" w:bidi="ar-SA"/>
    </w:rPr>
  </w:style>
  <w:style w:type="character" w:styleId="Emphasis">
    <w:name w:val="Emphasis"/>
    <w:uiPriority w:val="20"/>
    <w:qFormat/>
    <w:rsid w:val="0065733B"/>
    <w:rPr>
      <w:i/>
      <w:iCs/>
    </w:rPr>
  </w:style>
  <w:style w:type="character" w:styleId="FollowedHyperlink">
    <w:name w:val="FollowedHyperlink"/>
    <w:uiPriority w:val="99"/>
    <w:semiHidden/>
    <w:unhideWhenUsed/>
    <w:rsid w:val="0065733B"/>
    <w:rPr>
      <w:color w:val="800080"/>
      <w:u w:val="single"/>
    </w:rPr>
  </w:style>
  <w:style w:type="paragraph" w:customStyle="1" w:styleId="subsection">
    <w:name w:val="subsection"/>
    <w:basedOn w:val="Normal"/>
    <w:rsid w:val="0065733B"/>
    <w:pPr>
      <w:spacing w:before="100" w:beforeAutospacing="1" w:after="100" w:afterAutospacing="1"/>
    </w:pPr>
    <w:rPr>
      <w:rFonts w:ascii="Times New Roman" w:eastAsia="Times New Roman" w:hAnsi="Times New Roman"/>
      <w:lang w:val="en-AU" w:eastAsia="en-AU"/>
    </w:rPr>
  </w:style>
  <w:style w:type="character" w:styleId="CommentReference">
    <w:name w:val="annotation reference"/>
    <w:rsid w:val="0065733B"/>
    <w:rPr>
      <w:sz w:val="16"/>
      <w:szCs w:val="16"/>
    </w:rPr>
  </w:style>
  <w:style w:type="paragraph" w:styleId="CommentText">
    <w:name w:val="annotation text"/>
    <w:basedOn w:val="Normal"/>
    <w:link w:val="CommentTextChar"/>
    <w:rsid w:val="0065733B"/>
    <w:pPr>
      <w:spacing w:after="200" w:line="276" w:lineRule="auto"/>
    </w:pPr>
    <w:rPr>
      <w:rFonts w:ascii="Calibri" w:eastAsia="Times New Roman" w:hAnsi="Calibri"/>
      <w:sz w:val="20"/>
      <w:szCs w:val="20"/>
      <w:lang w:val="x-none"/>
    </w:rPr>
  </w:style>
  <w:style w:type="character" w:customStyle="1" w:styleId="CommentTextChar">
    <w:name w:val="Comment Text Char"/>
    <w:basedOn w:val="DefaultParagraphFont"/>
    <w:link w:val="CommentText"/>
    <w:rsid w:val="0065733B"/>
    <w:rPr>
      <w:rFonts w:ascii="Calibri" w:eastAsia="Times New Roman" w:hAnsi="Calibri" w:cs="Times New Roman"/>
      <w:sz w:val="20"/>
      <w:szCs w:val="20"/>
      <w:lang w:val="x-none"/>
    </w:rPr>
  </w:style>
  <w:style w:type="paragraph" w:styleId="CommentSubject">
    <w:name w:val="annotation subject"/>
    <w:basedOn w:val="CommentText"/>
    <w:next w:val="CommentText"/>
    <w:link w:val="CommentSubjectChar"/>
    <w:rsid w:val="0065733B"/>
    <w:rPr>
      <w:b/>
      <w:bCs/>
    </w:rPr>
  </w:style>
  <w:style w:type="character" w:customStyle="1" w:styleId="CommentSubjectChar">
    <w:name w:val="Comment Subject Char"/>
    <w:basedOn w:val="CommentTextChar"/>
    <w:link w:val="CommentSubject"/>
    <w:rsid w:val="0065733B"/>
    <w:rPr>
      <w:rFonts w:ascii="Calibri" w:eastAsia="Times New Roman" w:hAnsi="Calibri" w:cs="Times New Roman"/>
      <w:b/>
      <w:bCs/>
      <w:sz w:val="20"/>
      <w:szCs w:val="20"/>
      <w:lang w:val="x-none"/>
    </w:rPr>
  </w:style>
  <w:style w:type="paragraph" w:styleId="BalloonText">
    <w:name w:val="Balloon Text"/>
    <w:basedOn w:val="Normal"/>
    <w:link w:val="BalloonTextChar"/>
    <w:rsid w:val="0065733B"/>
    <w:rPr>
      <w:rFonts w:ascii="Segoe UI" w:eastAsia="Times New Roman" w:hAnsi="Segoe UI"/>
      <w:sz w:val="18"/>
      <w:szCs w:val="18"/>
      <w:lang w:val="x-none"/>
    </w:rPr>
  </w:style>
  <w:style w:type="character" w:customStyle="1" w:styleId="BalloonTextChar">
    <w:name w:val="Balloon Text Char"/>
    <w:basedOn w:val="DefaultParagraphFont"/>
    <w:link w:val="BalloonText"/>
    <w:rsid w:val="0065733B"/>
    <w:rPr>
      <w:rFonts w:ascii="Segoe UI" w:eastAsia="Times New Roman" w:hAnsi="Segoe UI" w:cs="Times New Roman"/>
      <w:sz w:val="18"/>
      <w:szCs w:val="18"/>
      <w:lang w:val="x-none"/>
    </w:rPr>
  </w:style>
  <w:style w:type="paragraph" w:styleId="HTMLPreformatted">
    <w:name w:val="HTML Preformatted"/>
    <w:basedOn w:val="Normal"/>
    <w:link w:val="HTMLPreformattedChar"/>
    <w:uiPriority w:val="99"/>
    <w:unhideWhenUsed/>
    <w:rsid w:val="00A90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A90E76"/>
    <w:rPr>
      <w:rFonts w:ascii="Courier New" w:eastAsia="Times New Roman" w:hAnsi="Courier New" w:cs="Courier New"/>
    </w:rPr>
  </w:style>
  <w:style w:type="paragraph" w:styleId="EndnoteText">
    <w:name w:val="endnote text"/>
    <w:basedOn w:val="Normal"/>
    <w:link w:val="EndnoteTextChar"/>
    <w:uiPriority w:val="99"/>
    <w:semiHidden/>
    <w:unhideWhenUsed/>
    <w:rsid w:val="00B60477"/>
    <w:rPr>
      <w:sz w:val="20"/>
      <w:szCs w:val="20"/>
    </w:rPr>
  </w:style>
  <w:style w:type="character" w:customStyle="1" w:styleId="EndnoteTextChar">
    <w:name w:val="Endnote Text Char"/>
    <w:basedOn w:val="DefaultParagraphFont"/>
    <w:link w:val="EndnoteText"/>
    <w:uiPriority w:val="99"/>
    <w:semiHidden/>
    <w:rsid w:val="00B60477"/>
    <w:rPr>
      <w:lang w:val="en-US" w:eastAsia="en-US"/>
    </w:rPr>
  </w:style>
  <w:style w:type="character" w:styleId="EndnoteReference">
    <w:name w:val="endnote reference"/>
    <w:basedOn w:val="DefaultParagraphFont"/>
    <w:uiPriority w:val="99"/>
    <w:semiHidden/>
    <w:unhideWhenUsed/>
    <w:rsid w:val="00B6047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hansard.millbanksystems.com/lords/1911/nov/14/imperial-copyright" TargetMode="External"/><Relationship Id="rId1" Type="http://schemas.openxmlformats.org/officeDocument/2006/relationships/hyperlink" Target="http://hansard.millbanksystems.com/lords/1911/nov/14/imperial-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F0C7-E6D8-4923-AF41-7B8AA49B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8064</Characters>
  <Application>Microsoft Office Word</Application>
  <DocSecurity>0</DocSecurity>
  <Lines>122</Lines>
  <Paragraphs>20</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9597</CharactersWithSpaces>
  <SharedDoc>false</SharedDoc>
  <HLinks>
    <vt:vector size="6" baseType="variant">
      <vt:variant>
        <vt:i4>1966110</vt:i4>
      </vt:variant>
      <vt:variant>
        <vt:i4>0</vt:i4>
      </vt:variant>
      <vt:variant>
        <vt:i4>0</vt:i4>
      </vt:variant>
      <vt:variant>
        <vt:i4>5</vt:i4>
      </vt:variant>
      <vt:variant>
        <vt:lpwstr>http://hansard.millbanksystems.com/lords/1911/nov/14/imperial-copyright</vt:lpwstr>
      </vt:variant>
      <vt:variant>
        <vt:lpwstr>S5LV0010P0_19111114_HOL_59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Cradduck</dc:creator>
  <cp:lastModifiedBy>tina.obrien</cp:lastModifiedBy>
  <cp:revision>2</cp:revision>
  <cp:lastPrinted>2015-09-21T05:49:00Z</cp:lastPrinted>
  <dcterms:created xsi:type="dcterms:W3CDTF">2015-09-21T05:49:00Z</dcterms:created>
  <dcterms:modified xsi:type="dcterms:W3CDTF">2015-09-21T05:49:00Z</dcterms:modified>
</cp:coreProperties>
</file>