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27" w:rsidRDefault="00502E27" w:rsidP="007C377F">
      <w:pPr>
        <w:jc w:val="both"/>
        <w:rPr>
          <w:rFonts w:ascii="Arial" w:hAnsi="Arial" w:cs="Arial"/>
          <w:lang w:val="en-AU"/>
        </w:rPr>
      </w:pPr>
    </w:p>
    <w:p w:rsidR="008517E4" w:rsidRPr="00652FB2" w:rsidRDefault="009A2FDB" w:rsidP="007C377F">
      <w:pPr>
        <w:jc w:val="both"/>
        <w:rPr>
          <w:rFonts w:ascii="Arial" w:hAnsi="Arial" w:cs="Arial"/>
          <w:lang w:val="en-AU"/>
        </w:rPr>
      </w:pPr>
      <w:r w:rsidRPr="00652FB2">
        <w:rPr>
          <w:rFonts w:ascii="Arial" w:hAnsi="Arial" w:cs="Arial"/>
          <w:lang w:val="en-AU"/>
        </w:rPr>
        <w:t>18 August</w:t>
      </w:r>
      <w:r w:rsidR="008517E4" w:rsidRPr="00652FB2">
        <w:rPr>
          <w:rFonts w:ascii="Arial" w:hAnsi="Arial" w:cs="Arial"/>
          <w:lang w:val="en-AU"/>
        </w:rPr>
        <w:t xml:space="preserve"> 2016</w:t>
      </w:r>
    </w:p>
    <w:p w:rsidR="009A2FDB" w:rsidRPr="00652FB2" w:rsidRDefault="009A2FDB" w:rsidP="007C377F">
      <w:pPr>
        <w:spacing w:after="0" w:line="240" w:lineRule="auto"/>
        <w:jc w:val="both"/>
        <w:rPr>
          <w:rFonts w:ascii="Arial" w:hAnsi="Arial" w:cs="Arial"/>
          <w:lang w:val="en-AU"/>
        </w:rPr>
      </w:pPr>
      <w:r w:rsidRPr="00652FB2">
        <w:rPr>
          <w:rFonts w:ascii="Arial" w:hAnsi="Arial" w:cs="Arial"/>
          <w:lang w:val="en-AU"/>
        </w:rPr>
        <w:t>Australian Law Reform Commission</w:t>
      </w:r>
    </w:p>
    <w:p w:rsidR="009A2FDB" w:rsidRPr="00652FB2" w:rsidRDefault="009A2FDB" w:rsidP="007C377F">
      <w:pPr>
        <w:spacing w:after="0" w:line="240" w:lineRule="auto"/>
        <w:jc w:val="both"/>
        <w:rPr>
          <w:rFonts w:ascii="Arial" w:hAnsi="Arial" w:cs="Arial"/>
          <w:lang w:val="en-AU"/>
        </w:rPr>
      </w:pPr>
      <w:r w:rsidRPr="00652FB2">
        <w:rPr>
          <w:rFonts w:ascii="Arial" w:hAnsi="Arial" w:cs="Arial"/>
          <w:lang w:val="en-AU"/>
        </w:rPr>
        <w:t>GPO Box 3708</w:t>
      </w:r>
    </w:p>
    <w:p w:rsidR="008517E4" w:rsidRPr="00652FB2" w:rsidRDefault="009A2FDB" w:rsidP="005564D0">
      <w:pPr>
        <w:spacing w:after="0" w:line="240" w:lineRule="auto"/>
        <w:rPr>
          <w:rFonts w:ascii="Arial" w:hAnsi="Arial" w:cs="Arial"/>
          <w:lang w:val="en-AU"/>
        </w:rPr>
      </w:pPr>
      <w:r w:rsidRPr="00652FB2">
        <w:rPr>
          <w:rFonts w:ascii="Arial" w:hAnsi="Arial" w:cs="Arial"/>
          <w:lang w:val="en-AU"/>
        </w:rPr>
        <w:t>SYDNEY NSW 2001</w:t>
      </w:r>
      <w:r w:rsidR="008517E4" w:rsidRPr="00652FB2">
        <w:rPr>
          <w:rFonts w:ascii="Arial" w:hAnsi="Arial" w:cs="Arial"/>
          <w:color w:val="000000"/>
          <w:sz w:val="18"/>
          <w:szCs w:val="18"/>
        </w:rPr>
        <w:br/>
      </w:r>
    </w:p>
    <w:p w:rsidR="008517E4" w:rsidRPr="00652FB2" w:rsidRDefault="008517E4" w:rsidP="007C377F">
      <w:pPr>
        <w:spacing w:line="240" w:lineRule="auto"/>
        <w:jc w:val="both"/>
        <w:rPr>
          <w:rFonts w:ascii="Arial" w:hAnsi="Arial" w:cs="Arial"/>
          <w:lang w:val="en-AU"/>
        </w:rPr>
      </w:pPr>
      <w:r w:rsidRPr="00652FB2">
        <w:rPr>
          <w:rFonts w:ascii="Arial" w:hAnsi="Arial" w:cs="Arial"/>
          <w:lang w:val="en-AU"/>
        </w:rPr>
        <w:t>Dear Sirs/Madam</w:t>
      </w:r>
    </w:p>
    <w:p w:rsidR="008517E4" w:rsidRPr="00652FB2" w:rsidRDefault="009A2FDB" w:rsidP="007C377F">
      <w:pPr>
        <w:jc w:val="both"/>
        <w:rPr>
          <w:rFonts w:ascii="Arial" w:hAnsi="Arial" w:cs="Arial"/>
          <w:b/>
          <w:lang w:val="en-AU"/>
        </w:rPr>
      </w:pPr>
      <w:r w:rsidRPr="00652FB2">
        <w:rPr>
          <w:rFonts w:ascii="Arial" w:hAnsi="Arial" w:cs="Arial"/>
          <w:b/>
          <w:lang w:val="en-AU"/>
        </w:rPr>
        <w:t>Issues Paper 47: Elder Abuse</w:t>
      </w:r>
    </w:p>
    <w:p w:rsidR="008517E4" w:rsidRPr="00652FB2" w:rsidRDefault="008517E4" w:rsidP="007C377F">
      <w:pPr>
        <w:jc w:val="both"/>
        <w:rPr>
          <w:rFonts w:ascii="Arial" w:hAnsi="Arial" w:cs="Arial"/>
          <w:lang w:val="en-AU"/>
        </w:rPr>
      </w:pPr>
      <w:r w:rsidRPr="00652FB2">
        <w:rPr>
          <w:rFonts w:ascii="Arial" w:hAnsi="Arial" w:cs="Arial"/>
          <w:lang w:val="en-AU"/>
        </w:rPr>
        <w:t>The Consumer Credit Legal Service</w:t>
      </w:r>
      <w:r w:rsidR="00C318C9">
        <w:rPr>
          <w:rFonts w:ascii="Arial" w:hAnsi="Arial" w:cs="Arial"/>
          <w:lang w:val="en-AU"/>
        </w:rPr>
        <w:t xml:space="preserve"> (WA) Inc.</w:t>
      </w:r>
      <w:r w:rsidRPr="00652FB2">
        <w:rPr>
          <w:rFonts w:ascii="Arial" w:hAnsi="Arial" w:cs="Arial"/>
          <w:lang w:val="en-AU"/>
        </w:rPr>
        <w:t xml:space="preserve"> welcomes the opportunity to comment on the consultation questions on </w:t>
      </w:r>
      <w:r w:rsidR="009A2FDB" w:rsidRPr="00652FB2">
        <w:rPr>
          <w:rFonts w:ascii="Arial" w:hAnsi="Arial" w:cs="Arial"/>
          <w:lang w:val="en-AU"/>
        </w:rPr>
        <w:t xml:space="preserve">Elder Abuse as outlined in </w:t>
      </w:r>
      <w:r w:rsidR="0068565F">
        <w:rPr>
          <w:rFonts w:ascii="Arial" w:hAnsi="Arial" w:cs="Arial"/>
          <w:lang w:val="en-AU"/>
        </w:rPr>
        <w:t xml:space="preserve">the </w:t>
      </w:r>
      <w:r w:rsidRPr="00652FB2">
        <w:rPr>
          <w:rFonts w:ascii="Arial" w:hAnsi="Arial" w:cs="Arial"/>
          <w:lang w:val="en-AU"/>
        </w:rPr>
        <w:t xml:space="preserve">issues paper. </w:t>
      </w:r>
    </w:p>
    <w:p w:rsidR="008517E4" w:rsidRPr="00652FB2" w:rsidRDefault="008B1534" w:rsidP="007C377F">
      <w:pPr>
        <w:jc w:val="both"/>
        <w:rPr>
          <w:rFonts w:ascii="Arial" w:hAnsi="Arial" w:cs="Arial"/>
          <w:lang w:val="en-AU"/>
        </w:rPr>
      </w:pPr>
      <w:proofErr w:type="gramStart"/>
      <w:r w:rsidRPr="00652FB2">
        <w:rPr>
          <w:rFonts w:ascii="Arial" w:hAnsi="Arial" w:cs="Arial"/>
          <w:lang w:val="en-AU"/>
        </w:rPr>
        <w:t xml:space="preserve">Given </w:t>
      </w:r>
      <w:r w:rsidR="00BD3CB0">
        <w:rPr>
          <w:rFonts w:ascii="Arial" w:hAnsi="Arial" w:cs="Arial"/>
          <w:lang w:val="en-AU"/>
        </w:rPr>
        <w:t>the</w:t>
      </w:r>
      <w:r w:rsidRPr="00652FB2">
        <w:rPr>
          <w:rFonts w:ascii="Arial" w:hAnsi="Arial" w:cs="Arial"/>
          <w:lang w:val="en-AU"/>
        </w:rPr>
        <w:t xml:space="preserve"> specialist nature</w:t>
      </w:r>
      <w:r w:rsidR="00BD3CB0">
        <w:rPr>
          <w:rFonts w:ascii="Arial" w:hAnsi="Arial" w:cs="Arial"/>
          <w:lang w:val="en-AU"/>
        </w:rPr>
        <w:t xml:space="preserve"> of our legal service</w:t>
      </w:r>
      <w:r w:rsidRPr="00652FB2">
        <w:rPr>
          <w:rFonts w:ascii="Arial" w:hAnsi="Arial" w:cs="Arial"/>
          <w:lang w:val="en-AU"/>
        </w:rPr>
        <w:t>, o</w:t>
      </w:r>
      <w:r w:rsidR="008517E4" w:rsidRPr="00652FB2">
        <w:rPr>
          <w:rFonts w:ascii="Arial" w:hAnsi="Arial" w:cs="Arial"/>
          <w:lang w:val="en-AU"/>
        </w:rPr>
        <w:t xml:space="preserve">ur submission </w:t>
      </w:r>
      <w:r w:rsidR="0068565F" w:rsidRPr="00652FB2">
        <w:rPr>
          <w:rFonts w:ascii="Arial" w:hAnsi="Arial" w:cs="Arial"/>
          <w:lang w:val="en-AU"/>
        </w:rPr>
        <w:t xml:space="preserve">only </w:t>
      </w:r>
      <w:r w:rsidR="008517E4" w:rsidRPr="00652FB2">
        <w:rPr>
          <w:rFonts w:ascii="Arial" w:hAnsi="Arial" w:cs="Arial"/>
          <w:lang w:val="en-AU"/>
        </w:rPr>
        <w:t xml:space="preserve">addresses </w:t>
      </w:r>
      <w:r w:rsidRPr="00652FB2">
        <w:rPr>
          <w:rFonts w:ascii="Arial" w:hAnsi="Arial" w:cs="Arial"/>
          <w:lang w:val="en-AU"/>
        </w:rPr>
        <w:t>questions 25 and 26 of the issues paper.</w:t>
      </w:r>
      <w:proofErr w:type="gramEnd"/>
      <w:r w:rsidR="008517E4" w:rsidRPr="00652FB2">
        <w:rPr>
          <w:rFonts w:ascii="Arial" w:hAnsi="Arial" w:cs="Arial"/>
          <w:lang w:val="en-AU"/>
        </w:rPr>
        <w:t xml:space="preserve"> </w:t>
      </w:r>
    </w:p>
    <w:p w:rsidR="008517E4" w:rsidRPr="00652FB2" w:rsidRDefault="008517E4" w:rsidP="007C377F">
      <w:pPr>
        <w:pStyle w:val="ListParagraph"/>
        <w:numPr>
          <w:ilvl w:val="0"/>
          <w:numId w:val="5"/>
        </w:numPr>
        <w:jc w:val="both"/>
        <w:rPr>
          <w:rFonts w:ascii="Arial" w:hAnsi="Arial" w:cs="Arial"/>
          <w:b/>
        </w:rPr>
      </w:pPr>
      <w:r w:rsidRPr="00652FB2">
        <w:rPr>
          <w:rFonts w:ascii="Arial" w:hAnsi="Arial" w:cs="Arial"/>
          <w:b/>
        </w:rPr>
        <w:t>About Consumer Credit Legal Service (WA)</w:t>
      </w:r>
    </w:p>
    <w:p w:rsidR="008517E4" w:rsidRPr="00652FB2" w:rsidRDefault="008517E4" w:rsidP="007C377F">
      <w:pPr>
        <w:jc w:val="both"/>
        <w:rPr>
          <w:rFonts w:ascii="Arial" w:hAnsi="Arial" w:cs="Arial"/>
        </w:rPr>
      </w:pPr>
      <w:r w:rsidRPr="00652FB2">
        <w:rPr>
          <w:rFonts w:ascii="Arial" w:hAnsi="Arial" w:cs="Arial"/>
        </w:rPr>
        <w:t>Consumer Credit Legal Service (WA) Inc. (</w:t>
      </w:r>
      <w:r w:rsidRPr="00652FB2">
        <w:rPr>
          <w:rFonts w:ascii="Arial" w:hAnsi="Arial" w:cs="Arial"/>
          <w:b/>
          <w:bCs/>
        </w:rPr>
        <w:t>CCLSWA</w:t>
      </w:r>
      <w:r w:rsidRPr="00652FB2">
        <w:rPr>
          <w:rFonts w:ascii="Arial" w:hAnsi="Arial" w:cs="Arial"/>
        </w:rPr>
        <w:t xml:space="preserve">) is a not-for-profit community legal centre based in metropolitan Perth that provides: </w:t>
      </w:r>
    </w:p>
    <w:p w:rsidR="008517E4" w:rsidRDefault="00C318C9" w:rsidP="007C377F">
      <w:pPr>
        <w:pStyle w:val="ListParagraph"/>
        <w:numPr>
          <w:ilvl w:val="0"/>
          <w:numId w:val="6"/>
        </w:numPr>
        <w:jc w:val="both"/>
        <w:rPr>
          <w:rFonts w:ascii="Arial" w:hAnsi="Arial" w:cs="Arial"/>
        </w:rPr>
      </w:pPr>
      <w:proofErr w:type="gramStart"/>
      <w:r>
        <w:rPr>
          <w:rFonts w:ascii="Arial" w:hAnsi="Arial" w:cs="Arial"/>
        </w:rPr>
        <w:t>l</w:t>
      </w:r>
      <w:r w:rsidR="008517E4" w:rsidRPr="00652FB2">
        <w:rPr>
          <w:rFonts w:ascii="Arial" w:hAnsi="Arial" w:cs="Arial"/>
        </w:rPr>
        <w:t>egal</w:t>
      </w:r>
      <w:proofErr w:type="gramEnd"/>
      <w:r w:rsidR="008517E4" w:rsidRPr="00652FB2">
        <w:rPr>
          <w:rFonts w:ascii="Arial" w:hAnsi="Arial" w:cs="Arial"/>
        </w:rPr>
        <w:t xml:space="preserve"> advice and assistance to and advocacy on behalf of consumers</w:t>
      </w:r>
      <w:r w:rsidR="00CF32C7" w:rsidRPr="00652FB2">
        <w:rPr>
          <w:rFonts w:ascii="Arial" w:hAnsi="Arial" w:cs="Arial"/>
        </w:rPr>
        <w:t>,</w:t>
      </w:r>
      <w:r w:rsidR="008517E4" w:rsidRPr="00652FB2">
        <w:rPr>
          <w:rFonts w:ascii="Arial" w:hAnsi="Arial" w:cs="Arial"/>
        </w:rPr>
        <w:t xml:space="preserve"> with issues arising out of their credit and debt related problems</w:t>
      </w:r>
      <w:r w:rsidR="00CF32C7" w:rsidRPr="00652FB2">
        <w:rPr>
          <w:rFonts w:ascii="Arial" w:hAnsi="Arial" w:cs="Arial"/>
        </w:rPr>
        <w:t>;</w:t>
      </w:r>
      <w:r w:rsidR="008517E4" w:rsidRPr="00652FB2">
        <w:rPr>
          <w:rFonts w:ascii="Arial" w:hAnsi="Arial" w:cs="Arial"/>
        </w:rPr>
        <w:t xml:space="preserve"> or out of the</w:t>
      </w:r>
      <w:r w:rsidR="00CF32C7" w:rsidRPr="00652FB2">
        <w:rPr>
          <w:rFonts w:ascii="Arial" w:hAnsi="Arial" w:cs="Arial"/>
        </w:rPr>
        <w:t>ir</w:t>
      </w:r>
      <w:r w:rsidR="008517E4" w:rsidRPr="00652FB2">
        <w:rPr>
          <w:rFonts w:ascii="Arial" w:hAnsi="Arial" w:cs="Arial"/>
        </w:rPr>
        <w:t xml:space="preserve"> Australian Consumer Law disputes. CCLSWA operates a daily </w:t>
      </w:r>
      <w:r w:rsidR="00CF32C7" w:rsidRPr="00652FB2">
        <w:rPr>
          <w:rFonts w:ascii="Arial" w:hAnsi="Arial" w:cs="Arial"/>
        </w:rPr>
        <w:t>t</w:t>
      </w:r>
      <w:r w:rsidR="008517E4" w:rsidRPr="00652FB2">
        <w:rPr>
          <w:rFonts w:ascii="Arial" w:hAnsi="Arial" w:cs="Arial"/>
        </w:rPr>
        <w:t xml:space="preserve">elephone </w:t>
      </w:r>
      <w:r w:rsidR="00CF32C7">
        <w:rPr>
          <w:rFonts w:ascii="Arial" w:hAnsi="Arial" w:cs="Arial"/>
        </w:rPr>
        <w:t>a</w:t>
      </w:r>
      <w:r w:rsidR="008517E4" w:rsidRPr="00C318C9">
        <w:rPr>
          <w:rFonts w:ascii="Arial" w:hAnsi="Arial" w:cs="Arial"/>
        </w:rPr>
        <w:t xml:space="preserve">dvice </w:t>
      </w:r>
      <w:r w:rsidR="00CF32C7">
        <w:rPr>
          <w:rFonts w:ascii="Arial" w:hAnsi="Arial" w:cs="Arial"/>
        </w:rPr>
        <w:t>l</w:t>
      </w:r>
      <w:r w:rsidR="008517E4" w:rsidRPr="00C318C9">
        <w:rPr>
          <w:rFonts w:ascii="Arial" w:hAnsi="Arial" w:cs="Arial"/>
        </w:rPr>
        <w:t>ine service which consumers use to request legal advice and information</w:t>
      </w:r>
      <w:r>
        <w:rPr>
          <w:rFonts w:ascii="Arial" w:hAnsi="Arial" w:cs="Arial"/>
        </w:rPr>
        <w:t>;</w:t>
      </w:r>
      <w:r w:rsidR="008517E4" w:rsidRPr="00C318C9">
        <w:rPr>
          <w:rFonts w:ascii="Arial" w:hAnsi="Arial" w:cs="Arial"/>
        </w:rPr>
        <w:t xml:space="preserve"> </w:t>
      </w:r>
    </w:p>
    <w:p w:rsidR="00CF32C7" w:rsidRPr="00C318C9" w:rsidRDefault="00CF32C7" w:rsidP="00C318C9">
      <w:pPr>
        <w:pStyle w:val="ListParagraph"/>
        <w:jc w:val="both"/>
        <w:rPr>
          <w:rFonts w:ascii="Arial" w:hAnsi="Arial" w:cs="Arial"/>
        </w:rPr>
      </w:pPr>
    </w:p>
    <w:p w:rsidR="008517E4" w:rsidRDefault="00C318C9" w:rsidP="007C377F">
      <w:pPr>
        <w:pStyle w:val="ListParagraph"/>
        <w:numPr>
          <w:ilvl w:val="0"/>
          <w:numId w:val="6"/>
        </w:numPr>
        <w:jc w:val="both"/>
        <w:rPr>
          <w:rFonts w:ascii="Arial" w:hAnsi="Arial" w:cs="Arial"/>
        </w:rPr>
      </w:pPr>
      <w:r>
        <w:rPr>
          <w:rFonts w:ascii="Arial" w:hAnsi="Arial" w:cs="Arial"/>
        </w:rPr>
        <w:t>a</w:t>
      </w:r>
      <w:r w:rsidR="008517E4" w:rsidRPr="00C318C9">
        <w:rPr>
          <w:rFonts w:ascii="Arial" w:hAnsi="Arial" w:cs="Arial"/>
        </w:rPr>
        <w:t xml:space="preserve"> resource for financial counsellors and other </w:t>
      </w:r>
      <w:r w:rsidR="00CF32C7">
        <w:rPr>
          <w:rFonts w:ascii="Arial" w:hAnsi="Arial" w:cs="Arial"/>
        </w:rPr>
        <w:t xml:space="preserve">consumer </w:t>
      </w:r>
      <w:r w:rsidR="008517E4" w:rsidRPr="00C318C9">
        <w:rPr>
          <w:rFonts w:ascii="Arial" w:hAnsi="Arial" w:cs="Arial"/>
        </w:rPr>
        <w:t>advocates working with low-income people for the resolution of their credit-related problems, or out of the</w:t>
      </w:r>
      <w:r w:rsidR="00CF32C7">
        <w:rPr>
          <w:rFonts w:ascii="Arial" w:hAnsi="Arial" w:cs="Arial"/>
        </w:rPr>
        <w:t>ir</w:t>
      </w:r>
      <w:r w:rsidR="008517E4" w:rsidRPr="00C318C9">
        <w:rPr>
          <w:rFonts w:ascii="Arial" w:hAnsi="Arial" w:cs="Arial"/>
        </w:rPr>
        <w:t xml:space="preserve"> Australian Consumer Law disputes; and </w:t>
      </w:r>
    </w:p>
    <w:p w:rsidR="00CF32C7" w:rsidRPr="00C318C9" w:rsidRDefault="00CF32C7" w:rsidP="00C318C9">
      <w:pPr>
        <w:pStyle w:val="ListParagraph"/>
        <w:rPr>
          <w:rFonts w:ascii="Arial" w:hAnsi="Arial" w:cs="Arial"/>
        </w:rPr>
      </w:pPr>
    </w:p>
    <w:p w:rsidR="008517E4" w:rsidRPr="00C318C9" w:rsidRDefault="00C318C9" w:rsidP="007C377F">
      <w:pPr>
        <w:pStyle w:val="ListParagraph"/>
        <w:numPr>
          <w:ilvl w:val="0"/>
          <w:numId w:val="6"/>
        </w:numPr>
        <w:jc w:val="both"/>
        <w:rPr>
          <w:rFonts w:ascii="Arial" w:hAnsi="Arial" w:cs="Arial"/>
        </w:rPr>
      </w:pPr>
      <w:proofErr w:type="gramStart"/>
      <w:r>
        <w:rPr>
          <w:rFonts w:ascii="Arial" w:hAnsi="Arial" w:cs="Arial"/>
        </w:rPr>
        <w:t>c</w:t>
      </w:r>
      <w:r w:rsidR="008517E4" w:rsidRPr="00C318C9">
        <w:rPr>
          <w:rFonts w:ascii="Arial" w:hAnsi="Arial" w:cs="Arial"/>
        </w:rPr>
        <w:t>ommunity</w:t>
      </w:r>
      <w:proofErr w:type="gramEnd"/>
      <w:r w:rsidR="008517E4" w:rsidRPr="00C318C9">
        <w:rPr>
          <w:rFonts w:ascii="Arial" w:hAnsi="Arial" w:cs="Arial"/>
        </w:rPr>
        <w:t xml:space="preserve"> education programmes in matters relating to credit and debt law and the legal system. </w:t>
      </w:r>
    </w:p>
    <w:p w:rsidR="008517E4" w:rsidRPr="00C318C9" w:rsidRDefault="008517E4" w:rsidP="007C377F">
      <w:pPr>
        <w:jc w:val="both"/>
        <w:rPr>
          <w:rFonts w:ascii="Arial" w:hAnsi="Arial" w:cs="Arial"/>
          <w:lang w:val="en-AU"/>
        </w:rPr>
      </w:pPr>
      <w:r w:rsidRPr="00C318C9">
        <w:rPr>
          <w:rFonts w:ascii="Arial" w:hAnsi="Arial" w:cs="Arial"/>
        </w:rPr>
        <w:t xml:space="preserve">CCLSWA also engages in relevant social policy and law reform initiatives, including contributing to such initiatives spearheaded by other </w:t>
      </w:r>
      <w:proofErr w:type="spellStart"/>
      <w:r w:rsidRPr="00C318C9">
        <w:rPr>
          <w:rFonts w:ascii="Arial" w:hAnsi="Arial" w:cs="Arial"/>
        </w:rPr>
        <w:t>organisations</w:t>
      </w:r>
      <w:proofErr w:type="spellEnd"/>
      <w:r w:rsidRPr="00C318C9">
        <w:rPr>
          <w:rFonts w:ascii="Arial" w:hAnsi="Arial" w:cs="Arial"/>
        </w:rPr>
        <w:t>.</w:t>
      </w:r>
    </w:p>
    <w:p w:rsidR="005B34B3" w:rsidRPr="00C318C9" w:rsidRDefault="005B34B3" w:rsidP="00D73097">
      <w:pPr>
        <w:pStyle w:val="ListParagraph"/>
        <w:numPr>
          <w:ilvl w:val="0"/>
          <w:numId w:val="5"/>
        </w:numPr>
        <w:jc w:val="both"/>
        <w:rPr>
          <w:rFonts w:ascii="Arial" w:hAnsi="Arial" w:cs="Arial"/>
          <w:b/>
        </w:rPr>
      </w:pPr>
      <w:r w:rsidRPr="00C318C9">
        <w:rPr>
          <w:rFonts w:ascii="Arial" w:hAnsi="Arial" w:cs="Arial"/>
          <w:b/>
        </w:rPr>
        <w:t>Question 25</w:t>
      </w:r>
      <w:r w:rsidR="00CF32C7">
        <w:rPr>
          <w:rFonts w:ascii="Arial" w:hAnsi="Arial" w:cs="Arial"/>
          <w:b/>
        </w:rPr>
        <w:t>:</w:t>
      </w:r>
      <w:r w:rsidRPr="00C318C9">
        <w:rPr>
          <w:rFonts w:ascii="Arial" w:hAnsi="Arial" w:cs="Arial"/>
          <w:b/>
        </w:rPr>
        <w:t xml:space="preserve"> What evidence is there of elder abuse in banking or financial systems?</w:t>
      </w:r>
    </w:p>
    <w:p w:rsidR="0064371C" w:rsidRPr="00C318C9" w:rsidRDefault="001B35BF" w:rsidP="007C377F">
      <w:pPr>
        <w:jc w:val="both"/>
        <w:rPr>
          <w:rFonts w:ascii="Arial" w:hAnsi="Arial" w:cs="Arial"/>
        </w:rPr>
      </w:pPr>
      <w:r w:rsidRPr="00C318C9">
        <w:rPr>
          <w:rFonts w:ascii="Arial" w:hAnsi="Arial" w:cs="Arial"/>
        </w:rPr>
        <w:t>CCLSWA</w:t>
      </w:r>
      <w:r w:rsidR="009641AF">
        <w:rPr>
          <w:rFonts w:ascii="Arial" w:hAnsi="Arial" w:cs="Arial"/>
        </w:rPr>
        <w:t xml:space="preserve"> has</w:t>
      </w:r>
      <w:r w:rsidR="00066643" w:rsidRPr="00C318C9">
        <w:rPr>
          <w:rFonts w:ascii="Arial" w:hAnsi="Arial" w:cs="Arial"/>
        </w:rPr>
        <w:t xml:space="preserve"> encountered several instances where elders </w:t>
      </w:r>
      <w:r w:rsidR="009641AF">
        <w:rPr>
          <w:rFonts w:ascii="Arial" w:hAnsi="Arial" w:cs="Arial"/>
        </w:rPr>
        <w:t>signed on as borrowers or as</w:t>
      </w:r>
      <w:r w:rsidR="00066643" w:rsidRPr="00C318C9">
        <w:rPr>
          <w:rFonts w:ascii="Arial" w:hAnsi="Arial" w:cs="Arial"/>
        </w:rPr>
        <w:t xml:space="preserve"> guarantors for loans </w:t>
      </w:r>
      <w:r w:rsidR="009641AF">
        <w:rPr>
          <w:rFonts w:ascii="Arial" w:hAnsi="Arial" w:cs="Arial"/>
        </w:rPr>
        <w:t xml:space="preserve">for which they did not receive </w:t>
      </w:r>
      <w:r w:rsidR="00C318C9">
        <w:rPr>
          <w:rFonts w:ascii="Arial" w:hAnsi="Arial" w:cs="Arial"/>
        </w:rPr>
        <w:t xml:space="preserve">any </w:t>
      </w:r>
      <w:r w:rsidR="009641AF">
        <w:rPr>
          <w:rFonts w:ascii="Arial" w:hAnsi="Arial" w:cs="Arial"/>
        </w:rPr>
        <w:t>benefit. S</w:t>
      </w:r>
      <w:r w:rsidR="00066643" w:rsidRPr="00C318C9">
        <w:rPr>
          <w:rFonts w:ascii="Arial" w:hAnsi="Arial" w:cs="Arial"/>
        </w:rPr>
        <w:t>ubsequently the banks sought to enforce the loan or the guarantee against them.</w:t>
      </w:r>
    </w:p>
    <w:p w:rsidR="005B34B3" w:rsidRPr="00C318C9" w:rsidRDefault="00066643" w:rsidP="007C377F">
      <w:pPr>
        <w:jc w:val="both"/>
        <w:rPr>
          <w:rFonts w:ascii="Arial" w:hAnsi="Arial" w:cs="Arial"/>
        </w:rPr>
      </w:pPr>
      <w:r w:rsidRPr="00C318C9">
        <w:rPr>
          <w:rFonts w:ascii="Arial" w:hAnsi="Arial" w:cs="Arial"/>
        </w:rPr>
        <w:lastRenderedPageBreak/>
        <w:t>A typical case would usually involve an elder</w:t>
      </w:r>
      <w:r w:rsidR="009641AF">
        <w:rPr>
          <w:rFonts w:ascii="Arial" w:hAnsi="Arial" w:cs="Arial"/>
        </w:rPr>
        <w:t>ly person</w:t>
      </w:r>
      <w:r w:rsidRPr="00C318C9">
        <w:rPr>
          <w:rFonts w:ascii="Arial" w:hAnsi="Arial" w:cs="Arial"/>
        </w:rPr>
        <w:t xml:space="preserve"> being</w:t>
      </w:r>
      <w:r w:rsidR="0064371C" w:rsidRPr="00C318C9">
        <w:rPr>
          <w:rFonts w:ascii="Arial" w:hAnsi="Arial" w:cs="Arial"/>
        </w:rPr>
        <w:t xml:space="preserve"> approached by a relative </w:t>
      </w:r>
      <w:r w:rsidR="0045162C" w:rsidRPr="00C318C9">
        <w:rPr>
          <w:rFonts w:ascii="Arial" w:hAnsi="Arial" w:cs="Arial"/>
        </w:rPr>
        <w:t xml:space="preserve">(usually </w:t>
      </w:r>
      <w:r w:rsidR="009641AF">
        <w:rPr>
          <w:rFonts w:ascii="Arial" w:hAnsi="Arial" w:cs="Arial"/>
        </w:rPr>
        <w:t xml:space="preserve">an adult </w:t>
      </w:r>
      <w:r w:rsidR="0045162C" w:rsidRPr="00C318C9">
        <w:rPr>
          <w:rFonts w:ascii="Arial" w:hAnsi="Arial" w:cs="Arial"/>
        </w:rPr>
        <w:t xml:space="preserve">child) </w:t>
      </w:r>
      <w:r w:rsidR="0064371C" w:rsidRPr="00C318C9">
        <w:rPr>
          <w:rFonts w:ascii="Arial" w:hAnsi="Arial" w:cs="Arial"/>
        </w:rPr>
        <w:t>to either be a co-borrower or guarantor to a loan</w:t>
      </w:r>
      <w:r w:rsidR="009641AF">
        <w:rPr>
          <w:rFonts w:ascii="Arial" w:hAnsi="Arial" w:cs="Arial"/>
        </w:rPr>
        <w:t xml:space="preserve"> for the latter’s benefit;</w:t>
      </w:r>
      <w:r w:rsidR="007871A0" w:rsidRPr="00C318C9">
        <w:rPr>
          <w:rFonts w:ascii="Arial" w:hAnsi="Arial" w:cs="Arial"/>
        </w:rPr>
        <w:t xml:space="preserve"> and </w:t>
      </w:r>
      <w:r w:rsidR="009641AF">
        <w:rPr>
          <w:rFonts w:ascii="Arial" w:hAnsi="Arial" w:cs="Arial"/>
        </w:rPr>
        <w:t>invol</w:t>
      </w:r>
      <w:r w:rsidR="009641AF" w:rsidRPr="00C318C9">
        <w:rPr>
          <w:rFonts w:ascii="Arial" w:hAnsi="Arial" w:cs="Arial"/>
        </w:rPr>
        <w:t xml:space="preserve">ving </w:t>
      </w:r>
      <w:r w:rsidR="007871A0" w:rsidRPr="00C318C9">
        <w:rPr>
          <w:rFonts w:ascii="Arial" w:hAnsi="Arial" w:cs="Arial"/>
        </w:rPr>
        <w:t>the elder</w:t>
      </w:r>
      <w:r w:rsidR="009641AF">
        <w:rPr>
          <w:rFonts w:ascii="Arial" w:hAnsi="Arial" w:cs="Arial"/>
        </w:rPr>
        <w:t>ly person</w:t>
      </w:r>
      <w:r w:rsidR="007871A0" w:rsidRPr="00C318C9">
        <w:rPr>
          <w:rFonts w:ascii="Arial" w:hAnsi="Arial" w:cs="Arial"/>
        </w:rPr>
        <w:t>’s primary home or other asset as security</w:t>
      </w:r>
      <w:r w:rsidR="009641AF">
        <w:rPr>
          <w:rFonts w:ascii="Arial" w:hAnsi="Arial" w:cs="Arial"/>
        </w:rPr>
        <w:t xml:space="preserve"> for the loan</w:t>
      </w:r>
      <w:r w:rsidR="0064371C" w:rsidRPr="00C318C9">
        <w:rPr>
          <w:rFonts w:ascii="Arial" w:hAnsi="Arial" w:cs="Arial"/>
        </w:rPr>
        <w:t xml:space="preserve">. </w:t>
      </w:r>
      <w:r w:rsidRPr="00C318C9">
        <w:rPr>
          <w:rFonts w:ascii="Arial" w:hAnsi="Arial" w:cs="Arial"/>
        </w:rPr>
        <w:t>Once the</w:t>
      </w:r>
      <w:r w:rsidR="0045162C" w:rsidRPr="00C318C9">
        <w:rPr>
          <w:rFonts w:ascii="Arial" w:hAnsi="Arial" w:cs="Arial"/>
        </w:rPr>
        <w:t xml:space="preserve"> </w:t>
      </w:r>
      <w:r w:rsidR="009641AF" w:rsidRPr="00F56FA0">
        <w:rPr>
          <w:rFonts w:ascii="Arial" w:hAnsi="Arial" w:cs="Arial"/>
        </w:rPr>
        <w:t>elder</w:t>
      </w:r>
      <w:r w:rsidR="009641AF">
        <w:rPr>
          <w:rFonts w:ascii="Arial" w:hAnsi="Arial" w:cs="Arial"/>
        </w:rPr>
        <w:t xml:space="preserve">ly person </w:t>
      </w:r>
      <w:r w:rsidR="0045162C" w:rsidRPr="00C318C9">
        <w:rPr>
          <w:rFonts w:ascii="Arial" w:hAnsi="Arial" w:cs="Arial"/>
        </w:rPr>
        <w:t>has signed the documents, the loan proceeds would usually be disbursed by the financial service provider to the relat</w:t>
      </w:r>
      <w:bookmarkStart w:id="0" w:name="_GoBack"/>
      <w:bookmarkEnd w:id="0"/>
      <w:r w:rsidR="0045162C" w:rsidRPr="00C318C9">
        <w:rPr>
          <w:rFonts w:ascii="Arial" w:hAnsi="Arial" w:cs="Arial"/>
        </w:rPr>
        <w:t>ive</w:t>
      </w:r>
      <w:r w:rsidR="007871A0" w:rsidRPr="00C318C9">
        <w:rPr>
          <w:rFonts w:ascii="Arial" w:hAnsi="Arial" w:cs="Arial"/>
        </w:rPr>
        <w:t xml:space="preserve"> with the relative being solely responsible for making repayments</w:t>
      </w:r>
      <w:r w:rsidR="0045162C" w:rsidRPr="00C318C9">
        <w:rPr>
          <w:rFonts w:ascii="Arial" w:hAnsi="Arial" w:cs="Arial"/>
        </w:rPr>
        <w:t>.</w:t>
      </w:r>
      <w:r w:rsidR="007871A0" w:rsidRPr="00C318C9">
        <w:rPr>
          <w:rFonts w:ascii="Arial" w:hAnsi="Arial" w:cs="Arial"/>
        </w:rPr>
        <w:t xml:space="preserve"> At this point, the elder</w:t>
      </w:r>
      <w:r w:rsidR="009641AF">
        <w:rPr>
          <w:rFonts w:ascii="Arial" w:hAnsi="Arial" w:cs="Arial"/>
        </w:rPr>
        <w:t>ly person</w:t>
      </w:r>
      <w:r w:rsidR="007871A0" w:rsidRPr="00C318C9">
        <w:rPr>
          <w:rFonts w:ascii="Arial" w:hAnsi="Arial" w:cs="Arial"/>
        </w:rPr>
        <w:t xml:space="preserve"> is usually unaware of the potential consequences and may even forget the existence of the loan.</w:t>
      </w:r>
      <w:r w:rsidR="0045162C" w:rsidRPr="00C318C9">
        <w:rPr>
          <w:rFonts w:ascii="Arial" w:hAnsi="Arial" w:cs="Arial"/>
        </w:rPr>
        <w:t xml:space="preserve"> Subsequently, the relative would fail to make repayments</w:t>
      </w:r>
      <w:r w:rsidR="009641AF">
        <w:rPr>
          <w:rFonts w:ascii="Arial" w:hAnsi="Arial" w:cs="Arial"/>
        </w:rPr>
        <w:t>,</w:t>
      </w:r>
      <w:r w:rsidR="0045162C" w:rsidRPr="00C318C9">
        <w:rPr>
          <w:rFonts w:ascii="Arial" w:hAnsi="Arial" w:cs="Arial"/>
        </w:rPr>
        <w:t xml:space="preserve"> either willfully or due to financial hardship</w:t>
      </w:r>
      <w:r w:rsidR="009641AF">
        <w:rPr>
          <w:rFonts w:ascii="Arial" w:hAnsi="Arial" w:cs="Arial"/>
        </w:rPr>
        <w:t>,</w:t>
      </w:r>
      <w:r w:rsidR="0045162C" w:rsidRPr="00C318C9">
        <w:rPr>
          <w:rFonts w:ascii="Arial" w:hAnsi="Arial" w:cs="Arial"/>
        </w:rPr>
        <w:t xml:space="preserve"> and </w:t>
      </w:r>
      <w:r w:rsidR="009641AF">
        <w:rPr>
          <w:rFonts w:ascii="Arial" w:hAnsi="Arial" w:cs="Arial"/>
        </w:rPr>
        <w:t>d</w:t>
      </w:r>
      <w:r w:rsidR="007871A0" w:rsidRPr="00C318C9">
        <w:rPr>
          <w:rFonts w:ascii="Arial" w:hAnsi="Arial" w:cs="Arial"/>
        </w:rPr>
        <w:t>efault</w:t>
      </w:r>
      <w:r w:rsidR="009641AF">
        <w:rPr>
          <w:rFonts w:ascii="Arial" w:hAnsi="Arial" w:cs="Arial"/>
        </w:rPr>
        <w:t xml:space="preserve"> on repayments</w:t>
      </w:r>
      <w:r w:rsidR="007871A0" w:rsidRPr="00C318C9">
        <w:rPr>
          <w:rFonts w:ascii="Arial" w:hAnsi="Arial" w:cs="Arial"/>
        </w:rPr>
        <w:t>. T</w:t>
      </w:r>
      <w:r w:rsidR="0045162C" w:rsidRPr="00C318C9">
        <w:rPr>
          <w:rFonts w:ascii="Arial" w:hAnsi="Arial" w:cs="Arial"/>
        </w:rPr>
        <w:t xml:space="preserve">he financial service provider would </w:t>
      </w:r>
      <w:r w:rsidR="007871A0" w:rsidRPr="00C318C9">
        <w:rPr>
          <w:rFonts w:ascii="Arial" w:hAnsi="Arial" w:cs="Arial"/>
        </w:rPr>
        <w:t>then attempt to enforce the security on the basis that there has been a default</w:t>
      </w:r>
      <w:r w:rsidR="004771B1" w:rsidRPr="00C318C9">
        <w:rPr>
          <w:rFonts w:ascii="Arial" w:hAnsi="Arial" w:cs="Arial"/>
        </w:rPr>
        <w:t xml:space="preserve"> and the elder</w:t>
      </w:r>
      <w:r w:rsidR="009641AF">
        <w:rPr>
          <w:rFonts w:ascii="Arial" w:hAnsi="Arial" w:cs="Arial"/>
        </w:rPr>
        <w:t>ly person</w:t>
      </w:r>
      <w:r w:rsidR="004771B1" w:rsidRPr="00C318C9">
        <w:rPr>
          <w:rFonts w:ascii="Arial" w:hAnsi="Arial" w:cs="Arial"/>
        </w:rPr>
        <w:t xml:space="preserve"> would usually be shocked </w:t>
      </w:r>
      <w:r w:rsidR="009641AF">
        <w:rPr>
          <w:rFonts w:ascii="Arial" w:hAnsi="Arial" w:cs="Arial"/>
        </w:rPr>
        <w:t>by</w:t>
      </w:r>
      <w:r w:rsidR="00B61FBA" w:rsidRPr="00C318C9">
        <w:rPr>
          <w:rFonts w:ascii="Arial" w:hAnsi="Arial" w:cs="Arial"/>
        </w:rPr>
        <w:t xml:space="preserve"> court documents and </w:t>
      </w:r>
      <w:r w:rsidR="004771B1" w:rsidRPr="00C318C9">
        <w:rPr>
          <w:rFonts w:ascii="Arial" w:hAnsi="Arial" w:cs="Arial"/>
        </w:rPr>
        <w:t xml:space="preserve">the impending consequences. </w:t>
      </w:r>
    </w:p>
    <w:p w:rsidR="000D2D8E" w:rsidRPr="00C318C9" w:rsidRDefault="000E240C" w:rsidP="007C377F">
      <w:pPr>
        <w:jc w:val="both"/>
        <w:rPr>
          <w:rFonts w:ascii="Arial" w:hAnsi="Arial" w:cs="Arial"/>
        </w:rPr>
      </w:pPr>
      <w:r w:rsidRPr="00C318C9">
        <w:rPr>
          <w:rFonts w:ascii="Arial" w:hAnsi="Arial" w:cs="Arial"/>
        </w:rPr>
        <w:t>Although the term “abuse” suggests malicious intent,</w:t>
      </w:r>
      <w:r w:rsidR="000D2D8E" w:rsidRPr="00C318C9">
        <w:rPr>
          <w:rFonts w:ascii="Arial" w:hAnsi="Arial" w:cs="Arial"/>
        </w:rPr>
        <w:t xml:space="preserve"> the </w:t>
      </w:r>
      <w:r w:rsidRPr="00C318C9">
        <w:rPr>
          <w:rFonts w:ascii="Arial" w:hAnsi="Arial" w:cs="Arial"/>
        </w:rPr>
        <w:t>perpetrator</w:t>
      </w:r>
      <w:r w:rsidR="000D2D8E" w:rsidRPr="00C318C9">
        <w:rPr>
          <w:rFonts w:ascii="Arial" w:hAnsi="Arial" w:cs="Arial"/>
        </w:rPr>
        <w:t xml:space="preserve"> might in some circumstances not set out to harm the elder</w:t>
      </w:r>
      <w:r w:rsidR="009641AF">
        <w:rPr>
          <w:rFonts w:ascii="Arial" w:hAnsi="Arial" w:cs="Arial"/>
        </w:rPr>
        <w:t>ly person</w:t>
      </w:r>
      <w:r w:rsidR="000D2D8E" w:rsidRPr="00C318C9">
        <w:rPr>
          <w:rFonts w:ascii="Arial" w:hAnsi="Arial" w:cs="Arial"/>
        </w:rPr>
        <w:t xml:space="preserve"> but </w:t>
      </w:r>
      <w:proofErr w:type="gramStart"/>
      <w:r w:rsidR="000D2D8E" w:rsidRPr="00C318C9">
        <w:rPr>
          <w:rFonts w:ascii="Arial" w:hAnsi="Arial" w:cs="Arial"/>
        </w:rPr>
        <w:t>may</w:t>
      </w:r>
      <w:proofErr w:type="gramEnd"/>
      <w:r w:rsidR="000D2D8E" w:rsidRPr="00C318C9">
        <w:rPr>
          <w:rFonts w:ascii="Arial" w:hAnsi="Arial" w:cs="Arial"/>
        </w:rPr>
        <w:t xml:space="preserve"> as a consequence of bad luck or incompetence be placed in a position where they inevitably choose their own interests over the elder</w:t>
      </w:r>
      <w:r w:rsidR="00BD3CB0">
        <w:rPr>
          <w:rFonts w:ascii="Arial" w:hAnsi="Arial" w:cs="Arial"/>
        </w:rPr>
        <w:t xml:space="preserve">ly </w:t>
      </w:r>
      <w:r w:rsidR="0068565F">
        <w:rPr>
          <w:rFonts w:ascii="Arial" w:hAnsi="Arial" w:cs="Arial"/>
        </w:rPr>
        <w:t>person’s</w:t>
      </w:r>
      <w:r w:rsidR="000D2D8E" w:rsidRPr="00C318C9">
        <w:rPr>
          <w:rFonts w:ascii="Arial" w:hAnsi="Arial" w:cs="Arial"/>
        </w:rPr>
        <w:t xml:space="preserve"> interests.</w:t>
      </w:r>
      <w:r w:rsidR="001B35BF" w:rsidRPr="00C318C9">
        <w:rPr>
          <w:rFonts w:ascii="Arial" w:hAnsi="Arial" w:cs="Arial"/>
        </w:rPr>
        <w:t xml:space="preserve"> The following case study is a typical </w:t>
      </w:r>
      <w:r w:rsidR="009641AF" w:rsidRPr="00F56FA0">
        <w:rPr>
          <w:rFonts w:ascii="Arial" w:hAnsi="Arial" w:cs="Arial"/>
        </w:rPr>
        <w:t>case</w:t>
      </w:r>
      <w:r w:rsidR="009641AF">
        <w:rPr>
          <w:rFonts w:ascii="Arial" w:hAnsi="Arial" w:cs="Arial"/>
        </w:rPr>
        <w:t xml:space="preserve"> of elder financial abuse </w:t>
      </w:r>
      <w:r w:rsidR="001B35BF" w:rsidRPr="00C318C9">
        <w:rPr>
          <w:rFonts w:ascii="Arial" w:hAnsi="Arial" w:cs="Arial"/>
        </w:rPr>
        <w:t>that CCLSWA encounters.</w:t>
      </w:r>
    </w:p>
    <w:tbl>
      <w:tblPr>
        <w:tblStyle w:val="TableGrid"/>
        <w:tblW w:w="0" w:type="auto"/>
        <w:tblLook w:val="04A0"/>
      </w:tblPr>
      <w:tblGrid>
        <w:gridCol w:w="9576"/>
      </w:tblGrid>
      <w:tr w:rsidR="00B61FBA" w:rsidRPr="00CF32C7" w:rsidTr="00B61FBA">
        <w:tc>
          <w:tcPr>
            <w:tcW w:w="9576" w:type="dxa"/>
          </w:tcPr>
          <w:p w:rsidR="00B61FBA" w:rsidRDefault="00D9795D" w:rsidP="007C377F">
            <w:pPr>
              <w:spacing w:after="200" w:line="276" w:lineRule="auto"/>
              <w:jc w:val="both"/>
              <w:rPr>
                <w:rFonts w:ascii="Arial" w:hAnsi="Arial" w:cs="Arial"/>
              </w:rPr>
            </w:pPr>
            <w:r>
              <w:rPr>
                <w:rFonts w:ascii="Arial" w:hAnsi="Arial" w:cs="Arial"/>
              </w:rPr>
              <w:t>Case study</w:t>
            </w:r>
            <w:r w:rsidR="007D1D35" w:rsidRPr="00C318C9">
              <w:rPr>
                <w:rFonts w:ascii="Arial" w:hAnsi="Arial" w:cs="Arial"/>
              </w:rPr>
              <w:t xml:space="preserve"> 1 </w:t>
            </w:r>
            <w:r w:rsidR="00D73097" w:rsidRPr="00C318C9">
              <w:rPr>
                <w:rFonts w:ascii="Arial" w:hAnsi="Arial" w:cs="Arial"/>
              </w:rPr>
              <w:t>–</w:t>
            </w:r>
            <w:r w:rsidR="007D1D35" w:rsidRPr="00C318C9">
              <w:rPr>
                <w:rFonts w:ascii="Arial" w:hAnsi="Arial" w:cs="Arial"/>
              </w:rPr>
              <w:t xml:space="preserve"> </w:t>
            </w:r>
            <w:r w:rsidR="00D73097" w:rsidRPr="00C318C9">
              <w:rPr>
                <w:rFonts w:ascii="Arial" w:hAnsi="Arial" w:cs="Arial"/>
              </w:rPr>
              <w:t xml:space="preserve">The </w:t>
            </w:r>
            <w:r w:rsidR="003541A0" w:rsidRPr="00C318C9">
              <w:rPr>
                <w:rFonts w:ascii="Arial" w:hAnsi="Arial" w:cs="Arial"/>
              </w:rPr>
              <w:t>Banner</w:t>
            </w:r>
            <w:r w:rsidR="00B61FBA" w:rsidRPr="00C318C9">
              <w:rPr>
                <w:rFonts w:ascii="Arial" w:hAnsi="Arial" w:cs="Arial"/>
              </w:rPr>
              <w:t xml:space="preserve">s </w:t>
            </w:r>
          </w:p>
          <w:p w:rsidR="00B61FBA" w:rsidRDefault="00B61FBA" w:rsidP="007C377F">
            <w:pPr>
              <w:spacing w:after="200" w:line="276" w:lineRule="auto"/>
              <w:jc w:val="both"/>
              <w:rPr>
                <w:rFonts w:ascii="Arial" w:hAnsi="Arial" w:cs="Arial"/>
              </w:rPr>
            </w:pPr>
            <w:proofErr w:type="spellStart"/>
            <w:r w:rsidRPr="00C318C9">
              <w:rPr>
                <w:rFonts w:ascii="Arial" w:hAnsi="Arial" w:cs="Arial"/>
              </w:rPr>
              <w:t>Mr</w:t>
            </w:r>
            <w:proofErr w:type="spellEnd"/>
            <w:r w:rsidRPr="00C318C9">
              <w:rPr>
                <w:rFonts w:ascii="Arial" w:hAnsi="Arial" w:cs="Arial"/>
              </w:rPr>
              <w:t xml:space="preserve"> and </w:t>
            </w:r>
            <w:proofErr w:type="spellStart"/>
            <w:r w:rsidRPr="00C318C9">
              <w:rPr>
                <w:rFonts w:ascii="Arial" w:hAnsi="Arial" w:cs="Arial"/>
              </w:rPr>
              <w:t>Mrs</w:t>
            </w:r>
            <w:proofErr w:type="spellEnd"/>
            <w:r w:rsidRPr="00C318C9">
              <w:rPr>
                <w:rFonts w:ascii="Arial" w:hAnsi="Arial" w:cs="Arial"/>
              </w:rPr>
              <w:t xml:space="preserve"> B</w:t>
            </w:r>
            <w:r w:rsidR="007D1D35" w:rsidRPr="00C318C9">
              <w:rPr>
                <w:rFonts w:ascii="Arial" w:hAnsi="Arial" w:cs="Arial"/>
              </w:rPr>
              <w:t>anner</w:t>
            </w:r>
            <w:r w:rsidRPr="00C318C9">
              <w:rPr>
                <w:rFonts w:ascii="Arial" w:hAnsi="Arial" w:cs="Arial"/>
              </w:rPr>
              <w:t xml:space="preserve"> wanted to help their son further his ambitions and decided to use their </w:t>
            </w:r>
            <w:r w:rsidR="009641AF">
              <w:rPr>
                <w:rFonts w:ascii="Arial" w:hAnsi="Arial" w:cs="Arial"/>
              </w:rPr>
              <w:t xml:space="preserve">own </w:t>
            </w:r>
            <w:r w:rsidRPr="00C318C9">
              <w:rPr>
                <w:rFonts w:ascii="Arial" w:hAnsi="Arial" w:cs="Arial"/>
              </w:rPr>
              <w:t xml:space="preserve">home </w:t>
            </w:r>
            <w:r w:rsidR="009641AF">
              <w:rPr>
                <w:rFonts w:ascii="Arial" w:hAnsi="Arial" w:cs="Arial"/>
              </w:rPr>
              <w:t>(</w:t>
            </w:r>
            <w:r w:rsidRPr="00C318C9">
              <w:rPr>
                <w:rFonts w:ascii="Arial" w:hAnsi="Arial" w:cs="Arial"/>
              </w:rPr>
              <w:t>A</w:t>
            </w:r>
            <w:r w:rsidR="009641AF">
              <w:rPr>
                <w:rFonts w:ascii="Arial" w:hAnsi="Arial" w:cs="Arial"/>
              </w:rPr>
              <w:t>sset A)</w:t>
            </w:r>
            <w:r w:rsidRPr="00C318C9">
              <w:rPr>
                <w:rFonts w:ascii="Arial" w:hAnsi="Arial" w:cs="Arial"/>
              </w:rPr>
              <w:t xml:space="preserve"> as security for their son, S</w:t>
            </w:r>
            <w:r w:rsidR="007D1D35" w:rsidRPr="00C318C9">
              <w:rPr>
                <w:rFonts w:ascii="Arial" w:hAnsi="Arial" w:cs="Arial"/>
              </w:rPr>
              <w:t>am</w:t>
            </w:r>
            <w:r w:rsidRPr="00C318C9">
              <w:rPr>
                <w:rFonts w:ascii="Arial" w:hAnsi="Arial" w:cs="Arial"/>
              </w:rPr>
              <w:t xml:space="preserve"> to purchase </w:t>
            </w:r>
            <w:r w:rsidR="009641AF">
              <w:rPr>
                <w:rFonts w:ascii="Arial" w:hAnsi="Arial" w:cs="Arial"/>
              </w:rPr>
              <w:t>his</w:t>
            </w:r>
            <w:r w:rsidRPr="00C318C9">
              <w:rPr>
                <w:rFonts w:ascii="Arial" w:hAnsi="Arial" w:cs="Arial"/>
              </w:rPr>
              <w:t xml:space="preserve"> home </w:t>
            </w:r>
            <w:r w:rsidR="009641AF">
              <w:rPr>
                <w:rFonts w:ascii="Arial" w:hAnsi="Arial" w:cs="Arial"/>
              </w:rPr>
              <w:t xml:space="preserve">(Asset </w:t>
            </w:r>
            <w:r w:rsidRPr="00C318C9">
              <w:rPr>
                <w:rFonts w:ascii="Arial" w:hAnsi="Arial" w:cs="Arial"/>
              </w:rPr>
              <w:t>B</w:t>
            </w:r>
            <w:r w:rsidR="009641AF">
              <w:rPr>
                <w:rFonts w:ascii="Arial" w:hAnsi="Arial" w:cs="Arial"/>
              </w:rPr>
              <w:t>)</w:t>
            </w:r>
            <w:r w:rsidRPr="00C318C9">
              <w:rPr>
                <w:rFonts w:ascii="Arial" w:hAnsi="Arial" w:cs="Arial"/>
              </w:rPr>
              <w:t xml:space="preserve">. Originally, </w:t>
            </w:r>
            <w:proofErr w:type="spellStart"/>
            <w:r w:rsidRPr="00C318C9">
              <w:rPr>
                <w:rFonts w:ascii="Arial" w:hAnsi="Arial" w:cs="Arial"/>
              </w:rPr>
              <w:t>Mr</w:t>
            </w:r>
            <w:proofErr w:type="spellEnd"/>
            <w:r w:rsidRPr="00C318C9">
              <w:rPr>
                <w:rFonts w:ascii="Arial" w:hAnsi="Arial" w:cs="Arial"/>
              </w:rPr>
              <w:t xml:space="preserve"> and </w:t>
            </w:r>
            <w:proofErr w:type="spellStart"/>
            <w:r w:rsidRPr="00C318C9">
              <w:rPr>
                <w:rFonts w:ascii="Arial" w:hAnsi="Arial" w:cs="Arial"/>
              </w:rPr>
              <w:t>Mrs</w:t>
            </w:r>
            <w:proofErr w:type="spellEnd"/>
            <w:r w:rsidRPr="00C318C9">
              <w:rPr>
                <w:rFonts w:ascii="Arial" w:hAnsi="Arial" w:cs="Arial"/>
              </w:rPr>
              <w:t xml:space="preserve"> B</w:t>
            </w:r>
            <w:r w:rsidR="007D1D35" w:rsidRPr="00C318C9">
              <w:rPr>
                <w:rFonts w:ascii="Arial" w:hAnsi="Arial" w:cs="Arial"/>
              </w:rPr>
              <w:t>anner</w:t>
            </w:r>
            <w:r w:rsidRPr="00C318C9">
              <w:rPr>
                <w:rFonts w:ascii="Arial" w:hAnsi="Arial" w:cs="Arial"/>
              </w:rPr>
              <w:t xml:space="preserve"> believed that they were 20% guarantors on the loan used to purchase </w:t>
            </w:r>
            <w:r w:rsidR="009641AF">
              <w:rPr>
                <w:rFonts w:ascii="Arial" w:hAnsi="Arial" w:cs="Arial"/>
              </w:rPr>
              <w:t>Asset</w:t>
            </w:r>
            <w:r w:rsidR="009641AF" w:rsidRPr="00C318C9">
              <w:rPr>
                <w:rFonts w:ascii="Arial" w:hAnsi="Arial" w:cs="Arial"/>
              </w:rPr>
              <w:t xml:space="preserve"> </w:t>
            </w:r>
            <w:r w:rsidRPr="00C318C9">
              <w:rPr>
                <w:rFonts w:ascii="Arial" w:hAnsi="Arial" w:cs="Arial"/>
              </w:rPr>
              <w:t xml:space="preserve">B. However, </w:t>
            </w:r>
            <w:proofErr w:type="spellStart"/>
            <w:r w:rsidRPr="00C318C9">
              <w:rPr>
                <w:rFonts w:ascii="Arial" w:hAnsi="Arial" w:cs="Arial"/>
              </w:rPr>
              <w:t>Mr</w:t>
            </w:r>
            <w:proofErr w:type="spellEnd"/>
            <w:r w:rsidRPr="00C318C9">
              <w:rPr>
                <w:rFonts w:ascii="Arial" w:hAnsi="Arial" w:cs="Arial"/>
              </w:rPr>
              <w:t xml:space="preserve"> and </w:t>
            </w:r>
            <w:proofErr w:type="spellStart"/>
            <w:r w:rsidRPr="00C318C9">
              <w:rPr>
                <w:rFonts w:ascii="Arial" w:hAnsi="Arial" w:cs="Arial"/>
              </w:rPr>
              <w:t>Mrs</w:t>
            </w:r>
            <w:proofErr w:type="spellEnd"/>
            <w:r w:rsidRPr="00C318C9">
              <w:rPr>
                <w:rFonts w:ascii="Arial" w:hAnsi="Arial" w:cs="Arial"/>
              </w:rPr>
              <w:t xml:space="preserve"> B</w:t>
            </w:r>
            <w:r w:rsidR="007D1D35" w:rsidRPr="00C318C9">
              <w:rPr>
                <w:rFonts w:ascii="Arial" w:hAnsi="Arial" w:cs="Arial"/>
              </w:rPr>
              <w:t>anner</w:t>
            </w:r>
            <w:r w:rsidRPr="00C318C9">
              <w:rPr>
                <w:rFonts w:ascii="Arial" w:hAnsi="Arial" w:cs="Arial"/>
              </w:rPr>
              <w:t xml:space="preserve"> were in fact co-borrowers with S</w:t>
            </w:r>
            <w:r w:rsidR="007D1D35" w:rsidRPr="00C318C9">
              <w:rPr>
                <w:rFonts w:ascii="Arial" w:hAnsi="Arial" w:cs="Arial"/>
              </w:rPr>
              <w:t>am</w:t>
            </w:r>
            <w:r w:rsidRPr="00C318C9">
              <w:rPr>
                <w:rFonts w:ascii="Arial" w:hAnsi="Arial" w:cs="Arial"/>
              </w:rPr>
              <w:t xml:space="preserve">. It was intended that </w:t>
            </w:r>
            <w:r w:rsidR="009641AF">
              <w:rPr>
                <w:rFonts w:ascii="Arial" w:hAnsi="Arial" w:cs="Arial"/>
              </w:rPr>
              <w:t>Sam</w:t>
            </w:r>
            <w:r w:rsidRPr="00C318C9">
              <w:rPr>
                <w:rFonts w:ascii="Arial" w:hAnsi="Arial" w:cs="Arial"/>
              </w:rPr>
              <w:t xml:space="preserve"> would make all repayments.</w:t>
            </w:r>
            <w:r w:rsidR="006B0A34" w:rsidRPr="00C318C9">
              <w:rPr>
                <w:rFonts w:ascii="Arial" w:hAnsi="Arial" w:cs="Arial"/>
              </w:rPr>
              <w:t xml:space="preserve"> </w:t>
            </w:r>
          </w:p>
          <w:p w:rsidR="00B61FBA" w:rsidRDefault="00B61FBA" w:rsidP="007C377F">
            <w:pPr>
              <w:spacing w:after="200" w:line="276" w:lineRule="auto"/>
              <w:jc w:val="both"/>
              <w:rPr>
                <w:rFonts w:ascii="Arial" w:hAnsi="Arial" w:cs="Arial"/>
              </w:rPr>
            </w:pPr>
            <w:r w:rsidRPr="00C318C9">
              <w:rPr>
                <w:rFonts w:ascii="Arial" w:hAnsi="Arial" w:cs="Arial"/>
              </w:rPr>
              <w:t xml:space="preserve">Subsequently, </w:t>
            </w:r>
            <w:r w:rsidR="002349D8" w:rsidRPr="00C318C9">
              <w:rPr>
                <w:rFonts w:ascii="Arial" w:hAnsi="Arial" w:cs="Arial"/>
              </w:rPr>
              <w:t>S</w:t>
            </w:r>
            <w:r w:rsidR="007D1D35" w:rsidRPr="00C318C9">
              <w:rPr>
                <w:rFonts w:ascii="Arial" w:hAnsi="Arial" w:cs="Arial"/>
              </w:rPr>
              <w:t>am</w:t>
            </w:r>
            <w:r w:rsidRPr="00C318C9">
              <w:rPr>
                <w:rFonts w:ascii="Arial" w:hAnsi="Arial" w:cs="Arial"/>
              </w:rPr>
              <w:t xml:space="preserve"> obtained a</w:t>
            </w:r>
            <w:r w:rsidR="00D9795D">
              <w:rPr>
                <w:rFonts w:ascii="Arial" w:hAnsi="Arial" w:cs="Arial"/>
              </w:rPr>
              <w:t>n additional</w:t>
            </w:r>
            <w:r w:rsidRPr="00C318C9">
              <w:rPr>
                <w:rFonts w:ascii="Arial" w:hAnsi="Arial" w:cs="Arial"/>
              </w:rPr>
              <w:t xml:space="preserve"> line of credit of $250,000</w:t>
            </w:r>
            <w:r w:rsidR="002349D8" w:rsidRPr="00C318C9">
              <w:rPr>
                <w:rFonts w:ascii="Arial" w:hAnsi="Arial" w:cs="Arial"/>
              </w:rPr>
              <w:t xml:space="preserve"> which S</w:t>
            </w:r>
            <w:r w:rsidR="007D1D35" w:rsidRPr="00C318C9">
              <w:rPr>
                <w:rFonts w:ascii="Arial" w:hAnsi="Arial" w:cs="Arial"/>
              </w:rPr>
              <w:t>am</w:t>
            </w:r>
            <w:r w:rsidR="002349D8" w:rsidRPr="00C318C9">
              <w:rPr>
                <w:rFonts w:ascii="Arial" w:hAnsi="Arial" w:cs="Arial"/>
              </w:rPr>
              <w:t xml:space="preserve"> used to purchase </w:t>
            </w:r>
            <w:r w:rsidR="009641AF">
              <w:rPr>
                <w:rFonts w:ascii="Arial" w:hAnsi="Arial" w:cs="Arial"/>
              </w:rPr>
              <w:t>Asset</w:t>
            </w:r>
            <w:r w:rsidR="009641AF" w:rsidRPr="00C318C9">
              <w:rPr>
                <w:rFonts w:ascii="Arial" w:hAnsi="Arial" w:cs="Arial"/>
              </w:rPr>
              <w:t xml:space="preserve"> </w:t>
            </w:r>
            <w:r w:rsidR="002349D8" w:rsidRPr="00C318C9">
              <w:rPr>
                <w:rFonts w:ascii="Arial" w:hAnsi="Arial" w:cs="Arial"/>
              </w:rPr>
              <w:t xml:space="preserve">C. The line of credit was secured by </w:t>
            </w:r>
            <w:r w:rsidR="009641AF">
              <w:rPr>
                <w:rFonts w:ascii="Arial" w:hAnsi="Arial" w:cs="Arial"/>
              </w:rPr>
              <w:t>Assets</w:t>
            </w:r>
            <w:r w:rsidR="009641AF" w:rsidRPr="00C318C9">
              <w:rPr>
                <w:rFonts w:ascii="Arial" w:hAnsi="Arial" w:cs="Arial"/>
              </w:rPr>
              <w:t xml:space="preserve"> </w:t>
            </w:r>
            <w:r w:rsidR="003072F5" w:rsidRPr="00C318C9">
              <w:rPr>
                <w:rFonts w:ascii="Arial" w:hAnsi="Arial" w:cs="Arial"/>
              </w:rPr>
              <w:t>A, B and C</w:t>
            </w:r>
            <w:r w:rsidR="009641AF">
              <w:rPr>
                <w:rFonts w:ascii="Arial" w:hAnsi="Arial" w:cs="Arial"/>
              </w:rPr>
              <w:t xml:space="preserve">. </w:t>
            </w:r>
            <w:proofErr w:type="spellStart"/>
            <w:r w:rsidR="003072F5" w:rsidRPr="00C318C9">
              <w:rPr>
                <w:rFonts w:ascii="Arial" w:hAnsi="Arial" w:cs="Arial"/>
              </w:rPr>
              <w:t>Mr</w:t>
            </w:r>
            <w:proofErr w:type="spellEnd"/>
            <w:r w:rsidR="003072F5" w:rsidRPr="00C318C9">
              <w:rPr>
                <w:rFonts w:ascii="Arial" w:hAnsi="Arial" w:cs="Arial"/>
              </w:rPr>
              <w:t xml:space="preserve"> and </w:t>
            </w:r>
            <w:proofErr w:type="spellStart"/>
            <w:r w:rsidR="003072F5" w:rsidRPr="00C318C9">
              <w:rPr>
                <w:rFonts w:ascii="Arial" w:hAnsi="Arial" w:cs="Arial"/>
              </w:rPr>
              <w:t>Mrs</w:t>
            </w:r>
            <w:proofErr w:type="spellEnd"/>
            <w:r w:rsidR="003072F5" w:rsidRPr="00C318C9">
              <w:rPr>
                <w:rFonts w:ascii="Arial" w:hAnsi="Arial" w:cs="Arial"/>
              </w:rPr>
              <w:t xml:space="preserve"> B</w:t>
            </w:r>
            <w:r w:rsidR="007D1D35" w:rsidRPr="00C318C9">
              <w:rPr>
                <w:rFonts w:ascii="Arial" w:hAnsi="Arial" w:cs="Arial"/>
              </w:rPr>
              <w:t>anner</w:t>
            </w:r>
            <w:r w:rsidR="002349D8" w:rsidRPr="00C318C9">
              <w:rPr>
                <w:rFonts w:ascii="Arial" w:hAnsi="Arial" w:cs="Arial"/>
              </w:rPr>
              <w:t xml:space="preserve"> </w:t>
            </w:r>
            <w:r w:rsidR="003072F5" w:rsidRPr="00C318C9">
              <w:rPr>
                <w:rFonts w:ascii="Arial" w:hAnsi="Arial" w:cs="Arial"/>
              </w:rPr>
              <w:t xml:space="preserve">consented to this. </w:t>
            </w:r>
          </w:p>
          <w:p w:rsidR="003072F5" w:rsidRPr="00C318C9" w:rsidRDefault="009641AF" w:rsidP="007C377F">
            <w:pPr>
              <w:spacing w:after="200" w:line="276" w:lineRule="auto"/>
              <w:jc w:val="both"/>
              <w:rPr>
                <w:rFonts w:ascii="Arial" w:hAnsi="Arial" w:cs="Arial"/>
              </w:rPr>
            </w:pPr>
            <w:r>
              <w:rPr>
                <w:rFonts w:ascii="Arial" w:hAnsi="Arial" w:cs="Arial"/>
              </w:rPr>
              <w:t xml:space="preserve">Sam </w:t>
            </w:r>
            <w:r w:rsidRPr="00F56FA0">
              <w:rPr>
                <w:rFonts w:ascii="Arial" w:hAnsi="Arial" w:cs="Arial"/>
              </w:rPr>
              <w:t xml:space="preserve">subsequently </w:t>
            </w:r>
            <w:r>
              <w:rPr>
                <w:rFonts w:ascii="Arial" w:hAnsi="Arial" w:cs="Arial"/>
              </w:rPr>
              <w:t>sold Asset</w:t>
            </w:r>
            <w:r w:rsidRPr="00C318C9">
              <w:rPr>
                <w:rFonts w:ascii="Arial" w:hAnsi="Arial" w:cs="Arial"/>
              </w:rPr>
              <w:t xml:space="preserve"> </w:t>
            </w:r>
            <w:r w:rsidR="003072F5" w:rsidRPr="00C318C9">
              <w:rPr>
                <w:rFonts w:ascii="Arial" w:hAnsi="Arial" w:cs="Arial"/>
              </w:rPr>
              <w:t>B</w:t>
            </w:r>
            <w:r>
              <w:rPr>
                <w:rFonts w:ascii="Arial" w:hAnsi="Arial" w:cs="Arial"/>
              </w:rPr>
              <w:t xml:space="preserve">. </w:t>
            </w:r>
            <w:r w:rsidR="003072F5" w:rsidRPr="00C318C9">
              <w:rPr>
                <w:rFonts w:ascii="Arial" w:hAnsi="Arial" w:cs="Arial"/>
              </w:rPr>
              <w:t>S</w:t>
            </w:r>
            <w:r w:rsidR="007D1D35" w:rsidRPr="00C318C9">
              <w:rPr>
                <w:rFonts w:ascii="Arial" w:hAnsi="Arial" w:cs="Arial"/>
              </w:rPr>
              <w:t>am</w:t>
            </w:r>
            <w:r w:rsidR="003072F5" w:rsidRPr="00C318C9">
              <w:rPr>
                <w:rFonts w:ascii="Arial" w:hAnsi="Arial" w:cs="Arial"/>
              </w:rPr>
              <w:t xml:space="preserve"> </w:t>
            </w:r>
            <w:r w:rsidR="006B0A34" w:rsidRPr="00C318C9">
              <w:rPr>
                <w:rFonts w:ascii="Arial" w:hAnsi="Arial" w:cs="Arial"/>
              </w:rPr>
              <w:t>used</w:t>
            </w:r>
            <w:r w:rsidR="003072F5" w:rsidRPr="00C318C9">
              <w:rPr>
                <w:rFonts w:ascii="Arial" w:hAnsi="Arial" w:cs="Arial"/>
              </w:rPr>
              <w:t xml:space="preserve"> the proceeds to reduce the debt on the line of credit </w:t>
            </w:r>
            <w:r>
              <w:rPr>
                <w:rFonts w:ascii="Arial" w:hAnsi="Arial" w:cs="Arial"/>
              </w:rPr>
              <w:t xml:space="preserve">(which was </w:t>
            </w:r>
            <w:r w:rsidR="003072F5" w:rsidRPr="00C318C9">
              <w:rPr>
                <w:rFonts w:ascii="Arial" w:hAnsi="Arial" w:cs="Arial"/>
              </w:rPr>
              <w:t xml:space="preserve">used to purchase </w:t>
            </w:r>
            <w:r>
              <w:rPr>
                <w:rFonts w:ascii="Arial" w:hAnsi="Arial" w:cs="Arial"/>
              </w:rPr>
              <w:t>Asset</w:t>
            </w:r>
            <w:r w:rsidR="003072F5" w:rsidRPr="00C318C9">
              <w:rPr>
                <w:rFonts w:ascii="Arial" w:hAnsi="Arial" w:cs="Arial"/>
              </w:rPr>
              <w:t xml:space="preserve"> C</w:t>
            </w:r>
            <w:r>
              <w:rPr>
                <w:rFonts w:ascii="Arial" w:hAnsi="Arial" w:cs="Arial"/>
              </w:rPr>
              <w:t>)</w:t>
            </w:r>
            <w:r w:rsidR="003072F5" w:rsidRPr="00C318C9">
              <w:rPr>
                <w:rFonts w:ascii="Arial" w:hAnsi="Arial" w:cs="Arial"/>
              </w:rPr>
              <w:t xml:space="preserve">. </w:t>
            </w:r>
            <w:r w:rsidR="006B0A34" w:rsidRPr="00C318C9">
              <w:rPr>
                <w:rFonts w:ascii="Arial" w:hAnsi="Arial" w:cs="Arial"/>
              </w:rPr>
              <w:t>Due to a bank error, the bank believed that S</w:t>
            </w:r>
            <w:r w:rsidR="007D1D35" w:rsidRPr="00C318C9">
              <w:rPr>
                <w:rFonts w:ascii="Arial" w:hAnsi="Arial" w:cs="Arial"/>
              </w:rPr>
              <w:t>am</w:t>
            </w:r>
            <w:r w:rsidR="006B0A34" w:rsidRPr="00C318C9">
              <w:rPr>
                <w:rFonts w:ascii="Arial" w:hAnsi="Arial" w:cs="Arial"/>
              </w:rPr>
              <w:t xml:space="preserve"> had sole ownership of </w:t>
            </w:r>
            <w:r>
              <w:rPr>
                <w:rFonts w:ascii="Arial" w:hAnsi="Arial" w:cs="Arial"/>
              </w:rPr>
              <w:t>Asset</w:t>
            </w:r>
            <w:r w:rsidR="006B0A34" w:rsidRPr="00C318C9">
              <w:rPr>
                <w:rFonts w:ascii="Arial" w:hAnsi="Arial" w:cs="Arial"/>
              </w:rPr>
              <w:t xml:space="preserve"> B and was the sole borrower and allowed S</w:t>
            </w:r>
            <w:r>
              <w:rPr>
                <w:rFonts w:ascii="Arial" w:hAnsi="Arial" w:cs="Arial"/>
              </w:rPr>
              <w:t>am</w:t>
            </w:r>
            <w:r w:rsidR="006B0A34" w:rsidRPr="00C318C9">
              <w:rPr>
                <w:rFonts w:ascii="Arial" w:hAnsi="Arial" w:cs="Arial"/>
              </w:rPr>
              <w:t xml:space="preserve"> to use the proceeds of sale to reduce the debt on </w:t>
            </w:r>
            <w:r>
              <w:rPr>
                <w:rFonts w:ascii="Arial" w:hAnsi="Arial" w:cs="Arial"/>
              </w:rPr>
              <w:t>Asset</w:t>
            </w:r>
            <w:r w:rsidR="006B0A34" w:rsidRPr="00C318C9">
              <w:rPr>
                <w:rFonts w:ascii="Arial" w:hAnsi="Arial" w:cs="Arial"/>
              </w:rPr>
              <w:t xml:space="preserve"> C without discharging the debt on </w:t>
            </w:r>
            <w:r>
              <w:rPr>
                <w:rFonts w:ascii="Arial" w:hAnsi="Arial" w:cs="Arial"/>
              </w:rPr>
              <w:t>Asset</w:t>
            </w:r>
            <w:r w:rsidR="006B0A34" w:rsidRPr="00C318C9">
              <w:rPr>
                <w:rFonts w:ascii="Arial" w:hAnsi="Arial" w:cs="Arial"/>
              </w:rPr>
              <w:t xml:space="preserve"> B. The loan for </w:t>
            </w:r>
            <w:r>
              <w:rPr>
                <w:rFonts w:ascii="Arial" w:hAnsi="Arial" w:cs="Arial"/>
              </w:rPr>
              <w:t>Asset</w:t>
            </w:r>
            <w:r w:rsidR="006B0A34" w:rsidRPr="00C318C9">
              <w:rPr>
                <w:rFonts w:ascii="Arial" w:hAnsi="Arial" w:cs="Arial"/>
              </w:rPr>
              <w:t xml:space="preserve"> B was thus only secured by </w:t>
            </w:r>
            <w:r>
              <w:rPr>
                <w:rFonts w:ascii="Arial" w:hAnsi="Arial" w:cs="Arial"/>
              </w:rPr>
              <w:t>Asset</w:t>
            </w:r>
            <w:r w:rsidR="006B0A34" w:rsidRPr="00C318C9">
              <w:rPr>
                <w:rFonts w:ascii="Arial" w:hAnsi="Arial" w:cs="Arial"/>
              </w:rPr>
              <w:t xml:space="preserve"> A which was</w:t>
            </w:r>
            <w:r>
              <w:rPr>
                <w:rFonts w:ascii="Arial" w:hAnsi="Arial" w:cs="Arial"/>
              </w:rPr>
              <w:t xml:space="preserve"> </w:t>
            </w:r>
            <w:proofErr w:type="spellStart"/>
            <w:r w:rsidR="006B0A34" w:rsidRPr="00C318C9">
              <w:rPr>
                <w:rFonts w:ascii="Arial" w:hAnsi="Arial" w:cs="Arial"/>
              </w:rPr>
              <w:t>Mr</w:t>
            </w:r>
            <w:proofErr w:type="spellEnd"/>
            <w:r w:rsidR="006B0A34" w:rsidRPr="00C318C9">
              <w:rPr>
                <w:rFonts w:ascii="Arial" w:hAnsi="Arial" w:cs="Arial"/>
              </w:rPr>
              <w:t xml:space="preserve"> and </w:t>
            </w:r>
            <w:proofErr w:type="spellStart"/>
            <w:r w:rsidR="006B0A34" w:rsidRPr="00C318C9">
              <w:rPr>
                <w:rFonts w:ascii="Arial" w:hAnsi="Arial" w:cs="Arial"/>
              </w:rPr>
              <w:t>Mrs</w:t>
            </w:r>
            <w:proofErr w:type="spellEnd"/>
            <w:r w:rsidR="006B0A34" w:rsidRPr="00C318C9">
              <w:rPr>
                <w:rFonts w:ascii="Arial" w:hAnsi="Arial" w:cs="Arial"/>
              </w:rPr>
              <w:t xml:space="preserve"> B</w:t>
            </w:r>
            <w:r w:rsidR="007D1D35" w:rsidRPr="00C318C9">
              <w:rPr>
                <w:rFonts w:ascii="Arial" w:hAnsi="Arial" w:cs="Arial"/>
              </w:rPr>
              <w:t>anner</w:t>
            </w:r>
            <w:r>
              <w:rPr>
                <w:rFonts w:ascii="Arial" w:hAnsi="Arial" w:cs="Arial"/>
              </w:rPr>
              <w:t>’s family home.</w:t>
            </w:r>
          </w:p>
          <w:p w:rsidR="006B0A34" w:rsidRPr="00C318C9" w:rsidRDefault="006B0A34" w:rsidP="007C377F">
            <w:pPr>
              <w:spacing w:after="200" w:line="276" w:lineRule="auto"/>
              <w:jc w:val="both"/>
              <w:rPr>
                <w:rFonts w:ascii="Arial" w:hAnsi="Arial" w:cs="Arial"/>
              </w:rPr>
            </w:pPr>
            <w:r w:rsidRPr="00C318C9">
              <w:rPr>
                <w:rFonts w:ascii="Arial" w:hAnsi="Arial" w:cs="Arial"/>
              </w:rPr>
              <w:t>S</w:t>
            </w:r>
            <w:r w:rsidR="007D1D35" w:rsidRPr="00C318C9">
              <w:rPr>
                <w:rFonts w:ascii="Arial" w:hAnsi="Arial" w:cs="Arial"/>
              </w:rPr>
              <w:t>am</w:t>
            </w:r>
            <w:r w:rsidRPr="00C318C9">
              <w:rPr>
                <w:rFonts w:ascii="Arial" w:hAnsi="Arial" w:cs="Arial"/>
              </w:rPr>
              <w:t xml:space="preserve"> then sold </w:t>
            </w:r>
            <w:r w:rsidR="009641AF">
              <w:rPr>
                <w:rFonts w:ascii="Arial" w:hAnsi="Arial" w:cs="Arial"/>
              </w:rPr>
              <w:t>Asset</w:t>
            </w:r>
            <w:r w:rsidRPr="00C318C9">
              <w:rPr>
                <w:rFonts w:ascii="Arial" w:hAnsi="Arial" w:cs="Arial"/>
              </w:rPr>
              <w:t xml:space="preserve"> C and discharged the remaining loan on </w:t>
            </w:r>
            <w:r w:rsidR="009641AF">
              <w:rPr>
                <w:rFonts w:ascii="Arial" w:hAnsi="Arial" w:cs="Arial"/>
              </w:rPr>
              <w:t>Asset</w:t>
            </w:r>
            <w:r w:rsidRPr="00C318C9">
              <w:rPr>
                <w:rFonts w:ascii="Arial" w:hAnsi="Arial" w:cs="Arial"/>
              </w:rPr>
              <w:t xml:space="preserve"> C and recei</w:t>
            </w:r>
            <w:r w:rsidR="00F629A6" w:rsidRPr="00C318C9">
              <w:rPr>
                <w:rFonts w:ascii="Arial" w:hAnsi="Arial" w:cs="Arial"/>
              </w:rPr>
              <w:t>ved</w:t>
            </w:r>
            <w:r w:rsidRPr="00C318C9">
              <w:rPr>
                <w:rFonts w:ascii="Arial" w:hAnsi="Arial" w:cs="Arial"/>
              </w:rPr>
              <w:t xml:space="preserve"> </w:t>
            </w:r>
            <w:r w:rsidR="00355F8A" w:rsidRPr="00D9795D">
              <w:rPr>
                <w:rFonts w:ascii="Arial" w:hAnsi="Arial" w:cs="Arial"/>
              </w:rPr>
              <w:t>a</w:t>
            </w:r>
            <w:r w:rsidR="00355F8A" w:rsidRPr="00C318C9">
              <w:rPr>
                <w:rFonts w:ascii="Arial" w:hAnsi="Arial" w:cs="Arial"/>
              </w:rPr>
              <w:t xml:space="preserve"> </w:t>
            </w:r>
            <w:r w:rsidRPr="00C318C9">
              <w:rPr>
                <w:rFonts w:ascii="Arial" w:hAnsi="Arial" w:cs="Arial"/>
              </w:rPr>
              <w:t>surplus. S</w:t>
            </w:r>
            <w:r w:rsidR="007D1D35" w:rsidRPr="00C318C9">
              <w:rPr>
                <w:rFonts w:ascii="Arial" w:hAnsi="Arial" w:cs="Arial"/>
              </w:rPr>
              <w:t>am</w:t>
            </w:r>
            <w:r w:rsidRPr="00C318C9">
              <w:rPr>
                <w:rFonts w:ascii="Arial" w:hAnsi="Arial" w:cs="Arial"/>
              </w:rPr>
              <w:t xml:space="preserve"> then moved </w:t>
            </w:r>
            <w:r w:rsidR="00355F8A">
              <w:rPr>
                <w:rFonts w:ascii="Arial" w:hAnsi="Arial" w:cs="Arial"/>
              </w:rPr>
              <w:t>overseas</w:t>
            </w:r>
            <w:r w:rsidRPr="00C318C9">
              <w:rPr>
                <w:rFonts w:ascii="Arial" w:hAnsi="Arial" w:cs="Arial"/>
              </w:rPr>
              <w:t xml:space="preserve">, leaving </w:t>
            </w:r>
            <w:proofErr w:type="spellStart"/>
            <w:r w:rsidRPr="00C318C9">
              <w:rPr>
                <w:rFonts w:ascii="Arial" w:hAnsi="Arial" w:cs="Arial"/>
              </w:rPr>
              <w:t>Mr</w:t>
            </w:r>
            <w:proofErr w:type="spellEnd"/>
            <w:r w:rsidRPr="00C318C9">
              <w:rPr>
                <w:rFonts w:ascii="Arial" w:hAnsi="Arial" w:cs="Arial"/>
              </w:rPr>
              <w:t xml:space="preserve"> and </w:t>
            </w:r>
            <w:proofErr w:type="spellStart"/>
            <w:r w:rsidRPr="00C318C9">
              <w:rPr>
                <w:rFonts w:ascii="Arial" w:hAnsi="Arial" w:cs="Arial"/>
              </w:rPr>
              <w:t>Mrs</w:t>
            </w:r>
            <w:proofErr w:type="spellEnd"/>
            <w:r w:rsidRPr="00C318C9">
              <w:rPr>
                <w:rFonts w:ascii="Arial" w:hAnsi="Arial" w:cs="Arial"/>
              </w:rPr>
              <w:t xml:space="preserve"> B</w:t>
            </w:r>
            <w:r w:rsidR="007D1D35" w:rsidRPr="00C318C9">
              <w:rPr>
                <w:rFonts w:ascii="Arial" w:hAnsi="Arial" w:cs="Arial"/>
              </w:rPr>
              <w:t>anner</w:t>
            </w:r>
            <w:r w:rsidRPr="00C318C9">
              <w:rPr>
                <w:rFonts w:ascii="Arial" w:hAnsi="Arial" w:cs="Arial"/>
              </w:rPr>
              <w:t xml:space="preserve"> responsible for the remaining loan on </w:t>
            </w:r>
            <w:r w:rsidR="00355F8A">
              <w:rPr>
                <w:rFonts w:ascii="Arial" w:hAnsi="Arial" w:cs="Arial"/>
              </w:rPr>
              <w:t>Asset</w:t>
            </w:r>
            <w:r w:rsidR="00355F8A" w:rsidRPr="00C318C9">
              <w:rPr>
                <w:rFonts w:ascii="Arial" w:hAnsi="Arial" w:cs="Arial"/>
              </w:rPr>
              <w:t xml:space="preserve"> </w:t>
            </w:r>
            <w:r w:rsidRPr="00C318C9">
              <w:rPr>
                <w:rFonts w:ascii="Arial" w:hAnsi="Arial" w:cs="Arial"/>
              </w:rPr>
              <w:t xml:space="preserve">B with only </w:t>
            </w:r>
            <w:r w:rsidR="00355F8A">
              <w:rPr>
                <w:rFonts w:ascii="Arial" w:hAnsi="Arial" w:cs="Arial"/>
              </w:rPr>
              <w:t>Asset</w:t>
            </w:r>
            <w:r w:rsidR="00355F8A" w:rsidRPr="00C318C9">
              <w:rPr>
                <w:rFonts w:ascii="Arial" w:hAnsi="Arial" w:cs="Arial"/>
              </w:rPr>
              <w:t xml:space="preserve"> </w:t>
            </w:r>
            <w:r w:rsidRPr="00C318C9">
              <w:rPr>
                <w:rFonts w:ascii="Arial" w:hAnsi="Arial" w:cs="Arial"/>
              </w:rPr>
              <w:t>A</w:t>
            </w:r>
            <w:r w:rsidR="00355F8A">
              <w:rPr>
                <w:rFonts w:ascii="Arial" w:hAnsi="Arial" w:cs="Arial"/>
              </w:rPr>
              <w:t>, their family home,</w:t>
            </w:r>
            <w:r w:rsidRPr="00C318C9">
              <w:rPr>
                <w:rFonts w:ascii="Arial" w:hAnsi="Arial" w:cs="Arial"/>
              </w:rPr>
              <w:t xml:space="preserve"> as security. </w:t>
            </w:r>
          </w:p>
          <w:p w:rsidR="006B0A34" w:rsidRPr="00C318C9" w:rsidRDefault="006B0A34" w:rsidP="00D9795D">
            <w:pPr>
              <w:jc w:val="both"/>
              <w:rPr>
                <w:rFonts w:ascii="Arial" w:hAnsi="Arial" w:cs="Arial"/>
              </w:rPr>
            </w:pPr>
            <w:r w:rsidRPr="00C318C9">
              <w:rPr>
                <w:rFonts w:ascii="Arial" w:hAnsi="Arial" w:cs="Arial"/>
              </w:rPr>
              <w:t>S</w:t>
            </w:r>
            <w:r w:rsidR="007D1D35" w:rsidRPr="00C318C9">
              <w:rPr>
                <w:rFonts w:ascii="Arial" w:hAnsi="Arial" w:cs="Arial"/>
              </w:rPr>
              <w:t>am</w:t>
            </w:r>
            <w:r w:rsidRPr="00C318C9">
              <w:rPr>
                <w:rFonts w:ascii="Arial" w:hAnsi="Arial" w:cs="Arial"/>
              </w:rPr>
              <w:t xml:space="preserve"> had effectively obtained the </w:t>
            </w:r>
            <w:r w:rsidR="003A0BCE" w:rsidRPr="00C318C9">
              <w:rPr>
                <w:rFonts w:ascii="Arial" w:hAnsi="Arial" w:cs="Arial"/>
              </w:rPr>
              <w:t xml:space="preserve">benefit of the loan on </w:t>
            </w:r>
            <w:r w:rsidR="00355F8A">
              <w:rPr>
                <w:rFonts w:ascii="Arial" w:hAnsi="Arial" w:cs="Arial"/>
              </w:rPr>
              <w:t>Asset</w:t>
            </w:r>
            <w:r w:rsidR="003A0BCE" w:rsidRPr="00C318C9">
              <w:rPr>
                <w:rFonts w:ascii="Arial" w:hAnsi="Arial" w:cs="Arial"/>
              </w:rPr>
              <w:t xml:space="preserve"> B at the expense of </w:t>
            </w:r>
            <w:proofErr w:type="spellStart"/>
            <w:r w:rsidR="003A0BCE" w:rsidRPr="00C318C9">
              <w:rPr>
                <w:rFonts w:ascii="Arial" w:hAnsi="Arial" w:cs="Arial"/>
              </w:rPr>
              <w:t>Mr</w:t>
            </w:r>
            <w:proofErr w:type="spellEnd"/>
            <w:r w:rsidR="003A0BCE" w:rsidRPr="00C318C9">
              <w:rPr>
                <w:rFonts w:ascii="Arial" w:hAnsi="Arial" w:cs="Arial"/>
              </w:rPr>
              <w:t xml:space="preserve"> and </w:t>
            </w:r>
            <w:proofErr w:type="spellStart"/>
            <w:r w:rsidR="003A0BCE" w:rsidRPr="00C318C9">
              <w:rPr>
                <w:rFonts w:ascii="Arial" w:hAnsi="Arial" w:cs="Arial"/>
              </w:rPr>
              <w:t>Mrs</w:t>
            </w:r>
            <w:proofErr w:type="spellEnd"/>
            <w:r w:rsidR="003A0BCE" w:rsidRPr="00C318C9">
              <w:rPr>
                <w:rFonts w:ascii="Arial" w:hAnsi="Arial" w:cs="Arial"/>
              </w:rPr>
              <w:t xml:space="preserve"> B</w:t>
            </w:r>
            <w:r w:rsidR="007D1D35" w:rsidRPr="00C318C9">
              <w:rPr>
                <w:rFonts w:ascii="Arial" w:hAnsi="Arial" w:cs="Arial"/>
              </w:rPr>
              <w:t>anner</w:t>
            </w:r>
            <w:r w:rsidR="003A0BCE" w:rsidRPr="00C318C9">
              <w:rPr>
                <w:rFonts w:ascii="Arial" w:hAnsi="Arial" w:cs="Arial"/>
              </w:rPr>
              <w:t>.</w:t>
            </w:r>
          </w:p>
        </w:tc>
      </w:tr>
    </w:tbl>
    <w:p w:rsidR="00B9471D" w:rsidRDefault="00B9471D" w:rsidP="007C377F">
      <w:pPr>
        <w:jc w:val="both"/>
        <w:rPr>
          <w:rFonts w:ascii="Arial" w:hAnsi="Arial" w:cs="Arial"/>
        </w:rPr>
      </w:pPr>
    </w:p>
    <w:p w:rsidR="00B9471D" w:rsidRDefault="00B9471D">
      <w:pPr>
        <w:rPr>
          <w:rFonts w:ascii="Arial" w:hAnsi="Arial" w:cs="Arial"/>
        </w:rPr>
      </w:pPr>
      <w:r>
        <w:rPr>
          <w:rFonts w:ascii="Arial" w:hAnsi="Arial" w:cs="Arial"/>
        </w:rPr>
        <w:br w:type="page"/>
      </w:r>
    </w:p>
    <w:tbl>
      <w:tblPr>
        <w:tblStyle w:val="TableGrid"/>
        <w:tblW w:w="0" w:type="auto"/>
        <w:tblLook w:val="04A0"/>
      </w:tblPr>
      <w:tblGrid>
        <w:gridCol w:w="9576"/>
      </w:tblGrid>
      <w:tr w:rsidR="00932FE4" w:rsidRPr="00CF32C7" w:rsidTr="00932FE4">
        <w:tc>
          <w:tcPr>
            <w:tcW w:w="9576" w:type="dxa"/>
          </w:tcPr>
          <w:p w:rsidR="00932FE4" w:rsidRPr="00606EA4" w:rsidRDefault="00606EA4" w:rsidP="007C377F">
            <w:pPr>
              <w:spacing w:after="200" w:line="276" w:lineRule="auto"/>
              <w:jc w:val="both"/>
              <w:rPr>
                <w:rFonts w:ascii="Arial" w:hAnsi="Arial" w:cs="Arial"/>
              </w:rPr>
            </w:pPr>
            <w:r>
              <w:rPr>
                <w:rFonts w:ascii="Arial" w:hAnsi="Arial" w:cs="Arial"/>
              </w:rPr>
              <w:lastRenderedPageBreak/>
              <w:t>Case study 2</w:t>
            </w:r>
            <w:r w:rsidR="007D1D35" w:rsidRPr="00606EA4">
              <w:rPr>
                <w:rFonts w:ascii="Arial" w:hAnsi="Arial" w:cs="Arial"/>
              </w:rPr>
              <w:t xml:space="preserve"> </w:t>
            </w:r>
            <w:r w:rsidR="00D73097" w:rsidRPr="00606EA4">
              <w:rPr>
                <w:rFonts w:ascii="Arial" w:hAnsi="Arial" w:cs="Arial"/>
              </w:rPr>
              <w:t>–</w:t>
            </w:r>
            <w:r w:rsidR="007D1D35" w:rsidRPr="00606EA4">
              <w:rPr>
                <w:rFonts w:ascii="Arial" w:hAnsi="Arial" w:cs="Arial"/>
              </w:rPr>
              <w:t xml:space="preserve"> </w:t>
            </w:r>
            <w:r w:rsidR="00D73097" w:rsidRPr="00606EA4">
              <w:rPr>
                <w:rFonts w:ascii="Arial" w:hAnsi="Arial" w:cs="Arial"/>
              </w:rPr>
              <w:t xml:space="preserve">The </w:t>
            </w:r>
            <w:proofErr w:type="spellStart"/>
            <w:r w:rsidR="00D73097" w:rsidRPr="00606EA4">
              <w:rPr>
                <w:rFonts w:ascii="Arial" w:hAnsi="Arial" w:cs="Arial"/>
              </w:rPr>
              <w:t>Langdons</w:t>
            </w:r>
            <w:proofErr w:type="spellEnd"/>
          </w:p>
          <w:p w:rsidR="0079365B" w:rsidRPr="00606EA4" w:rsidRDefault="00291CE8" w:rsidP="007C377F">
            <w:pPr>
              <w:spacing w:after="200" w:line="276" w:lineRule="auto"/>
              <w:jc w:val="both"/>
              <w:rPr>
                <w:rFonts w:ascii="Arial" w:hAnsi="Arial" w:cs="Arial"/>
              </w:rPr>
            </w:pPr>
            <w:proofErr w:type="spellStart"/>
            <w:r w:rsidRPr="00606EA4">
              <w:rPr>
                <w:rFonts w:ascii="Arial" w:hAnsi="Arial" w:cs="Arial"/>
              </w:rPr>
              <w:t>Mr</w:t>
            </w:r>
            <w:proofErr w:type="spellEnd"/>
            <w:r w:rsidRPr="00606EA4">
              <w:rPr>
                <w:rFonts w:ascii="Arial" w:hAnsi="Arial" w:cs="Arial"/>
              </w:rPr>
              <w:t xml:space="preserve"> and </w:t>
            </w:r>
            <w:proofErr w:type="spellStart"/>
            <w:r w:rsidRPr="00606EA4">
              <w:rPr>
                <w:rFonts w:ascii="Arial" w:hAnsi="Arial" w:cs="Arial"/>
              </w:rPr>
              <w:t>Mrs</w:t>
            </w:r>
            <w:proofErr w:type="spellEnd"/>
            <w:r w:rsidRPr="00606EA4">
              <w:rPr>
                <w:rFonts w:ascii="Arial" w:hAnsi="Arial" w:cs="Arial"/>
              </w:rPr>
              <w:t xml:space="preserve"> L</w:t>
            </w:r>
            <w:r w:rsidR="007D1D35" w:rsidRPr="00606EA4">
              <w:rPr>
                <w:rFonts w:ascii="Arial" w:hAnsi="Arial" w:cs="Arial"/>
              </w:rPr>
              <w:t>angdon</w:t>
            </w:r>
            <w:r w:rsidRPr="00606EA4">
              <w:rPr>
                <w:rFonts w:ascii="Arial" w:hAnsi="Arial" w:cs="Arial"/>
              </w:rPr>
              <w:t xml:space="preserve"> owned their own home</w:t>
            </w:r>
            <w:r w:rsidR="00041DA5">
              <w:rPr>
                <w:rFonts w:ascii="Arial" w:hAnsi="Arial" w:cs="Arial"/>
              </w:rPr>
              <w:t>, Asset</w:t>
            </w:r>
            <w:r w:rsidRPr="00606EA4">
              <w:rPr>
                <w:rFonts w:ascii="Arial" w:hAnsi="Arial" w:cs="Arial"/>
              </w:rPr>
              <w:t xml:space="preserve"> A. Their son, Adam, asked them to be the guarantors for a loan. The </w:t>
            </w:r>
            <w:r w:rsidR="0079365B" w:rsidRPr="00606EA4">
              <w:rPr>
                <w:rFonts w:ascii="Arial" w:hAnsi="Arial" w:cs="Arial"/>
              </w:rPr>
              <w:t xml:space="preserve">loan was taken </w:t>
            </w:r>
            <w:r w:rsidR="00B64BBB">
              <w:rPr>
                <w:rFonts w:ascii="Arial" w:hAnsi="Arial" w:cs="Arial"/>
              </w:rPr>
              <w:t>out</w:t>
            </w:r>
            <w:r w:rsidR="00B64BBB" w:rsidRPr="00606EA4">
              <w:rPr>
                <w:rFonts w:ascii="Arial" w:hAnsi="Arial" w:cs="Arial"/>
              </w:rPr>
              <w:t xml:space="preserve"> </w:t>
            </w:r>
            <w:r w:rsidR="0079365B" w:rsidRPr="00606EA4">
              <w:rPr>
                <w:rFonts w:ascii="Arial" w:hAnsi="Arial" w:cs="Arial"/>
              </w:rPr>
              <w:t xml:space="preserve">by Adam’s company as trustee for Adam’s family trust and was used for the purposes of renovating </w:t>
            </w:r>
            <w:r w:rsidR="00041DA5">
              <w:rPr>
                <w:rFonts w:ascii="Arial" w:hAnsi="Arial" w:cs="Arial"/>
              </w:rPr>
              <w:t xml:space="preserve">Asset </w:t>
            </w:r>
            <w:r w:rsidR="0079365B" w:rsidRPr="00606EA4">
              <w:rPr>
                <w:rFonts w:ascii="Arial" w:hAnsi="Arial" w:cs="Arial"/>
              </w:rPr>
              <w:t xml:space="preserve">B. </w:t>
            </w:r>
            <w:r w:rsidR="00041DA5">
              <w:rPr>
                <w:rFonts w:ascii="Arial" w:hAnsi="Arial" w:cs="Arial"/>
              </w:rPr>
              <w:t>Asset</w:t>
            </w:r>
            <w:r w:rsidR="00041DA5" w:rsidRPr="00606EA4">
              <w:rPr>
                <w:rFonts w:ascii="Arial" w:hAnsi="Arial" w:cs="Arial"/>
              </w:rPr>
              <w:t xml:space="preserve"> </w:t>
            </w:r>
            <w:r w:rsidR="0079365B" w:rsidRPr="00606EA4">
              <w:rPr>
                <w:rFonts w:ascii="Arial" w:hAnsi="Arial" w:cs="Arial"/>
              </w:rPr>
              <w:t xml:space="preserve">B was intended to be sold after the renovations were completed and make a profit for Adam’s family trust. The initial loan was </w:t>
            </w:r>
            <w:r w:rsidR="00041DA5">
              <w:rPr>
                <w:rFonts w:ascii="Arial" w:hAnsi="Arial" w:cs="Arial"/>
              </w:rPr>
              <w:t xml:space="preserve">for </w:t>
            </w:r>
            <w:r w:rsidR="0079365B" w:rsidRPr="00606EA4">
              <w:rPr>
                <w:rFonts w:ascii="Arial" w:hAnsi="Arial" w:cs="Arial"/>
              </w:rPr>
              <w:t>$600,000 for 6 months</w:t>
            </w:r>
            <w:r w:rsidR="00127BDC">
              <w:rPr>
                <w:rFonts w:ascii="Arial" w:hAnsi="Arial" w:cs="Arial"/>
              </w:rPr>
              <w:t>.</w:t>
            </w:r>
            <w:r w:rsidR="0079365B" w:rsidRPr="00606EA4">
              <w:rPr>
                <w:rFonts w:ascii="Arial" w:hAnsi="Arial" w:cs="Arial"/>
              </w:rPr>
              <w:t xml:space="preserve"> </w:t>
            </w:r>
            <w:proofErr w:type="spellStart"/>
            <w:r w:rsidR="0079365B" w:rsidRPr="00606EA4">
              <w:rPr>
                <w:rFonts w:ascii="Arial" w:hAnsi="Arial" w:cs="Arial"/>
              </w:rPr>
              <w:t>Mr</w:t>
            </w:r>
            <w:proofErr w:type="spellEnd"/>
            <w:r w:rsidR="0079365B" w:rsidRPr="00606EA4">
              <w:rPr>
                <w:rFonts w:ascii="Arial" w:hAnsi="Arial" w:cs="Arial"/>
              </w:rPr>
              <w:t xml:space="preserve"> and </w:t>
            </w:r>
            <w:proofErr w:type="spellStart"/>
            <w:r w:rsidR="0079365B" w:rsidRPr="00606EA4">
              <w:rPr>
                <w:rFonts w:ascii="Arial" w:hAnsi="Arial" w:cs="Arial"/>
              </w:rPr>
              <w:t>Mrs</w:t>
            </w:r>
            <w:proofErr w:type="spellEnd"/>
            <w:r w:rsidR="0079365B" w:rsidRPr="00606EA4">
              <w:rPr>
                <w:rFonts w:ascii="Arial" w:hAnsi="Arial" w:cs="Arial"/>
              </w:rPr>
              <w:t xml:space="preserve"> L</w:t>
            </w:r>
            <w:r w:rsidR="007D1D35" w:rsidRPr="00606EA4">
              <w:rPr>
                <w:rFonts w:ascii="Arial" w:hAnsi="Arial" w:cs="Arial"/>
              </w:rPr>
              <w:t>angdon</w:t>
            </w:r>
            <w:r w:rsidR="0079365B" w:rsidRPr="00606EA4">
              <w:rPr>
                <w:rFonts w:ascii="Arial" w:hAnsi="Arial" w:cs="Arial"/>
              </w:rPr>
              <w:t xml:space="preserve"> agreed to be unlimited guarantors and placed their</w:t>
            </w:r>
            <w:r w:rsidR="00041DA5">
              <w:rPr>
                <w:rFonts w:ascii="Arial" w:hAnsi="Arial" w:cs="Arial"/>
              </w:rPr>
              <w:t xml:space="preserve"> family home, Asset</w:t>
            </w:r>
            <w:r w:rsidR="0079365B" w:rsidRPr="00606EA4">
              <w:rPr>
                <w:rFonts w:ascii="Arial" w:hAnsi="Arial" w:cs="Arial"/>
              </w:rPr>
              <w:t xml:space="preserve"> A as security for the loan. </w:t>
            </w:r>
          </w:p>
          <w:p w:rsidR="005954CA" w:rsidRPr="00606EA4" w:rsidRDefault="0079365B" w:rsidP="007C377F">
            <w:pPr>
              <w:spacing w:after="200" w:line="276" w:lineRule="auto"/>
              <w:jc w:val="both"/>
              <w:rPr>
                <w:rFonts w:ascii="Arial" w:hAnsi="Arial" w:cs="Arial"/>
              </w:rPr>
            </w:pPr>
            <w:r w:rsidRPr="00606EA4">
              <w:rPr>
                <w:rFonts w:ascii="Arial" w:hAnsi="Arial" w:cs="Arial"/>
              </w:rPr>
              <w:t>After 6 months, Adam was unable to repay the loan and agreed with the lender to extend the loan</w:t>
            </w:r>
            <w:r w:rsidR="005954CA" w:rsidRPr="00606EA4">
              <w:rPr>
                <w:rFonts w:ascii="Arial" w:hAnsi="Arial" w:cs="Arial"/>
              </w:rPr>
              <w:t xml:space="preserve"> period</w:t>
            </w:r>
            <w:r w:rsidRPr="00606EA4">
              <w:rPr>
                <w:rFonts w:ascii="Arial" w:hAnsi="Arial" w:cs="Arial"/>
              </w:rPr>
              <w:t xml:space="preserve"> and increase the </w:t>
            </w:r>
            <w:r w:rsidR="00041DA5">
              <w:rPr>
                <w:rFonts w:ascii="Arial" w:hAnsi="Arial" w:cs="Arial"/>
              </w:rPr>
              <w:t>loan amount</w:t>
            </w:r>
            <w:r w:rsidR="00041DA5" w:rsidRPr="00606EA4">
              <w:rPr>
                <w:rFonts w:ascii="Arial" w:hAnsi="Arial" w:cs="Arial"/>
              </w:rPr>
              <w:t xml:space="preserve"> </w:t>
            </w:r>
            <w:r w:rsidRPr="00606EA4">
              <w:rPr>
                <w:rFonts w:ascii="Arial" w:hAnsi="Arial" w:cs="Arial"/>
              </w:rPr>
              <w:t xml:space="preserve">by $500,000. </w:t>
            </w:r>
            <w:r w:rsidR="005954CA" w:rsidRPr="00606EA4">
              <w:rPr>
                <w:rFonts w:ascii="Arial" w:hAnsi="Arial" w:cs="Arial"/>
              </w:rPr>
              <w:t xml:space="preserve">The lender did not communicate this to </w:t>
            </w:r>
            <w:proofErr w:type="spellStart"/>
            <w:r w:rsidR="005954CA" w:rsidRPr="00606EA4">
              <w:rPr>
                <w:rFonts w:ascii="Arial" w:hAnsi="Arial" w:cs="Arial"/>
              </w:rPr>
              <w:t>Mr</w:t>
            </w:r>
            <w:proofErr w:type="spellEnd"/>
            <w:r w:rsidR="005954CA" w:rsidRPr="00606EA4">
              <w:rPr>
                <w:rFonts w:ascii="Arial" w:hAnsi="Arial" w:cs="Arial"/>
              </w:rPr>
              <w:t xml:space="preserve"> and </w:t>
            </w:r>
            <w:proofErr w:type="spellStart"/>
            <w:r w:rsidR="005954CA" w:rsidRPr="00606EA4">
              <w:rPr>
                <w:rFonts w:ascii="Arial" w:hAnsi="Arial" w:cs="Arial"/>
              </w:rPr>
              <w:t>Mrs</w:t>
            </w:r>
            <w:proofErr w:type="spellEnd"/>
            <w:r w:rsidR="005954CA" w:rsidRPr="00606EA4">
              <w:rPr>
                <w:rFonts w:ascii="Arial" w:hAnsi="Arial" w:cs="Arial"/>
              </w:rPr>
              <w:t xml:space="preserve"> L</w:t>
            </w:r>
            <w:r w:rsidR="007D1D35" w:rsidRPr="00606EA4">
              <w:rPr>
                <w:rFonts w:ascii="Arial" w:hAnsi="Arial" w:cs="Arial"/>
              </w:rPr>
              <w:t>angdon</w:t>
            </w:r>
            <w:r w:rsidR="005954CA" w:rsidRPr="00606EA4">
              <w:rPr>
                <w:rFonts w:ascii="Arial" w:hAnsi="Arial" w:cs="Arial"/>
              </w:rPr>
              <w:t xml:space="preserve">. At the end of the extended loan period, Adam was unable to repay the loan and the lender commenced proceedings to enforce the loan including the guarantee provided by </w:t>
            </w:r>
            <w:proofErr w:type="spellStart"/>
            <w:r w:rsidR="005954CA" w:rsidRPr="00606EA4">
              <w:rPr>
                <w:rFonts w:ascii="Arial" w:hAnsi="Arial" w:cs="Arial"/>
              </w:rPr>
              <w:t>Mr</w:t>
            </w:r>
            <w:proofErr w:type="spellEnd"/>
            <w:r w:rsidR="005954CA" w:rsidRPr="00606EA4">
              <w:rPr>
                <w:rFonts w:ascii="Arial" w:hAnsi="Arial" w:cs="Arial"/>
              </w:rPr>
              <w:t xml:space="preserve"> and </w:t>
            </w:r>
            <w:proofErr w:type="spellStart"/>
            <w:r w:rsidR="005954CA" w:rsidRPr="00606EA4">
              <w:rPr>
                <w:rFonts w:ascii="Arial" w:hAnsi="Arial" w:cs="Arial"/>
              </w:rPr>
              <w:t>Mrs</w:t>
            </w:r>
            <w:proofErr w:type="spellEnd"/>
            <w:r w:rsidR="005954CA" w:rsidRPr="00606EA4">
              <w:rPr>
                <w:rFonts w:ascii="Arial" w:hAnsi="Arial" w:cs="Arial"/>
              </w:rPr>
              <w:t xml:space="preserve"> L</w:t>
            </w:r>
            <w:r w:rsidR="007D1D35" w:rsidRPr="00606EA4">
              <w:rPr>
                <w:rFonts w:ascii="Arial" w:hAnsi="Arial" w:cs="Arial"/>
              </w:rPr>
              <w:t>angdon</w:t>
            </w:r>
            <w:r w:rsidR="005954CA" w:rsidRPr="00606EA4">
              <w:rPr>
                <w:rFonts w:ascii="Arial" w:hAnsi="Arial" w:cs="Arial"/>
              </w:rPr>
              <w:t>.</w:t>
            </w:r>
          </w:p>
          <w:p w:rsidR="00A637D2" w:rsidRPr="00606EA4" w:rsidRDefault="00A637D2" w:rsidP="007C377F">
            <w:pPr>
              <w:spacing w:after="200" w:line="276" w:lineRule="auto"/>
              <w:jc w:val="both"/>
              <w:rPr>
                <w:rFonts w:ascii="Arial" w:hAnsi="Arial" w:cs="Arial"/>
              </w:rPr>
            </w:pPr>
            <w:proofErr w:type="spellStart"/>
            <w:r w:rsidRPr="00606EA4">
              <w:rPr>
                <w:rFonts w:ascii="Arial" w:hAnsi="Arial" w:cs="Arial"/>
              </w:rPr>
              <w:t>Mr</w:t>
            </w:r>
            <w:proofErr w:type="spellEnd"/>
            <w:r w:rsidRPr="00606EA4">
              <w:rPr>
                <w:rFonts w:ascii="Arial" w:hAnsi="Arial" w:cs="Arial"/>
              </w:rPr>
              <w:t xml:space="preserve"> and </w:t>
            </w:r>
            <w:proofErr w:type="spellStart"/>
            <w:r w:rsidRPr="00606EA4">
              <w:rPr>
                <w:rFonts w:ascii="Arial" w:hAnsi="Arial" w:cs="Arial"/>
              </w:rPr>
              <w:t>Mrs</w:t>
            </w:r>
            <w:proofErr w:type="spellEnd"/>
            <w:r w:rsidRPr="00606EA4">
              <w:rPr>
                <w:rFonts w:ascii="Arial" w:hAnsi="Arial" w:cs="Arial"/>
              </w:rPr>
              <w:t xml:space="preserve"> L</w:t>
            </w:r>
            <w:r w:rsidR="007D1D35" w:rsidRPr="00606EA4">
              <w:rPr>
                <w:rFonts w:ascii="Arial" w:hAnsi="Arial" w:cs="Arial"/>
              </w:rPr>
              <w:t>angdon</w:t>
            </w:r>
            <w:r w:rsidRPr="00606EA4">
              <w:rPr>
                <w:rFonts w:ascii="Arial" w:hAnsi="Arial" w:cs="Arial"/>
              </w:rPr>
              <w:t xml:space="preserve"> are currently challenging the guarantee in the courts.</w:t>
            </w:r>
          </w:p>
          <w:p w:rsidR="00A637D2" w:rsidRDefault="00583538" w:rsidP="007C377F">
            <w:pPr>
              <w:spacing w:after="200" w:line="276" w:lineRule="auto"/>
              <w:jc w:val="both"/>
              <w:rPr>
                <w:rFonts w:ascii="Arial" w:hAnsi="Arial" w:cs="Arial"/>
              </w:rPr>
            </w:pPr>
            <w:r w:rsidRPr="00606EA4">
              <w:rPr>
                <w:rFonts w:ascii="Arial" w:hAnsi="Arial" w:cs="Arial"/>
              </w:rPr>
              <w:t>W</w:t>
            </w:r>
            <w:r w:rsidR="00A637D2" w:rsidRPr="00606EA4">
              <w:rPr>
                <w:rFonts w:ascii="Arial" w:hAnsi="Arial" w:cs="Arial"/>
              </w:rPr>
              <w:t>hen</w:t>
            </w:r>
            <w:r w:rsidR="005954CA" w:rsidRPr="00606EA4">
              <w:rPr>
                <w:rFonts w:ascii="Arial" w:hAnsi="Arial" w:cs="Arial"/>
              </w:rPr>
              <w:t xml:space="preserve"> asked about their motivations for providing </w:t>
            </w:r>
            <w:r w:rsidR="00A637D2" w:rsidRPr="00606EA4">
              <w:rPr>
                <w:rFonts w:ascii="Arial" w:hAnsi="Arial" w:cs="Arial"/>
              </w:rPr>
              <w:t xml:space="preserve">the guarantee, </w:t>
            </w:r>
            <w:proofErr w:type="spellStart"/>
            <w:r w:rsidR="00A637D2" w:rsidRPr="00606EA4">
              <w:rPr>
                <w:rFonts w:ascii="Arial" w:hAnsi="Arial" w:cs="Arial"/>
              </w:rPr>
              <w:t>Mr</w:t>
            </w:r>
            <w:proofErr w:type="spellEnd"/>
            <w:r w:rsidR="00A637D2" w:rsidRPr="00606EA4">
              <w:rPr>
                <w:rFonts w:ascii="Arial" w:hAnsi="Arial" w:cs="Arial"/>
              </w:rPr>
              <w:t xml:space="preserve"> and </w:t>
            </w:r>
            <w:proofErr w:type="spellStart"/>
            <w:r w:rsidR="00A637D2" w:rsidRPr="00606EA4">
              <w:rPr>
                <w:rFonts w:ascii="Arial" w:hAnsi="Arial" w:cs="Arial"/>
              </w:rPr>
              <w:t>Mrs</w:t>
            </w:r>
            <w:proofErr w:type="spellEnd"/>
            <w:r w:rsidR="00A637D2" w:rsidRPr="00606EA4">
              <w:rPr>
                <w:rFonts w:ascii="Arial" w:hAnsi="Arial" w:cs="Arial"/>
              </w:rPr>
              <w:t xml:space="preserve"> L</w:t>
            </w:r>
            <w:r w:rsidR="007D1D35" w:rsidRPr="00606EA4">
              <w:rPr>
                <w:rFonts w:ascii="Arial" w:hAnsi="Arial" w:cs="Arial"/>
              </w:rPr>
              <w:t>angdon</w:t>
            </w:r>
            <w:r w:rsidR="00A637D2" w:rsidRPr="00606EA4">
              <w:rPr>
                <w:rFonts w:ascii="Arial" w:hAnsi="Arial" w:cs="Arial"/>
              </w:rPr>
              <w:t xml:space="preserve"> </w:t>
            </w:r>
            <w:r w:rsidR="00606EA4">
              <w:rPr>
                <w:rFonts w:ascii="Arial" w:hAnsi="Arial" w:cs="Arial"/>
              </w:rPr>
              <w:t>said that</w:t>
            </w:r>
            <w:r w:rsidR="00A637D2" w:rsidRPr="00606EA4">
              <w:rPr>
                <w:rFonts w:ascii="Arial" w:hAnsi="Arial" w:cs="Arial"/>
              </w:rPr>
              <w:t xml:space="preserve"> their concern for Adam</w:t>
            </w:r>
            <w:r w:rsidR="00606EA4">
              <w:rPr>
                <w:rFonts w:ascii="Arial" w:hAnsi="Arial" w:cs="Arial"/>
              </w:rPr>
              <w:t xml:space="preserve"> and their wish to assist him because he was their son motivated them to become guarantors. They also indicated that they placed a significant amount of trust in Adam due to the fact that he was their son. Due to the level of trust they had in their son, </w:t>
            </w:r>
            <w:proofErr w:type="spellStart"/>
            <w:r w:rsidR="00606EA4">
              <w:rPr>
                <w:rFonts w:ascii="Arial" w:hAnsi="Arial" w:cs="Arial"/>
              </w:rPr>
              <w:t>Mr</w:t>
            </w:r>
            <w:proofErr w:type="spellEnd"/>
            <w:r w:rsidR="00606EA4">
              <w:rPr>
                <w:rFonts w:ascii="Arial" w:hAnsi="Arial" w:cs="Arial"/>
              </w:rPr>
              <w:t xml:space="preserve"> and </w:t>
            </w:r>
            <w:proofErr w:type="spellStart"/>
            <w:r w:rsidR="00606EA4">
              <w:rPr>
                <w:rFonts w:ascii="Arial" w:hAnsi="Arial" w:cs="Arial"/>
              </w:rPr>
              <w:t>Mrs</w:t>
            </w:r>
            <w:proofErr w:type="spellEnd"/>
            <w:r w:rsidR="00606EA4">
              <w:rPr>
                <w:rFonts w:ascii="Arial" w:hAnsi="Arial" w:cs="Arial"/>
              </w:rPr>
              <w:t xml:space="preserve"> Langdon did not focus on the financial aspects of the transaction and the potential implications for their family home if the loan was not repaid.</w:t>
            </w:r>
          </w:p>
          <w:p w:rsidR="00991EC4" w:rsidRPr="00606EA4" w:rsidRDefault="00991EC4" w:rsidP="00B64BBB">
            <w:pPr>
              <w:spacing w:after="200" w:line="276" w:lineRule="auto"/>
              <w:jc w:val="both"/>
              <w:rPr>
                <w:rFonts w:ascii="Arial" w:hAnsi="Arial" w:cs="Arial"/>
              </w:rPr>
            </w:pPr>
            <w:r w:rsidRPr="00606EA4">
              <w:rPr>
                <w:rFonts w:ascii="Arial" w:hAnsi="Arial" w:cs="Arial"/>
              </w:rPr>
              <w:t xml:space="preserve">It would appear that the relative difference in wealth and assets between Adam and </w:t>
            </w:r>
            <w:proofErr w:type="spellStart"/>
            <w:r w:rsidRPr="00606EA4">
              <w:rPr>
                <w:rFonts w:ascii="Arial" w:hAnsi="Arial" w:cs="Arial"/>
              </w:rPr>
              <w:t>Mr</w:t>
            </w:r>
            <w:proofErr w:type="spellEnd"/>
            <w:r w:rsidRPr="00606EA4">
              <w:rPr>
                <w:rFonts w:ascii="Arial" w:hAnsi="Arial" w:cs="Arial"/>
              </w:rPr>
              <w:t xml:space="preserve"> and </w:t>
            </w:r>
            <w:proofErr w:type="spellStart"/>
            <w:r w:rsidRPr="00606EA4">
              <w:rPr>
                <w:rFonts w:ascii="Arial" w:hAnsi="Arial" w:cs="Arial"/>
              </w:rPr>
              <w:t>Mrs</w:t>
            </w:r>
            <w:proofErr w:type="spellEnd"/>
            <w:r w:rsidRPr="00606EA4">
              <w:rPr>
                <w:rFonts w:ascii="Arial" w:hAnsi="Arial" w:cs="Arial"/>
              </w:rPr>
              <w:t xml:space="preserve"> L</w:t>
            </w:r>
            <w:r w:rsidR="007D1D35" w:rsidRPr="00606EA4">
              <w:rPr>
                <w:rFonts w:ascii="Arial" w:hAnsi="Arial" w:cs="Arial"/>
              </w:rPr>
              <w:t>angdon</w:t>
            </w:r>
            <w:r w:rsidRPr="00606EA4">
              <w:rPr>
                <w:rFonts w:ascii="Arial" w:hAnsi="Arial" w:cs="Arial"/>
              </w:rPr>
              <w:t xml:space="preserve"> spurred Adam to request </w:t>
            </w:r>
            <w:proofErr w:type="spellStart"/>
            <w:r w:rsidRPr="00606EA4">
              <w:rPr>
                <w:rFonts w:ascii="Arial" w:hAnsi="Arial" w:cs="Arial"/>
              </w:rPr>
              <w:t>Mr</w:t>
            </w:r>
            <w:proofErr w:type="spellEnd"/>
            <w:r w:rsidRPr="00606EA4">
              <w:rPr>
                <w:rFonts w:ascii="Arial" w:hAnsi="Arial" w:cs="Arial"/>
              </w:rPr>
              <w:t xml:space="preserve"> and </w:t>
            </w:r>
            <w:proofErr w:type="spellStart"/>
            <w:r w:rsidRPr="00606EA4">
              <w:rPr>
                <w:rFonts w:ascii="Arial" w:hAnsi="Arial" w:cs="Arial"/>
              </w:rPr>
              <w:t>Mrs</w:t>
            </w:r>
            <w:proofErr w:type="spellEnd"/>
            <w:r w:rsidRPr="00606EA4">
              <w:rPr>
                <w:rFonts w:ascii="Arial" w:hAnsi="Arial" w:cs="Arial"/>
              </w:rPr>
              <w:t xml:space="preserve"> L</w:t>
            </w:r>
            <w:r w:rsidR="007D1D35" w:rsidRPr="00606EA4">
              <w:rPr>
                <w:rFonts w:ascii="Arial" w:hAnsi="Arial" w:cs="Arial"/>
              </w:rPr>
              <w:t>angdon</w:t>
            </w:r>
            <w:r w:rsidRPr="00606EA4">
              <w:rPr>
                <w:rFonts w:ascii="Arial" w:hAnsi="Arial" w:cs="Arial"/>
              </w:rPr>
              <w:t xml:space="preserve"> to be guarantors and </w:t>
            </w:r>
            <w:proofErr w:type="spellStart"/>
            <w:r w:rsidRPr="00606EA4">
              <w:rPr>
                <w:rFonts w:ascii="Arial" w:hAnsi="Arial" w:cs="Arial"/>
              </w:rPr>
              <w:t>Mr</w:t>
            </w:r>
            <w:proofErr w:type="spellEnd"/>
            <w:r w:rsidRPr="00606EA4">
              <w:rPr>
                <w:rFonts w:ascii="Arial" w:hAnsi="Arial" w:cs="Arial"/>
              </w:rPr>
              <w:t xml:space="preserve"> and </w:t>
            </w:r>
            <w:proofErr w:type="spellStart"/>
            <w:r w:rsidRPr="00606EA4">
              <w:rPr>
                <w:rFonts w:ascii="Arial" w:hAnsi="Arial" w:cs="Arial"/>
              </w:rPr>
              <w:t>Mrs</w:t>
            </w:r>
            <w:proofErr w:type="spellEnd"/>
            <w:r w:rsidRPr="00606EA4">
              <w:rPr>
                <w:rFonts w:ascii="Arial" w:hAnsi="Arial" w:cs="Arial"/>
              </w:rPr>
              <w:t xml:space="preserve"> L</w:t>
            </w:r>
            <w:r w:rsidR="007D1D35" w:rsidRPr="00606EA4">
              <w:rPr>
                <w:rFonts w:ascii="Arial" w:hAnsi="Arial" w:cs="Arial"/>
              </w:rPr>
              <w:t>angdon</w:t>
            </w:r>
            <w:r w:rsidRPr="00606EA4">
              <w:rPr>
                <w:rFonts w:ascii="Arial" w:hAnsi="Arial" w:cs="Arial"/>
              </w:rPr>
              <w:t>’s trust in Adam spurred them to be guarantors.</w:t>
            </w:r>
          </w:p>
        </w:tc>
      </w:tr>
    </w:tbl>
    <w:p w:rsidR="00991EC4" w:rsidRPr="00606EA4" w:rsidRDefault="00991EC4" w:rsidP="007C377F">
      <w:pPr>
        <w:pStyle w:val="ListParagraph"/>
        <w:spacing w:after="0"/>
        <w:ind w:left="360"/>
        <w:jc w:val="both"/>
        <w:rPr>
          <w:rFonts w:ascii="Arial" w:hAnsi="Arial" w:cs="Arial"/>
          <w:lang w:val="en-US"/>
        </w:rPr>
      </w:pPr>
    </w:p>
    <w:p w:rsidR="00606EA4" w:rsidRPr="00D9795D" w:rsidRDefault="00606EA4" w:rsidP="00606EA4">
      <w:pPr>
        <w:jc w:val="both"/>
        <w:rPr>
          <w:rFonts w:ascii="Arial" w:hAnsi="Arial" w:cs="Arial"/>
        </w:rPr>
      </w:pPr>
      <w:r w:rsidRPr="00D9795D">
        <w:rPr>
          <w:rFonts w:ascii="Arial" w:hAnsi="Arial" w:cs="Arial"/>
        </w:rPr>
        <w:t xml:space="preserve">Several causes are evident from </w:t>
      </w:r>
      <w:r>
        <w:rPr>
          <w:rFonts w:ascii="Arial" w:hAnsi="Arial" w:cs="Arial"/>
        </w:rPr>
        <w:t>the above cases.</w:t>
      </w:r>
    </w:p>
    <w:p w:rsidR="00606EA4" w:rsidRPr="00D9795D" w:rsidRDefault="00606EA4" w:rsidP="00606EA4">
      <w:pPr>
        <w:jc w:val="both"/>
        <w:rPr>
          <w:rFonts w:ascii="Arial" w:hAnsi="Arial" w:cs="Arial"/>
        </w:rPr>
      </w:pPr>
      <w:r w:rsidRPr="00D9795D">
        <w:rPr>
          <w:rFonts w:ascii="Arial" w:hAnsi="Arial" w:cs="Arial"/>
        </w:rPr>
        <w:t>Firstly, there appears to have been a degree of trust between the elder</w:t>
      </w:r>
      <w:r>
        <w:rPr>
          <w:rFonts w:ascii="Arial" w:hAnsi="Arial" w:cs="Arial"/>
        </w:rPr>
        <w:t>ly person</w:t>
      </w:r>
      <w:r w:rsidRPr="00D9795D">
        <w:rPr>
          <w:rFonts w:ascii="Arial" w:hAnsi="Arial" w:cs="Arial"/>
        </w:rPr>
        <w:t xml:space="preserve"> and the perpetrator. As the help extended by the elder</w:t>
      </w:r>
      <w:r>
        <w:rPr>
          <w:rFonts w:ascii="Arial" w:hAnsi="Arial" w:cs="Arial"/>
        </w:rPr>
        <w:t>ly person</w:t>
      </w:r>
      <w:r w:rsidRPr="00D9795D">
        <w:rPr>
          <w:rFonts w:ascii="Arial" w:hAnsi="Arial" w:cs="Arial"/>
        </w:rPr>
        <w:t xml:space="preserve"> is likely to benefit the perpetrator</w:t>
      </w:r>
      <w:r>
        <w:rPr>
          <w:rFonts w:ascii="Arial" w:hAnsi="Arial" w:cs="Arial"/>
        </w:rPr>
        <w:t xml:space="preserve"> only – and not the elderly person -</w:t>
      </w:r>
      <w:r w:rsidRPr="00D9795D">
        <w:rPr>
          <w:rFonts w:ascii="Arial" w:hAnsi="Arial" w:cs="Arial"/>
        </w:rPr>
        <w:t xml:space="preserve"> the elder</w:t>
      </w:r>
      <w:r>
        <w:rPr>
          <w:rFonts w:ascii="Arial" w:hAnsi="Arial" w:cs="Arial"/>
        </w:rPr>
        <w:t>ly person</w:t>
      </w:r>
      <w:r w:rsidRPr="00D9795D">
        <w:rPr>
          <w:rFonts w:ascii="Arial" w:hAnsi="Arial" w:cs="Arial"/>
        </w:rPr>
        <w:t xml:space="preserve"> is usually in a relationship of trust with the perpetrator</w:t>
      </w:r>
      <w:r>
        <w:rPr>
          <w:rFonts w:ascii="Arial" w:hAnsi="Arial" w:cs="Arial"/>
        </w:rPr>
        <w:t xml:space="preserve">. In our experience the perpetrator tends to be either </w:t>
      </w:r>
      <w:r w:rsidRPr="00D9795D">
        <w:rPr>
          <w:rFonts w:ascii="Arial" w:hAnsi="Arial" w:cs="Arial"/>
        </w:rPr>
        <w:t>a relative or friend</w:t>
      </w:r>
      <w:r>
        <w:rPr>
          <w:rFonts w:ascii="Arial" w:hAnsi="Arial" w:cs="Arial"/>
        </w:rPr>
        <w:t xml:space="preserve"> of the elderly person</w:t>
      </w:r>
      <w:r w:rsidRPr="00D9795D">
        <w:rPr>
          <w:rFonts w:ascii="Arial" w:hAnsi="Arial" w:cs="Arial"/>
        </w:rPr>
        <w:t xml:space="preserve">. </w:t>
      </w:r>
      <w:r w:rsidRPr="00D9795D">
        <w:rPr>
          <w:rStyle w:val="FootnoteReference"/>
          <w:rFonts w:ascii="Arial" w:hAnsi="Arial" w:cs="Arial"/>
        </w:rPr>
        <w:footnoteReference w:id="1"/>
      </w:r>
    </w:p>
    <w:p w:rsidR="00606EA4" w:rsidRDefault="00606EA4" w:rsidP="00606EA4">
      <w:pPr>
        <w:jc w:val="both"/>
        <w:rPr>
          <w:rFonts w:ascii="Arial" w:hAnsi="Arial" w:cs="Arial"/>
        </w:rPr>
      </w:pPr>
      <w:r w:rsidRPr="00D9795D">
        <w:rPr>
          <w:rFonts w:ascii="Arial" w:hAnsi="Arial" w:cs="Arial"/>
        </w:rPr>
        <w:t>Secondly, the difference in assets and wealth between the elder</w:t>
      </w:r>
      <w:r>
        <w:rPr>
          <w:rFonts w:ascii="Arial" w:hAnsi="Arial" w:cs="Arial"/>
        </w:rPr>
        <w:t>ly person</w:t>
      </w:r>
      <w:r w:rsidRPr="00D9795D">
        <w:rPr>
          <w:rFonts w:ascii="Arial" w:hAnsi="Arial" w:cs="Arial"/>
        </w:rPr>
        <w:t xml:space="preserve"> and the perpetrator creates a strong incentive for the </w:t>
      </w:r>
      <w:r w:rsidRPr="00E2188C">
        <w:rPr>
          <w:rFonts w:ascii="Arial" w:hAnsi="Arial" w:cs="Arial"/>
        </w:rPr>
        <w:t>elder</w:t>
      </w:r>
      <w:r>
        <w:rPr>
          <w:rFonts w:ascii="Arial" w:hAnsi="Arial" w:cs="Arial"/>
        </w:rPr>
        <w:t>ly person</w:t>
      </w:r>
      <w:r w:rsidRPr="00D9795D">
        <w:rPr>
          <w:rFonts w:ascii="Arial" w:hAnsi="Arial" w:cs="Arial"/>
        </w:rPr>
        <w:t xml:space="preserve"> to enter into these situations. The </w:t>
      </w:r>
      <w:r w:rsidRPr="00E2188C">
        <w:rPr>
          <w:rFonts w:ascii="Arial" w:hAnsi="Arial" w:cs="Arial"/>
        </w:rPr>
        <w:t>elder</w:t>
      </w:r>
      <w:r>
        <w:rPr>
          <w:rFonts w:ascii="Arial" w:hAnsi="Arial" w:cs="Arial"/>
        </w:rPr>
        <w:t>ly person</w:t>
      </w:r>
      <w:r w:rsidRPr="00D9795D">
        <w:rPr>
          <w:rFonts w:ascii="Arial" w:hAnsi="Arial" w:cs="Arial"/>
        </w:rPr>
        <w:t xml:space="preserve"> is likely to have assets and be likely to be able to access credit either as a co-borrower or guarantor. The perpetrator is likely to have few assets and be unable to access credit easily. They would also be seeking to obtain credit to further their personal ambitions such as purchasing a house or investing in a business. Hence, the perpetrator would often rely on the </w:t>
      </w:r>
      <w:r w:rsidRPr="00D9795D">
        <w:rPr>
          <w:rFonts w:ascii="Arial" w:hAnsi="Arial" w:cs="Arial"/>
        </w:rPr>
        <w:lastRenderedPageBreak/>
        <w:t xml:space="preserve">trust between the </w:t>
      </w:r>
      <w:r w:rsidRPr="00E2188C">
        <w:rPr>
          <w:rFonts w:ascii="Arial" w:hAnsi="Arial" w:cs="Arial"/>
        </w:rPr>
        <w:t>elder</w:t>
      </w:r>
      <w:r>
        <w:rPr>
          <w:rFonts w:ascii="Arial" w:hAnsi="Arial" w:cs="Arial"/>
        </w:rPr>
        <w:t>ly person</w:t>
      </w:r>
      <w:r w:rsidRPr="00D9795D">
        <w:rPr>
          <w:rFonts w:ascii="Arial" w:hAnsi="Arial" w:cs="Arial"/>
        </w:rPr>
        <w:t xml:space="preserve"> and the perpetrator</w:t>
      </w:r>
      <w:r>
        <w:rPr>
          <w:rFonts w:ascii="Arial" w:hAnsi="Arial" w:cs="Arial"/>
        </w:rPr>
        <w:t>;</w:t>
      </w:r>
      <w:r w:rsidRPr="00D9795D">
        <w:rPr>
          <w:rFonts w:ascii="Arial" w:hAnsi="Arial" w:cs="Arial"/>
        </w:rPr>
        <w:t xml:space="preserve"> and solicit the help of the </w:t>
      </w:r>
      <w:r w:rsidRPr="00E2188C">
        <w:rPr>
          <w:rFonts w:ascii="Arial" w:hAnsi="Arial" w:cs="Arial"/>
        </w:rPr>
        <w:t>elder</w:t>
      </w:r>
      <w:r>
        <w:rPr>
          <w:rFonts w:ascii="Arial" w:hAnsi="Arial" w:cs="Arial"/>
        </w:rPr>
        <w:t>ly person</w:t>
      </w:r>
      <w:r w:rsidRPr="00D9795D">
        <w:rPr>
          <w:rFonts w:ascii="Arial" w:hAnsi="Arial" w:cs="Arial"/>
        </w:rPr>
        <w:t xml:space="preserve"> to act as the co-borrower or guarantor in order to access credit</w:t>
      </w:r>
      <w:r w:rsidRPr="00606EA4">
        <w:rPr>
          <w:rFonts w:ascii="Arial" w:hAnsi="Arial" w:cs="Arial"/>
        </w:rPr>
        <w:t>.</w:t>
      </w:r>
    </w:p>
    <w:p w:rsidR="00991EC4" w:rsidRPr="00606EA4" w:rsidRDefault="000E240C" w:rsidP="007C377F">
      <w:pPr>
        <w:jc w:val="both"/>
        <w:rPr>
          <w:rFonts w:ascii="Arial" w:hAnsi="Arial" w:cs="Arial"/>
        </w:rPr>
      </w:pPr>
      <w:r w:rsidRPr="00606EA4">
        <w:rPr>
          <w:rFonts w:ascii="Arial" w:hAnsi="Arial" w:cs="Arial"/>
        </w:rPr>
        <w:t xml:space="preserve">From </w:t>
      </w:r>
      <w:r w:rsidR="001B35BF" w:rsidRPr="00606EA4">
        <w:rPr>
          <w:rFonts w:ascii="Arial" w:hAnsi="Arial" w:cs="Arial"/>
        </w:rPr>
        <w:t xml:space="preserve">these </w:t>
      </w:r>
      <w:r w:rsidR="00606EA4">
        <w:rPr>
          <w:rFonts w:ascii="Arial" w:hAnsi="Arial" w:cs="Arial"/>
        </w:rPr>
        <w:t xml:space="preserve">two </w:t>
      </w:r>
      <w:r w:rsidR="001B35BF" w:rsidRPr="00606EA4">
        <w:rPr>
          <w:rFonts w:ascii="Arial" w:hAnsi="Arial" w:cs="Arial"/>
        </w:rPr>
        <w:t>cases</w:t>
      </w:r>
      <w:r w:rsidRPr="00606EA4">
        <w:rPr>
          <w:rFonts w:ascii="Arial" w:hAnsi="Arial" w:cs="Arial"/>
        </w:rPr>
        <w:t xml:space="preserve">, we have </w:t>
      </w:r>
      <w:r w:rsidR="00606EA4">
        <w:rPr>
          <w:rFonts w:ascii="Arial" w:hAnsi="Arial" w:cs="Arial"/>
        </w:rPr>
        <w:t xml:space="preserve">also </w:t>
      </w:r>
      <w:r w:rsidRPr="00606EA4">
        <w:rPr>
          <w:rFonts w:ascii="Arial" w:hAnsi="Arial" w:cs="Arial"/>
        </w:rPr>
        <w:t>identified several issues with the current regime surrounding elder financial abuse</w:t>
      </w:r>
      <w:r w:rsidR="00991EC4" w:rsidRPr="00606EA4">
        <w:rPr>
          <w:rFonts w:ascii="Arial" w:hAnsi="Arial" w:cs="Arial"/>
        </w:rPr>
        <w:t>.</w:t>
      </w:r>
    </w:p>
    <w:p w:rsidR="008D60ED" w:rsidRPr="00606EA4" w:rsidRDefault="008D60ED" w:rsidP="00D73097">
      <w:pPr>
        <w:pStyle w:val="ListParagraph"/>
        <w:numPr>
          <w:ilvl w:val="0"/>
          <w:numId w:val="7"/>
        </w:numPr>
        <w:jc w:val="both"/>
        <w:rPr>
          <w:rFonts w:ascii="Arial" w:hAnsi="Arial" w:cs="Arial"/>
          <w:b/>
        </w:rPr>
      </w:pPr>
      <w:r w:rsidRPr="00606EA4">
        <w:rPr>
          <w:rFonts w:ascii="Arial" w:hAnsi="Arial" w:cs="Arial"/>
          <w:b/>
        </w:rPr>
        <w:t>Inadequacy of the current law</w:t>
      </w:r>
    </w:p>
    <w:p w:rsidR="00423BD2" w:rsidRPr="00606EA4" w:rsidRDefault="00991EC4" w:rsidP="007C377F">
      <w:pPr>
        <w:jc w:val="both"/>
        <w:rPr>
          <w:rFonts w:ascii="Arial" w:hAnsi="Arial" w:cs="Arial"/>
        </w:rPr>
      </w:pPr>
      <w:r w:rsidRPr="00606EA4">
        <w:rPr>
          <w:rFonts w:ascii="Arial" w:hAnsi="Arial" w:cs="Arial"/>
        </w:rPr>
        <w:t xml:space="preserve">The current law does not adequately protect elders. As the law currently stands, </w:t>
      </w:r>
      <w:r w:rsidR="00DE740E" w:rsidRPr="00E2188C">
        <w:rPr>
          <w:rFonts w:ascii="Arial" w:hAnsi="Arial" w:cs="Arial"/>
        </w:rPr>
        <w:t>elder</w:t>
      </w:r>
      <w:r w:rsidR="00DE740E">
        <w:rPr>
          <w:rFonts w:ascii="Arial" w:hAnsi="Arial" w:cs="Arial"/>
        </w:rPr>
        <w:t>ly person</w:t>
      </w:r>
      <w:r w:rsidRPr="00606EA4">
        <w:rPr>
          <w:rFonts w:ascii="Arial" w:hAnsi="Arial" w:cs="Arial"/>
        </w:rPr>
        <w:t>s may seek to deny liability on the basis that</w:t>
      </w:r>
      <w:r w:rsidR="00F3463F" w:rsidRPr="00606EA4">
        <w:rPr>
          <w:rFonts w:ascii="Arial" w:hAnsi="Arial" w:cs="Arial"/>
        </w:rPr>
        <w:t xml:space="preserve"> they were unduly influenced into entering into the loan contracts either as co-borrowers or guarantors</w:t>
      </w:r>
      <w:r w:rsidR="005A6D2A" w:rsidRPr="00606EA4">
        <w:rPr>
          <w:rFonts w:ascii="Arial" w:hAnsi="Arial" w:cs="Arial"/>
        </w:rPr>
        <w:t xml:space="preserve"> in two</w:t>
      </w:r>
      <w:r w:rsidR="00423BD2" w:rsidRPr="00606EA4">
        <w:rPr>
          <w:rFonts w:ascii="Arial" w:hAnsi="Arial" w:cs="Arial"/>
        </w:rPr>
        <w:t xml:space="preserve"> ways. </w:t>
      </w:r>
    </w:p>
    <w:p w:rsidR="00423BD2" w:rsidRPr="00606EA4" w:rsidRDefault="00423BD2" w:rsidP="007C377F">
      <w:pPr>
        <w:pStyle w:val="ListParagraph"/>
        <w:numPr>
          <w:ilvl w:val="0"/>
          <w:numId w:val="3"/>
        </w:numPr>
        <w:jc w:val="both"/>
        <w:rPr>
          <w:rFonts w:ascii="Arial" w:hAnsi="Arial" w:cs="Arial"/>
        </w:rPr>
      </w:pPr>
      <w:r w:rsidRPr="00606EA4">
        <w:rPr>
          <w:rFonts w:ascii="Arial" w:hAnsi="Arial" w:cs="Arial"/>
        </w:rPr>
        <w:t>the lender has directly exerted undue influence</w:t>
      </w:r>
      <w:r w:rsidR="00606EA4">
        <w:rPr>
          <w:rFonts w:ascii="Arial" w:hAnsi="Arial" w:cs="Arial"/>
        </w:rPr>
        <w:t>; or</w:t>
      </w:r>
    </w:p>
    <w:p w:rsidR="00423BD2" w:rsidRPr="00606EA4" w:rsidRDefault="00606EA4" w:rsidP="007C377F">
      <w:pPr>
        <w:pStyle w:val="ListParagraph"/>
        <w:numPr>
          <w:ilvl w:val="0"/>
          <w:numId w:val="3"/>
        </w:numPr>
        <w:jc w:val="both"/>
        <w:rPr>
          <w:rFonts w:ascii="Arial" w:hAnsi="Arial" w:cs="Arial"/>
        </w:rPr>
      </w:pPr>
      <w:proofErr w:type="gramStart"/>
      <w:r>
        <w:rPr>
          <w:rFonts w:ascii="Arial" w:hAnsi="Arial" w:cs="Arial"/>
        </w:rPr>
        <w:t>t</w:t>
      </w:r>
      <w:r w:rsidR="00423BD2" w:rsidRPr="00606EA4">
        <w:rPr>
          <w:rFonts w:ascii="Arial" w:hAnsi="Arial" w:cs="Arial"/>
        </w:rPr>
        <w:t>he</w:t>
      </w:r>
      <w:proofErr w:type="gramEnd"/>
      <w:r w:rsidR="00423BD2" w:rsidRPr="00606EA4">
        <w:rPr>
          <w:rFonts w:ascii="Arial" w:hAnsi="Arial" w:cs="Arial"/>
        </w:rPr>
        <w:t xml:space="preserve"> lender has </w:t>
      </w:r>
      <w:r w:rsidR="005A6D2A" w:rsidRPr="00606EA4">
        <w:rPr>
          <w:rFonts w:ascii="Arial" w:hAnsi="Arial" w:cs="Arial"/>
        </w:rPr>
        <w:t xml:space="preserve">legal </w:t>
      </w:r>
      <w:r w:rsidR="00423BD2" w:rsidRPr="00606EA4">
        <w:rPr>
          <w:rFonts w:ascii="Arial" w:hAnsi="Arial" w:cs="Arial"/>
        </w:rPr>
        <w:t>notice of undue influence b</w:t>
      </w:r>
      <w:r w:rsidR="00306941" w:rsidRPr="00606EA4">
        <w:rPr>
          <w:rFonts w:ascii="Arial" w:hAnsi="Arial" w:cs="Arial"/>
        </w:rPr>
        <w:t xml:space="preserve">eing exerted on the </w:t>
      </w:r>
      <w:r w:rsidR="00DE740E" w:rsidRPr="00E2188C">
        <w:rPr>
          <w:rFonts w:ascii="Arial" w:hAnsi="Arial" w:cs="Arial"/>
        </w:rPr>
        <w:t>elder</w:t>
      </w:r>
      <w:r w:rsidR="00DE740E">
        <w:rPr>
          <w:rFonts w:ascii="Arial" w:hAnsi="Arial" w:cs="Arial"/>
        </w:rPr>
        <w:t>ly person</w:t>
      </w:r>
      <w:r w:rsidR="00306941" w:rsidRPr="00606EA4">
        <w:rPr>
          <w:rFonts w:ascii="Arial" w:hAnsi="Arial" w:cs="Arial"/>
        </w:rPr>
        <w:t xml:space="preserve"> by</w:t>
      </w:r>
      <w:r w:rsidR="00423BD2" w:rsidRPr="00606EA4">
        <w:rPr>
          <w:rFonts w:ascii="Arial" w:hAnsi="Arial" w:cs="Arial"/>
        </w:rPr>
        <w:t xml:space="preserve"> a third person</w:t>
      </w:r>
      <w:r w:rsidR="005A6D2A" w:rsidRPr="00606EA4">
        <w:rPr>
          <w:rFonts w:ascii="Arial" w:hAnsi="Arial" w:cs="Arial"/>
        </w:rPr>
        <w:t>.</w:t>
      </w:r>
    </w:p>
    <w:p w:rsidR="00F3463F" w:rsidRPr="00606EA4" w:rsidRDefault="00F3463F" w:rsidP="007C377F">
      <w:pPr>
        <w:jc w:val="both"/>
        <w:rPr>
          <w:rFonts w:ascii="Arial" w:hAnsi="Arial" w:cs="Arial"/>
        </w:rPr>
      </w:pPr>
      <w:r w:rsidRPr="00606EA4">
        <w:rPr>
          <w:rFonts w:ascii="Arial" w:hAnsi="Arial" w:cs="Arial"/>
        </w:rPr>
        <w:t xml:space="preserve">Given that the lender is unlikely to be the person exerting undue influence, the lender must usually be shown to have known or ought to have known about the undue influence exerted on the </w:t>
      </w:r>
      <w:r w:rsidR="00DE740E" w:rsidRPr="00E2188C">
        <w:rPr>
          <w:rFonts w:ascii="Arial" w:hAnsi="Arial" w:cs="Arial"/>
        </w:rPr>
        <w:t>elder</w:t>
      </w:r>
      <w:r w:rsidR="00DE740E">
        <w:rPr>
          <w:rFonts w:ascii="Arial" w:hAnsi="Arial" w:cs="Arial"/>
        </w:rPr>
        <w:t>ly person</w:t>
      </w:r>
      <w:r w:rsidR="00DE740E" w:rsidRPr="00E2188C">
        <w:rPr>
          <w:rFonts w:ascii="Arial" w:hAnsi="Arial" w:cs="Arial"/>
        </w:rPr>
        <w:t xml:space="preserve"> </w:t>
      </w:r>
      <w:r w:rsidRPr="00606EA4">
        <w:rPr>
          <w:rFonts w:ascii="Arial" w:hAnsi="Arial" w:cs="Arial"/>
        </w:rPr>
        <w:t xml:space="preserve">by the </w:t>
      </w:r>
      <w:r w:rsidR="001B35BF" w:rsidRPr="00606EA4">
        <w:rPr>
          <w:rFonts w:ascii="Arial" w:hAnsi="Arial" w:cs="Arial"/>
        </w:rPr>
        <w:t xml:space="preserve">perpetrator </w:t>
      </w:r>
      <w:r w:rsidRPr="00606EA4">
        <w:rPr>
          <w:rFonts w:ascii="Arial" w:hAnsi="Arial" w:cs="Arial"/>
        </w:rPr>
        <w:t>in entering into the loan or guarantee.</w:t>
      </w:r>
      <w:r w:rsidRPr="00606EA4">
        <w:rPr>
          <w:rStyle w:val="FootnoteReference"/>
          <w:rFonts w:ascii="Arial" w:hAnsi="Arial" w:cs="Arial"/>
        </w:rPr>
        <w:footnoteReference w:id="2"/>
      </w:r>
    </w:p>
    <w:p w:rsidR="00306941" w:rsidRPr="00606EA4" w:rsidRDefault="00306941" w:rsidP="007C377F">
      <w:pPr>
        <w:spacing w:after="0"/>
        <w:jc w:val="both"/>
        <w:rPr>
          <w:rFonts w:ascii="Arial" w:hAnsi="Arial" w:cs="Arial"/>
        </w:rPr>
      </w:pPr>
      <w:r w:rsidRPr="00606EA4">
        <w:rPr>
          <w:rFonts w:ascii="Arial" w:hAnsi="Arial" w:cs="Arial"/>
        </w:rPr>
        <w:t>To demonstrate that there was undue influence exerted, it must be shown that either:</w:t>
      </w:r>
    </w:p>
    <w:p w:rsidR="00306941" w:rsidRPr="00606EA4" w:rsidRDefault="00306941" w:rsidP="007C377F">
      <w:pPr>
        <w:pStyle w:val="ListParagraph"/>
        <w:numPr>
          <w:ilvl w:val="0"/>
          <w:numId w:val="4"/>
        </w:numPr>
        <w:spacing w:after="0"/>
        <w:jc w:val="both"/>
        <w:rPr>
          <w:rFonts w:ascii="Arial" w:hAnsi="Arial" w:cs="Arial"/>
        </w:rPr>
      </w:pPr>
      <w:r w:rsidRPr="00606EA4">
        <w:rPr>
          <w:rFonts w:ascii="Arial" w:hAnsi="Arial" w:cs="Arial"/>
        </w:rPr>
        <w:t xml:space="preserve">there was a presumed relationship of </w:t>
      </w:r>
      <w:r w:rsidR="00DD23BA" w:rsidRPr="00606EA4">
        <w:rPr>
          <w:rFonts w:ascii="Arial" w:hAnsi="Arial" w:cs="Arial"/>
        </w:rPr>
        <w:t xml:space="preserve">influence </w:t>
      </w:r>
      <w:r w:rsidRPr="00606EA4">
        <w:rPr>
          <w:rFonts w:ascii="Arial" w:hAnsi="Arial" w:cs="Arial"/>
        </w:rPr>
        <w:t>at law</w:t>
      </w:r>
      <w:r w:rsidR="00606EA4">
        <w:rPr>
          <w:rFonts w:ascii="Arial" w:hAnsi="Arial" w:cs="Arial"/>
        </w:rPr>
        <w:t>; or</w:t>
      </w:r>
    </w:p>
    <w:p w:rsidR="00991EC4" w:rsidRPr="00606EA4" w:rsidRDefault="0067065F" w:rsidP="007C377F">
      <w:pPr>
        <w:pStyle w:val="ListParagraph"/>
        <w:numPr>
          <w:ilvl w:val="0"/>
          <w:numId w:val="4"/>
        </w:numPr>
        <w:spacing w:after="0"/>
        <w:jc w:val="both"/>
        <w:rPr>
          <w:rFonts w:ascii="Arial" w:hAnsi="Arial" w:cs="Arial"/>
        </w:rPr>
      </w:pPr>
      <w:proofErr w:type="gramStart"/>
      <w:r w:rsidRPr="00606EA4">
        <w:rPr>
          <w:rFonts w:ascii="Arial" w:hAnsi="Arial" w:cs="Arial"/>
        </w:rPr>
        <w:t>the</w:t>
      </w:r>
      <w:proofErr w:type="gramEnd"/>
      <w:r w:rsidRPr="00606EA4">
        <w:rPr>
          <w:rFonts w:ascii="Arial" w:hAnsi="Arial" w:cs="Arial"/>
        </w:rPr>
        <w:t xml:space="preserve"> relationship </w:t>
      </w:r>
      <w:r w:rsidR="00296AD5" w:rsidRPr="00606EA4">
        <w:rPr>
          <w:rFonts w:ascii="Arial" w:hAnsi="Arial" w:cs="Arial"/>
        </w:rPr>
        <w:t>was of a nature where actual undue influence was exerted</w:t>
      </w:r>
      <w:r w:rsidR="00B64BBB">
        <w:rPr>
          <w:rFonts w:ascii="Arial" w:hAnsi="Arial" w:cs="Arial"/>
        </w:rPr>
        <w:t>.</w:t>
      </w:r>
    </w:p>
    <w:p w:rsidR="00991EC4" w:rsidRPr="00606EA4" w:rsidRDefault="00991EC4" w:rsidP="007C377F">
      <w:pPr>
        <w:spacing w:after="0"/>
        <w:jc w:val="both"/>
        <w:rPr>
          <w:rFonts w:ascii="Arial" w:hAnsi="Arial" w:cs="Arial"/>
        </w:rPr>
      </w:pPr>
    </w:p>
    <w:p w:rsidR="00296AD5" w:rsidRPr="00606EA4" w:rsidRDefault="00DD23BA" w:rsidP="007C377F">
      <w:pPr>
        <w:spacing w:after="0"/>
        <w:jc w:val="both"/>
        <w:rPr>
          <w:rFonts w:ascii="Arial" w:hAnsi="Arial" w:cs="Arial"/>
        </w:rPr>
      </w:pPr>
      <w:r w:rsidRPr="00606EA4">
        <w:rPr>
          <w:rFonts w:ascii="Arial" w:hAnsi="Arial" w:cs="Arial"/>
        </w:rPr>
        <w:t xml:space="preserve">Currently, there is no presumption of a relationship of influence between an </w:t>
      </w:r>
      <w:r w:rsidR="00DE740E" w:rsidRPr="00E2188C">
        <w:rPr>
          <w:rFonts w:ascii="Arial" w:hAnsi="Arial" w:cs="Arial"/>
        </w:rPr>
        <w:t>elder</w:t>
      </w:r>
      <w:r w:rsidR="00DE740E">
        <w:rPr>
          <w:rFonts w:ascii="Arial" w:hAnsi="Arial" w:cs="Arial"/>
        </w:rPr>
        <w:t>ly person</w:t>
      </w:r>
      <w:r w:rsidRPr="00606EA4">
        <w:rPr>
          <w:rFonts w:ascii="Arial" w:hAnsi="Arial" w:cs="Arial"/>
        </w:rPr>
        <w:t xml:space="preserve"> and their adult children regardless of the degree of dependency. Thus, if an </w:t>
      </w:r>
      <w:r w:rsidR="00DE740E" w:rsidRPr="00E2188C">
        <w:rPr>
          <w:rFonts w:ascii="Arial" w:hAnsi="Arial" w:cs="Arial"/>
        </w:rPr>
        <w:t>elder</w:t>
      </w:r>
      <w:r w:rsidR="00DE740E">
        <w:rPr>
          <w:rFonts w:ascii="Arial" w:hAnsi="Arial" w:cs="Arial"/>
        </w:rPr>
        <w:t>ly person</w:t>
      </w:r>
      <w:r w:rsidRPr="00606EA4">
        <w:rPr>
          <w:rFonts w:ascii="Arial" w:hAnsi="Arial" w:cs="Arial"/>
        </w:rPr>
        <w:t xml:space="preserve"> wishes to </w:t>
      </w:r>
      <w:r w:rsidR="001C5855" w:rsidRPr="00606EA4">
        <w:rPr>
          <w:rFonts w:ascii="Arial" w:hAnsi="Arial" w:cs="Arial"/>
        </w:rPr>
        <w:t>prevent the lender from enforcing the loan or guarantee</w:t>
      </w:r>
      <w:r w:rsidRPr="00606EA4">
        <w:rPr>
          <w:rFonts w:ascii="Arial" w:hAnsi="Arial" w:cs="Arial"/>
        </w:rPr>
        <w:t xml:space="preserve">, the </w:t>
      </w:r>
      <w:r w:rsidR="00DE740E" w:rsidRPr="00E2188C">
        <w:rPr>
          <w:rFonts w:ascii="Arial" w:hAnsi="Arial" w:cs="Arial"/>
        </w:rPr>
        <w:t>elder</w:t>
      </w:r>
      <w:r w:rsidR="00DE740E">
        <w:rPr>
          <w:rFonts w:ascii="Arial" w:hAnsi="Arial" w:cs="Arial"/>
        </w:rPr>
        <w:t>ly person</w:t>
      </w:r>
      <w:r w:rsidR="00DE740E" w:rsidRPr="00E2188C">
        <w:rPr>
          <w:rFonts w:ascii="Arial" w:hAnsi="Arial" w:cs="Arial"/>
        </w:rPr>
        <w:t xml:space="preserve"> </w:t>
      </w:r>
      <w:r w:rsidRPr="00606EA4">
        <w:rPr>
          <w:rFonts w:ascii="Arial" w:hAnsi="Arial" w:cs="Arial"/>
        </w:rPr>
        <w:t xml:space="preserve">must demonstrate </w:t>
      </w:r>
      <w:r w:rsidR="002609C2" w:rsidRPr="00606EA4">
        <w:rPr>
          <w:rFonts w:ascii="Arial" w:hAnsi="Arial" w:cs="Arial"/>
        </w:rPr>
        <w:t>that there was</w:t>
      </w:r>
      <w:r w:rsidRPr="00606EA4">
        <w:rPr>
          <w:rFonts w:ascii="Arial" w:hAnsi="Arial" w:cs="Arial"/>
        </w:rPr>
        <w:t xml:space="preserve"> actual undue influence by the </w:t>
      </w:r>
      <w:r w:rsidR="001B35BF" w:rsidRPr="00606EA4">
        <w:rPr>
          <w:rFonts w:ascii="Arial" w:hAnsi="Arial" w:cs="Arial"/>
        </w:rPr>
        <w:t>perpetrator</w:t>
      </w:r>
      <w:r w:rsidR="002609C2" w:rsidRPr="00606EA4">
        <w:rPr>
          <w:rFonts w:ascii="Arial" w:hAnsi="Arial" w:cs="Arial"/>
        </w:rPr>
        <w:t xml:space="preserve"> and that the bank had notice of the undue influence</w:t>
      </w:r>
      <w:r w:rsidRPr="00606EA4">
        <w:rPr>
          <w:rFonts w:ascii="Arial" w:hAnsi="Arial" w:cs="Arial"/>
        </w:rPr>
        <w:t xml:space="preserve">. </w:t>
      </w:r>
    </w:p>
    <w:p w:rsidR="00EC22A1" w:rsidRPr="00606EA4" w:rsidRDefault="00EC22A1" w:rsidP="007C377F">
      <w:pPr>
        <w:spacing w:after="0"/>
        <w:jc w:val="both"/>
        <w:rPr>
          <w:rFonts w:ascii="Arial" w:hAnsi="Arial" w:cs="Arial"/>
        </w:rPr>
      </w:pPr>
    </w:p>
    <w:p w:rsidR="008D60ED" w:rsidRPr="00606EA4" w:rsidRDefault="00EC22A1" w:rsidP="007C377F">
      <w:pPr>
        <w:spacing w:after="0"/>
        <w:jc w:val="both"/>
        <w:rPr>
          <w:rFonts w:ascii="Arial" w:hAnsi="Arial" w:cs="Arial"/>
        </w:rPr>
      </w:pPr>
      <w:r w:rsidRPr="00606EA4">
        <w:rPr>
          <w:rFonts w:ascii="Arial" w:hAnsi="Arial" w:cs="Arial"/>
        </w:rPr>
        <w:t xml:space="preserve">While external dispute resolution providers may be </w:t>
      </w:r>
      <w:proofErr w:type="spellStart"/>
      <w:r w:rsidRPr="00606EA4">
        <w:rPr>
          <w:rFonts w:ascii="Arial" w:hAnsi="Arial" w:cs="Arial"/>
        </w:rPr>
        <w:t>utili</w:t>
      </w:r>
      <w:r w:rsidR="00DE740E">
        <w:rPr>
          <w:rFonts w:ascii="Arial" w:hAnsi="Arial" w:cs="Arial"/>
        </w:rPr>
        <w:t>s</w:t>
      </w:r>
      <w:r w:rsidRPr="00606EA4">
        <w:rPr>
          <w:rFonts w:ascii="Arial" w:hAnsi="Arial" w:cs="Arial"/>
        </w:rPr>
        <w:t>ed</w:t>
      </w:r>
      <w:proofErr w:type="spellEnd"/>
      <w:r w:rsidRPr="00606EA4">
        <w:rPr>
          <w:rFonts w:ascii="Arial" w:hAnsi="Arial" w:cs="Arial"/>
        </w:rPr>
        <w:t xml:space="preserve"> instead of commencing court action</w:t>
      </w:r>
      <w:r w:rsidR="00606EA4">
        <w:rPr>
          <w:rFonts w:ascii="Arial" w:hAnsi="Arial" w:cs="Arial"/>
        </w:rPr>
        <w:t xml:space="preserve"> in relation to disputes relating to financial products</w:t>
      </w:r>
      <w:r w:rsidRPr="00606EA4">
        <w:rPr>
          <w:rFonts w:ascii="Arial" w:hAnsi="Arial" w:cs="Arial"/>
        </w:rPr>
        <w:t xml:space="preserve">, both processes are essentially similar in that both processes are uncertain, reactionary and do not prevent the issues from arising in the first instance. </w:t>
      </w:r>
    </w:p>
    <w:p w:rsidR="008D60ED" w:rsidRPr="00606EA4" w:rsidRDefault="008D60ED" w:rsidP="007C377F">
      <w:pPr>
        <w:spacing w:after="0"/>
        <w:jc w:val="both"/>
        <w:rPr>
          <w:rFonts w:ascii="Arial" w:hAnsi="Arial" w:cs="Arial"/>
        </w:rPr>
      </w:pPr>
    </w:p>
    <w:p w:rsidR="008D60ED" w:rsidRPr="00606EA4" w:rsidRDefault="008D60ED" w:rsidP="00D73097">
      <w:pPr>
        <w:pStyle w:val="ListParagraph"/>
        <w:numPr>
          <w:ilvl w:val="0"/>
          <w:numId w:val="7"/>
        </w:numPr>
        <w:spacing w:after="0"/>
        <w:jc w:val="both"/>
        <w:rPr>
          <w:rFonts w:ascii="Arial" w:hAnsi="Arial" w:cs="Arial"/>
          <w:b/>
        </w:rPr>
      </w:pPr>
      <w:r w:rsidRPr="00606EA4">
        <w:rPr>
          <w:rFonts w:ascii="Arial" w:hAnsi="Arial" w:cs="Arial"/>
          <w:b/>
        </w:rPr>
        <w:t>Uncertain</w:t>
      </w:r>
      <w:r w:rsidR="000E240C" w:rsidRPr="00606EA4">
        <w:rPr>
          <w:rFonts w:ascii="Arial" w:hAnsi="Arial" w:cs="Arial"/>
          <w:b/>
        </w:rPr>
        <w:t>ty</w:t>
      </w:r>
    </w:p>
    <w:p w:rsidR="008D60ED" w:rsidRPr="00606EA4" w:rsidRDefault="008D60ED" w:rsidP="007C377F">
      <w:pPr>
        <w:spacing w:after="0"/>
        <w:jc w:val="both"/>
        <w:rPr>
          <w:rFonts w:ascii="Arial" w:hAnsi="Arial" w:cs="Arial"/>
        </w:rPr>
      </w:pPr>
    </w:p>
    <w:p w:rsidR="008D60ED" w:rsidRPr="00606EA4" w:rsidRDefault="008D60ED" w:rsidP="007C377F">
      <w:pPr>
        <w:spacing w:after="0"/>
        <w:jc w:val="both"/>
        <w:rPr>
          <w:rFonts w:ascii="Arial" w:hAnsi="Arial" w:cs="Arial"/>
        </w:rPr>
      </w:pPr>
      <w:r w:rsidRPr="00606EA4">
        <w:rPr>
          <w:rFonts w:ascii="Arial" w:hAnsi="Arial" w:cs="Arial"/>
        </w:rPr>
        <w:t xml:space="preserve">The characteristics used to determine if there was undue influence are qualitative in nature and difficult to ascertain, particularly if the characteristics were to be determined based on events </w:t>
      </w:r>
      <w:r w:rsidR="00C201D4">
        <w:rPr>
          <w:rFonts w:ascii="Arial" w:hAnsi="Arial" w:cs="Arial"/>
        </w:rPr>
        <w:t>which may have taken place several years earlier</w:t>
      </w:r>
      <w:r w:rsidRPr="00606EA4">
        <w:rPr>
          <w:rFonts w:ascii="Arial" w:hAnsi="Arial" w:cs="Arial"/>
        </w:rPr>
        <w:t>.</w:t>
      </w:r>
    </w:p>
    <w:p w:rsidR="002609C2" w:rsidRPr="00606EA4" w:rsidRDefault="002609C2" w:rsidP="007C377F">
      <w:pPr>
        <w:spacing w:after="0"/>
        <w:jc w:val="both"/>
        <w:rPr>
          <w:rFonts w:ascii="Arial" w:hAnsi="Arial" w:cs="Arial"/>
        </w:rPr>
      </w:pPr>
    </w:p>
    <w:p w:rsidR="002609C2" w:rsidRPr="00606EA4" w:rsidRDefault="002609C2" w:rsidP="007C377F">
      <w:pPr>
        <w:spacing w:after="0"/>
        <w:jc w:val="both"/>
        <w:rPr>
          <w:rFonts w:ascii="Arial" w:hAnsi="Arial" w:cs="Arial"/>
        </w:rPr>
      </w:pPr>
      <w:r w:rsidRPr="00606EA4">
        <w:rPr>
          <w:rFonts w:ascii="Arial" w:hAnsi="Arial" w:cs="Arial"/>
        </w:rPr>
        <w:t xml:space="preserve">The vast majority of such abuse often affects cash poor </w:t>
      </w:r>
      <w:r w:rsidR="00DE740E" w:rsidRPr="00E2188C">
        <w:rPr>
          <w:rFonts w:ascii="Arial" w:hAnsi="Arial" w:cs="Arial"/>
        </w:rPr>
        <w:t>elder</w:t>
      </w:r>
      <w:r w:rsidR="00DE740E">
        <w:rPr>
          <w:rFonts w:ascii="Arial" w:hAnsi="Arial" w:cs="Arial"/>
        </w:rPr>
        <w:t>ly person</w:t>
      </w:r>
      <w:r w:rsidRPr="00606EA4">
        <w:rPr>
          <w:rFonts w:ascii="Arial" w:hAnsi="Arial" w:cs="Arial"/>
        </w:rPr>
        <w:t>s who might lose their home</w:t>
      </w:r>
      <w:r w:rsidR="00DE740E">
        <w:rPr>
          <w:rFonts w:ascii="Arial" w:hAnsi="Arial" w:cs="Arial"/>
        </w:rPr>
        <w:t>s</w:t>
      </w:r>
      <w:r w:rsidRPr="00606EA4">
        <w:rPr>
          <w:rFonts w:ascii="Arial" w:hAnsi="Arial" w:cs="Arial"/>
        </w:rPr>
        <w:t xml:space="preserve"> as a result of the loan or guarantee. Hence, any uncertainty surrounding the </w:t>
      </w:r>
      <w:r w:rsidR="00DF5080" w:rsidRPr="00606EA4">
        <w:rPr>
          <w:rFonts w:ascii="Arial" w:hAnsi="Arial" w:cs="Arial"/>
        </w:rPr>
        <w:t xml:space="preserve">outcome of </w:t>
      </w:r>
      <w:r w:rsidR="00DF5080" w:rsidRPr="00606EA4">
        <w:rPr>
          <w:rFonts w:ascii="Arial" w:hAnsi="Arial" w:cs="Arial"/>
        </w:rPr>
        <w:lastRenderedPageBreak/>
        <w:t xml:space="preserve">litigation to enforce the guarantee or loan would undermine the </w:t>
      </w:r>
      <w:r w:rsidR="00DE740E" w:rsidRPr="00E2188C">
        <w:rPr>
          <w:rFonts w:ascii="Arial" w:hAnsi="Arial" w:cs="Arial"/>
        </w:rPr>
        <w:t>elder</w:t>
      </w:r>
      <w:r w:rsidR="00DE740E">
        <w:rPr>
          <w:rFonts w:ascii="Arial" w:hAnsi="Arial" w:cs="Arial"/>
        </w:rPr>
        <w:t>ly person</w:t>
      </w:r>
      <w:r w:rsidR="00DF5080" w:rsidRPr="00606EA4">
        <w:rPr>
          <w:rFonts w:ascii="Arial" w:hAnsi="Arial" w:cs="Arial"/>
        </w:rPr>
        <w:t>’s feeling of security in their home and causes significant anxiety.</w:t>
      </w:r>
    </w:p>
    <w:p w:rsidR="00DF5080" w:rsidRPr="00606EA4" w:rsidRDefault="00DF5080" w:rsidP="007C377F">
      <w:pPr>
        <w:spacing w:after="0"/>
        <w:jc w:val="both"/>
        <w:rPr>
          <w:rFonts w:ascii="Arial" w:hAnsi="Arial" w:cs="Arial"/>
        </w:rPr>
      </w:pPr>
    </w:p>
    <w:p w:rsidR="008D60ED" w:rsidRPr="00606EA4" w:rsidRDefault="008D60ED" w:rsidP="00D73097">
      <w:pPr>
        <w:pStyle w:val="ListParagraph"/>
        <w:numPr>
          <w:ilvl w:val="0"/>
          <w:numId w:val="7"/>
        </w:numPr>
        <w:spacing w:after="0"/>
        <w:jc w:val="both"/>
        <w:rPr>
          <w:rFonts w:ascii="Arial" w:hAnsi="Arial" w:cs="Arial"/>
          <w:b/>
        </w:rPr>
      </w:pPr>
      <w:r w:rsidRPr="00606EA4">
        <w:rPr>
          <w:rFonts w:ascii="Arial" w:hAnsi="Arial" w:cs="Arial"/>
          <w:b/>
        </w:rPr>
        <w:t>Reactionary</w:t>
      </w:r>
    </w:p>
    <w:p w:rsidR="008D60ED" w:rsidRPr="00606EA4" w:rsidRDefault="008D60ED" w:rsidP="007C377F">
      <w:pPr>
        <w:spacing w:after="0"/>
        <w:jc w:val="both"/>
        <w:rPr>
          <w:rFonts w:ascii="Arial" w:hAnsi="Arial" w:cs="Arial"/>
        </w:rPr>
      </w:pPr>
    </w:p>
    <w:p w:rsidR="003E29A3" w:rsidRPr="00606EA4" w:rsidRDefault="008D60ED" w:rsidP="007C377F">
      <w:pPr>
        <w:spacing w:after="0"/>
        <w:jc w:val="both"/>
        <w:rPr>
          <w:rFonts w:ascii="Arial" w:hAnsi="Arial" w:cs="Arial"/>
        </w:rPr>
      </w:pPr>
      <w:r w:rsidRPr="00606EA4">
        <w:rPr>
          <w:rFonts w:ascii="Arial" w:hAnsi="Arial" w:cs="Arial"/>
        </w:rPr>
        <w:t>The current situation has a high dependence on the law which is inevitably reactionary</w:t>
      </w:r>
      <w:r w:rsidR="008B5977" w:rsidRPr="00606EA4">
        <w:rPr>
          <w:rFonts w:ascii="Arial" w:hAnsi="Arial" w:cs="Arial"/>
        </w:rPr>
        <w:t xml:space="preserve"> and poses evidentiary difficulties</w:t>
      </w:r>
      <w:r w:rsidRPr="00606EA4">
        <w:rPr>
          <w:rFonts w:ascii="Arial" w:hAnsi="Arial" w:cs="Arial"/>
        </w:rPr>
        <w:t>. Problems often only arise several years after the loan or guarantee is entered into and the evidential difficulties are significant given the particular age group.</w:t>
      </w:r>
      <w:r w:rsidR="003E29A3" w:rsidRPr="00606EA4">
        <w:rPr>
          <w:rFonts w:ascii="Arial" w:hAnsi="Arial" w:cs="Arial"/>
        </w:rPr>
        <w:t xml:space="preserve"> </w:t>
      </w:r>
    </w:p>
    <w:p w:rsidR="001C5855" w:rsidRPr="00606EA4" w:rsidRDefault="001C5855" w:rsidP="007C377F">
      <w:pPr>
        <w:spacing w:after="0"/>
        <w:jc w:val="both"/>
        <w:rPr>
          <w:rFonts w:ascii="Arial" w:hAnsi="Arial" w:cs="Arial"/>
        </w:rPr>
      </w:pPr>
    </w:p>
    <w:p w:rsidR="001C5855" w:rsidRPr="00C201D4" w:rsidRDefault="001C5855" w:rsidP="007C377F">
      <w:pPr>
        <w:spacing w:after="0"/>
        <w:jc w:val="both"/>
        <w:rPr>
          <w:rFonts w:ascii="Arial" w:hAnsi="Arial" w:cs="Arial"/>
        </w:rPr>
      </w:pPr>
      <w:r w:rsidRPr="00606EA4">
        <w:rPr>
          <w:rFonts w:ascii="Arial" w:hAnsi="Arial" w:cs="Arial"/>
        </w:rPr>
        <w:t xml:space="preserve">Therefore, </w:t>
      </w:r>
      <w:r w:rsidR="00EC22A1" w:rsidRPr="00606EA4">
        <w:rPr>
          <w:rFonts w:ascii="Arial" w:hAnsi="Arial" w:cs="Arial"/>
        </w:rPr>
        <w:t xml:space="preserve">the current situation where reactionary processes are the only recourse for </w:t>
      </w:r>
      <w:r w:rsidR="00DE740E" w:rsidRPr="00E2188C">
        <w:rPr>
          <w:rFonts w:ascii="Arial" w:hAnsi="Arial" w:cs="Arial"/>
        </w:rPr>
        <w:t>elder</w:t>
      </w:r>
      <w:r w:rsidR="00DE740E">
        <w:rPr>
          <w:rFonts w:ascii="Arial" w:hAnsi="Arial" w:cs="Arial"/>
        </w:rPr>
        <w:t>ly person</w:t>
      </w:r>
      <w:r w:rsidR="00EC22A1" w:rsidRPr="00C201D4">
        <w:rPr>
          <w:rFonts w:ascii="Arial" w:hAnsi="Arial" w:cs="Arial"/>
        </w:rPr>
        <w:t>s is not satisfactory. Processes that anticipate and prevent the abuse needs to be considered.</w:t>
      </w:r>
    </w:p>
    <w:p w:rsidR="008B5977" w:rsidRPr="00C201D4" w:rsidRDefault="008B5977" w:rsidP="007C377F">
      <w:pPr>
        <w:spacing w:after="0"/>
        <w:jc w:val="both"/>
        <w:rPr>
          <w:rFonts w:ascii="Arial" w:hAnsi="Arial" w:cs="Arial"/>
        </w:rPr>
      </w:pPr>
    </w:p>
    <w:p w:rsidR="00991EC4" w:rsidRPr="00C201D4" w:rsidRDefault="00991EC4" w:rsidP="00D73097">
      <w:pPr>
        <w:pStyle w:val="ListParagraph"/>
        <w:numPr>
          <w:ilvl w:val="0"/>
          <w:numId w:val="7"/>
        </w:numPr>
        <w:spacing w:after="0"/>
        <w:jc w:val="both"/>
        <w:rPr>
          <w:rFonts w:ascii="Arial" w:hAnsi="Arial" w:cs="Arial"/>
          <w:b/>
        </w:rPr>
      </w:pPr>
      <w:r w:rsidRPr="00C201D4">
        <w:rPr>
          <w:rFonts w:ascii="Arial" w:hAnsi="Arial" w:cs="Arial"/>
          <w:b/>
        </w:rPr>
        <w:t>Trust</w:t>
      </w:r>
    </w:p>
    <w:p w:rsidR="00991EC4" w:rsidRPr="00C201D4" w:rsidRDefault="00991EC4" w:rsidP="007C377F">
      <w:pPr>
        <w:spacing w:after="0"/>
        <w:jc w:val="both"/>
        <w:rPr>
          <w:rFonts w:ascii="Arial" w:hAnsi="Arial" w:cs="Arial"/>
        </w:rPr>
      </w:pPr>
    </w:p>
    <w:p w:rsidR="00EC22A1" w:rsidRPr="00C201D4" w:rsidRDefault="00EC22A1" w:rsidP="007C377F">
      <w:pPr>
        <w:spacing w:after="0"/>
        <w:jc w:val="both"/>
        <w:rPr>
          <w:rFonts w:ascii="Arial" w:hAnsi="Arial" w:cs="Arial"/>
        </w:rPr>
      </w:pPr>
      <w:r w:rsidRPr="00C201D4">
        <w:rPr>
          <w:rFonts w:ascii="Arial" w:hAnsi="Arial" w:cs="Arial"/>
        </w:rPr>
        <w:t>However, the difficulty in formulati</w:t>
      </w:r>
      <w:r w:rsidR="00C201D4">
        <w:rPr>
          <w:rFonts w:ascii="Arial" w:hAnsi="Arial" w:cs="Arial"/>
        </w:rPr>
        <w:t>ng a preventative scheme is also a significant hurdle</w:t>
      </w:r>
      <w:r w:rsidRPr="00C201D4">
        <w:rPr>
          <w:rFonts w:ascii="Arial" w:hAnsi="Arial" w:cs="Arial"/>
        </w:rPr>
        <w:t>.</w:t>
      </w:r>
    </w:p>
    <w:p w:rsidR="00EC22A1" w:rsidRPr="00C201D4" w:rsidRDefault="00EC22A1" w:rsidP="007C377F">
      <w:pPr>
        <w:spacing w:after="0"/>
        <w:jc w:val="both"/>
        <w:rPr>
          <w:rFonts w:ascii="Arial" w:hAnsi="Arial" w:cs="Arial"/>
        </w:rPr>
      </w:pPr>
    </w:p>
    <w:p w:rsidR="00EC22A1" w:rsidRPr="00C201D4" w:rsidRDefault="00A204A8" w:rsidP="007C377F">
      <w:pPr>
        <w:spacing w:after="0"/>
        <w:jc w:val="both"/>
        <w:rPr>
          <w:rFonts w:ascii="Arial" w:hAnsi="Arial" w:cs="Arial"/>
        </w:rPr>
      </w:pPr>
      <w:r w:rsidRPr="00C201D4">
        <w:rPr>
          <w:rFonts w:ascii="Arial" w:hAnsi="Arial" w:cs="Arial"/>
        </w:rPr>
        <w:t xml:space="preserve">There is an implied requirement as a result of the legal doctrine of undue influence that borrowers or guarantors must first obtain independent legal advice. </w:t>
      </w:r>
      <w:r w:rsidR="00F52EBD" w:rsidRPr="00C201D4">
        <w:rPr>
          <w:rFonts w:ascii="Arial" w:hAnsi="Arial" w:cs="Arial"/>
        </w:rPr>
        <w:t xml:space="preserve">This requirement assumes that independent legal advice would empower borrowers and guarantors and </w:t>
      </w:r>
      <w:r w:rsidR="00C201D4">
        <w:rPr>
          <w:rFonts w:ascii="Arial" w:hAnsi="Arial" w:cs="Arial"/>
        </w:rPr>
        <w:t>would</w:t>
      </w:r>
      <w:r w:rsidR="00F52EBD" w:rsidRPr="00C201D4">
        <w:rPr>
          <w:rFonts w:ascii="Arial" w:hAnsi="Arial" w:cs="Arial"/>
        </w:rPr>
        <w:t xml:space="preserve"> reduce the degree of external influence.</w:t>
      </w:r>
      <w:r w:rsidR="00122020" w:rsidRPr="00C201D4">
        <w:rPr>
          <w:rFonts w:ascii="Arial" w:hAnsi="Arial" w:cs="Arial"/>
        </w:rPr>
        <w:t xml:space="preserve"> It would strengthen a lender’s case that there was no undue influence and/or the lender had no actual or constructive notice of undue influence. </w:t>
      </w:r>
    </w:p>
    <w:p w:rsidR="00EC22A1" w:rsidRPr="00C201D4" w:rsidRDefault="00EC22A1" w:rsidP="007C377F">
      <w:pPr>
        <w:spacing w:after="0"/>
        <w:jc w:val="both"/>
        <w:rPr>
          <w:rFonts w:ascii="Arial" w:hAnsi="Arial" w:cs="Arial"/>
        </w:rPr>
      </w:pPr>
    </w:p>
    <w:p w:rsidR="00EC22A1" w:rsidRPr="00C201D4" w:rsidRDefault="00F52EBD" w:rsidP="007C377F">
      <w:pPr>
        <w:spacing w:after="0"/>
        <w:jc w:val="both"/>
        <w:rPr>
          <w:rFonts w:ascii="Arial" w:hAnsi="Arial" w:cs="Arial"/>
        </w:rPr>
      </w:pPr>
      <w:r w:rsidRPr="00C201D4">
        <w:rPr>
          <w:rFonts w:ascii="Arial" w:hAnsi="Arial" w:cs="Arial"/>
        </w:rPr>
        <w:t xml:space="preserve">However, in practice, this does not appear to be the case. </w:t>
      </w:r>
      <w:r w:rsidR="00EC22A1" w:rsidRPr="00C201D4">
        <w:rPr>
          <w:rFonts w:ascii="Arial" w:hAnsi="Arial" w:cs="Arial"/>
        </w:rPr>
        <w:t xml:space="preserve">As mentioned above, </w:t>
      </w:r>
      <w:r w:rsidR="00DE740E" w:rsidRPr="00E2188C">
        <w:rPr>
          <w:rFonts w:ascii="Arial" w:hAnsi="Arial" w:cs="Arial"/>
        </w:rPr>
        <w:t>elder</w:t>
      </w:r>
      <w:r w:rsidR="00DE740E">
        <w:rPr>
          <w:rFonts w:ascii="Arial" w:hAnsi="Arial" w:cs="Arial"/>
        </w:rPr>
        <w:t>ly person</w:t>
      </w:r>
      <w:r w:rsidR="00EC22A1" w:rsidRPr="00C201D4">
        <w:rPr>
          <w:rFonts w:ascii="Arial" w:hAnsi="Arial" w:cs="Arial"/>
        </w:rPr>
        <w:t xml:space="preserve">s are often related to </w:t>
      </w:r>
      <w:r w:rsidR="001B35BF" w:rsidRPr="00C201D4">
        <w:rPr>
          <w:rFonts w:ascii="Arial" w:hAnsi="Arial" w:cs="Arial"/>
        </w:rPr>
        <w:t>the perpetrators</w:t>
      </w:r>
      <w:r w:rsidR="00EC22A1" w:rsidRPr="00C201D4">
        <w:rPr>
          <w:rFonts w:ascii="Arial" w:hAnsi="Arial" w:cs="Arial"/>
        </w:rPr>
        <w:t xml:space="preserve"> and</w:t>
      </w:r>
      <w:r w:rsidRPr="00C201D4">
        <w:rPr>
          <w:rFonts w:ascii="Arial" w:hAnsi="Arial" w:cs="Arial"/>
        </w:rPr>
        <w:t xml:space="preserve"> have a degree of trust</w:t>
      </w:r>
      <w:r w:rsidR="00C201D4">
        <w:rPr>
          <w:rFonts w:ascii="Arial" w:hAnsi="Arial" w:cs="Arial"/>
        </w:rPr>
        <w:t xml:space="preserve"> in the perpetrators</w:t>
      </w:r>
      <w:r w:rsidRPr="00C201D4">
        <w:rPr>
          <w:rFonts w:ascii="Arial" w:hAnsi="Arial" w:cs="Arial"/>
        </w:rPr>
        <w:t>. This trust may</w:t>
      </w:r>
      <w:r w:rsidR="00C201D4">
        <w:rPr>
          <w:rFonts w:ascii="Arial" w:hAnsi="Arial" w:cs="Arial"/>
        </w:rPr>
        <w:t xml:space="preserve"> render any legal advice ineffective</w:t>
      </w:r>
      <w:r w:rsidRPr="00C201D4">
        <w:rPr>
          <w:rFonts w:ascii="Arial" w:hAnsi="Arial" w:cs="Arial"/>
        </w:rPr>
        <w:t xml:space="preserve"> and </w:t>
      </w:r>
      <w:r w:rsidR="00C201D4">
        <w:rPr>
          <w:rFonts w:ascii="Arial" w:hAnsi="Arial" w:cs="Arial"/>
        </w:rPr>
        <w:t>would</w:t>
      </w:r>
      <w:r w:rsidRPr="00C201D4">
        <w:rPr>
          <w:rFonts w:ascii="Arial" w:hAnsi="Arial" w:cs="Arial"/>
        </w:rPr>
        <w:t xml:space="preserve"> not prevent the </w:t>
      </w:r>
      <w:r w:rsidR="00DE740E" w:rsidRPr="00E2188C">
        <w:rPr>
          <w:rFonts w:ascii="Arial" w:hAnsi="Arial" w:cs="Arial"/>
        </w:rPr>
        <w:t>elder</w:t>
      </w:r>
      <w:r w:rsidR="00DE740E">
        <w:rPr>
          <w:rFonts w:ascii="Arial" w:hAnsi="Arial" w:cs="Arial"/>
        </w:rPr>
        <w:t>ly person</w:t>
      </w:r>
      <w:r w:rsidRPr="00C201D4">
        <w:rPr>
          <w:rFonts w:ascii="Arial" w:hAnsi="Arial" w:cs="Arial"/>
        </w:rPr>
        <w:t xml:space="preserve"> from being unduly influenced.</w:t>
      </w:r>
    </w:p>
    <w:p w:rsidR="00F52EBD" w:rsidRPr="00C201D4" w:rsidRDefault="00F52EBD" w:rsidP="007C377F">
      <w:pPr>
        <w:spacing w:after="0"/>
        <w:jc w:val="both"/>
        <w:rPr>
          <w:rFonts w:ascii="Arial" w:hAnsi="Arial" w:cs="Arial"/>
        </w:rPr>
      </w:pPr>
    </w:p>
    <w:tbl>
      <w:tblPr>
        <w:tblStyle w:val="TableGrid"/>
        <w:tblW w:w="0" w:type="auto"/>
        <w:tblLook w:val="04A0"/>
      </w:tblPr>
      <w:tblGrid>
        <w:gridCol w:w="9576"/>
      </w:tblGrid>
      <w:tr w:rsidR="00F52EBD" w:rsidRPr="00CF32C7" w:rsidTr="00F52EBD">
        <w:tc>
          <w:tcPr>
            <w:tcW w:w="9576" w:type="dxa"/>
          </w:tcPr>
          <w:p w:rsidR="00F52EBD" w:rsidRPr="00C201D4" w:rsidRDefault="00C201D4" w:rsidP="007C377F">
            <w:pPr>
              <w:spacing w:after="200" w:line="276" w:lineRule="auto"/>
              <w:jc w:val="both"/>
              <w:rPr>
                <w:rFonts w:ascii="Arial" w:hAnsi="Arial" w:cs="Arial"/>
              </w:rPr>
            </w:pPr>
            <w:r>
              <w:rPr>
                <w:rFonts w:ascii="Arial" w:hAnsi="Arial" w:cs="Arial"/>
              </w:rPr>
              <w:t>Case study</w:t>
            </w:r>
            <w:r w:rsidR="008905CA" w:rsidRPr="00C201D4">
              <w:rPr>
                <w:rFonts w:ascii="Arial" w:hAnsi="Arial" w:cs="Arial"/>
              </w:rPr>
              <w:t xml:space="preserve"> 3 </w:t>
            </w:r>
            <w:r w:rsidR="00D73097" w:rsidRPr="00C201D4">
              <w:rPr>
                <w:rFonts w:ascii="Arial" w:hAnsi="Arial" w:cs="Arial"/>
              </w:rPr>
              <w:t>–</w:t>
            </w:r>
            <w:r w:rsidR="008905CA" w:rsidRPr="00C201D4">
              <w:rPr>
                <w:rFonts w:ascii="Arial" w:hAnsi="Arial" w:cs="Arial"/>
              </w:rPr>
              <w:t xml:space="preserve"> </w:t>
            </w:r>
            <w:r w:rsidR="00D73097" w:rsidRPr="00C201D4">
              <w:rPr>
                <w:rFonts w:ascii="Arial" w:hAnsi="Arial" w:cs="Arial"/>
              </w:rPr>
              <w:t xml:space="preserve">The </w:t>
            </w:r>
            <w:proofErr w:type="spellStart"/>
            <w:r w:rsidR="00D73097" w:rsidRPr="00C201D4">
              <w:rPr>
                <w:rFonts w:ascii="Arial" w:hAnsi="Arial" w:cs="Arial"/>
              </w:rPr>
              <w:t>Langdons</w:t>
            </w:r>
            <w:proofErr w:type="spellEnd"/>
            <w:r w:rsidR="00D73097" w:rsidRPr="00C201D4">
              <w:rPr>
                <w:rFonts w:ascii="Arial" w:hAnsi="Arial" w:cs="Arial"/>
              </w:rPr>
              <w:t xml:space="preserve"> </w:t>
            </w:r>
            <w:r w:rsidR="008905CA" w:rsidRPr="00C201D4">
              <w:rPr>
                <w:rFonts w:ascii="Arial" w:hAnsi="Arial" w:cs="Arial"/>
              </w:rPr>
              <w:t>continued</w:t>
            </w:r>
            <w:r w:rsidR="00F52EBD" w:rsidRPr="00C201D4">
              <w:rPr>
                <w:rFonts w:ascii="Arial" w:hAnsi="Arial" w:cs="Arial"/>
              </w:rPr>
              <w:t xml:space="preserve"> (See </w:t>
            </w:r>
            <w:r>
              <w:rPr>
                <w:rFonts w:ascii="Arial" w:hAnsi="Arial" w:cs="Arial"/>
              </w:rPr>
              <w:t>Case study</w:t>
            </w:r>
            <w:r w:rsidR="00F52EBD" w:rsidRPr="00C201D4">
              <w:rPr>
                <w:rFonts w:ascii="Arial" w:hAnsi="Arial" w:cs="Arial"/>
              </w:rPr>
              <w:t xml:space="preserve"> 2)</w:t>
            </w:r>
          </w:p>
          <w:p w:rsidR="0076798A" w:rsidRPr="00C201D4" w:rsidRDefault="0076798A" w:rsidP="007C377F">
            <w:pPr>
              <w:spacing w:after="200" w:line="276" w:lineRule="auto"/>
              <w:jc w:val="both"/>
              <w:rPr>
                <w:rFonts w:ascii="Arial" w:hAnsi="Arial" w:cs="Arial"/>
              </w:rPr>
            </w:pPr>
            <w:proofErr w:type="spellStart"/>
            <w:r w:rsidRPr="00C201D4">
              <w:rPr>
                <w:rFonts w:ascii="Arial" w:hAnsi="Arial" w:cs="Arial"/>
              </w:rPr>
              <w:t>Mr</w:t>
            </w:r>
            <w:proofErr w:type="spellEnd"/>
            <w:r w:rsidRPr="00C201D4">
              <w:rPr>
                <w:rFonts w:ascii="Arial" w:hAnsi="Arial" w:cs="Arial"/>
              </w:rPr>
              <w:t xml:space="preserve"> and </w:t>
            </w:r>
            <w:proofErr w:type="spellStart"/>
            <w:r w:rsidRPr="00C201D4">
              <w:rPr>
                <w:rFonts w:ascii="Arial" w:hAnsi="Arial" w:cs="Arial"/>
              </w:rPr>
              <w:t>Mrs</w:t>
            </w:r>
            <w:proofErr w:type="spellEnd"/>
            <w:r w:rsidRPr="00C201D4">
              <w:rPr>
                <w:rFonts w:ascii="Arial" w:hAnsi="Arial" w:cs="Arial"/>
              </w:rPr>
              <w:t xml:space="preserve"> L</w:t>
            </w:r>
            <w:r w:rsidR="008905CA" w:rsidRPr="00C201D4">
              <w:rPr>
                <w:rFonts w:ascii="Arial" w:hAnsi="Arial" w:cs="Arial"/>
              </w:rPr>
              <w:t>angdon</w:t>
            </w:r>
            <w:r w:rsidRPr="00C201D4">
              <w:rPr>
                <w:rFonts w:ascii="Arial" w:hAnsi="Arial" w:cs="Arial"/>
              </w:rPr>
              <w:t xml:space="preserve"> had received independent legal advice and the </w:t>
            </w:r>
            <w:r w:rsidR="0068565F" w:rsidRPr="00C201D4">
              <w:rPr>
                <w:rFonts w:ascii="Arial" w:hAnsi="Arial" w:cs="Arial"/>
              </w:rPr>
              <w:t>implications of entering into the guarantee were</w:t>
            </w:r>
            <w:r w:rsidRPr="00C201D4">
              <w:rPr>
                <w:rFonts w:ascii="Arial" w:hAnsi="Arial" w:cs="Arial"/>
              </w:rPr>
              <w:t xml:space="preserve"> clearly communicated by the lawyer to </w:t>
            </w:r>
            <w:proofErr w:type="spellStart"/>
            <w:r w:rsidRPr="00C201D4">
              <w:rPr>
                <w:rFonts w:ascii="Arial" w:hAnsi="Arial" w:cs="Arial"/>
              </w:rPr>
              <w:t>Mr</w:t>
            </w:r>
            <w:proofErr w:type="spellEnd"/>
            <w:r w:rsidRPr="00C201D4">
              <w:rPr>
                <w:rFonts w:ascii="Arial" w:hAnsi="Arial" w:cs="Arial"/>
              </w:rPr>
              <w:t xml:space="preserve"> and </w:t>
            </w:r>
            <w:proofErr w:type="spellStart"/>
            <w:r w:rsidRPr="00C201D4">
              <w:rPr>
                <w:rFonts w:ascii="Arial" w:hAnsi="Arial" w:cs="Arial"/>
              </w:rPr>
              <w:t>Mrs</w:t>
            </w:r>
            <w:proofErr w:type="spellEnd"/>
            <w:r w:rsidRPr="00C201D4">
              <w:rPr>
                <w:rFonts w:ascii="Arial" w:hAnsi="Arial" w:cs="Arial"/>
              </w:rPr>
              <w:t xml:space="preserve"> L</w:t>
            </w:r>
            <w:r w:rsidR="008905CA" w:rsidRPr="00C201D4">
              <w:rPr>
                <w:rFonts w:ascii="Arial" w:hAnsi="Arial" w:cs="Arial"/>
              </w:rPr>
              <w:t>angdon</w:t>
            </w:r>
            <w:r w:rsidRPr="00C201D4">
              <w:rPr>
                <w:rFonts w:ascii="Arial" w:hAnsi="Arial" w:cs="Arial"/>
              </w:rPr>
              <w:t xml:space="preserve">. However, the trust and concern </w:t>
            </w:r>
            <w:proofErr w:type="spellStart"/>
            <w:r w:rsidRPr="00C201D4">
              <w:rPr>
                <w:rFonts w:ascii="Arial" w:hAnsi="Arial" w:cs="Arial"/>
              </w:rPr>
              <w:t>Mr</w:t>
            </w:r>
            <w:proofErr w:type="spellEnd"/>
            <w:r w:rsidRPr="00C201D4">
              <w:rPr>
                <w:rFonts w:ascii="Arial" w:hAnsi="Arial" w:cs="Arial"/>
              </w:rPr>
              <w:t xml:space="preserve"> and </w:t>
            </w:r>
            <w:proofErr w:type="spellStart"/>
            <w:r w:rsidRPr="00C201D4">
              <w:rPr>
                <w:rFonts w:ascii="Arial" w:hAnsi="Arial" w:cs="Arial"/>
              </w:rPr>
              <w:t>Mrs</w:t>
            </w:r>
            <w:proofErr w:type="spellEnd"/>
            <w:r w:rsidRPr="00C201D4">
              <w:rPr>
                <w:rFonts w:ascii="Arial" w:hAnsi="Arial" w:cs="Arial"/>
              </w:rPr>
              <w:t xml:space="preserve"> L</w:t>
            </w:r>
            <w:r w:rsidR="008905CA" w:rsidRPr="00C201D4">
              <w:rPr>
                <w:rFonts w:ascii="Arial" w:hAnsi="Arial" w:cs="Arial"/>
              </w:rPr>
              <w:t>angdon</w:t>
            </w:r>
            <w:r w:rsidRPr="00C201D4">
              <w:rPr>
                <w:rFonts w:ascii="Arial" w:hAnsi="Arial" w:cs="Arial"/>
              </w:rPr>
              <w:t xml:space="preserve"> ha</w:t>
            </w:r>
            <w:r w:rsidR="00C201D4">
              <w:rPr>
                <w:rFonts w:ascii="Arial" w:hAnsi="Arial" w:cs="Arial"/>
              </w:rPr>
              <w:t>d</w:t>
            </w:r>
            <w:r w:rsidRPr="00C201D4">
              <w:rPr>
                <w:rFonts w:ascii="Arial" w:hAnsi="Arial" w:cs="Arial"/>
              </w:rPr>
              <w:t xml:space="preserve"> for Adam r</w:t>
            </w:r>
            <w:r w:rsidR="00C201D4">
              <w:rPr>
                <w:rFonts w:ascii="Arial" w:hAnsi="Arial" w:cs="Arial"/>
              </w:rPr>
              <w:t>endered the legal advice ineffective</w:t>
            </w:r>
            <w:r w:rsidRPr="00C201D4">
              <w:rPr>
                <w:rFonts w:ascii="Arial" w:hAnsi="Arial" w:cs="Arial"/>
              </w:rPr>
              <w:t>.</w:t>
            </w:r>
          </w:p>
          <w:p w:rsidR="00A204A8" w:rsidRPr="00C201D4" w:rsidRDefault="0076798A" w:rsidP="007C377F">
            <w:pPr>
              <w:spacing w:after="200" w:line="276" w:lineRule="auto"/>
              <w:jc w:val="both"/>
              <w:rPr>
                <w:rFonts w:ascii="Arial" w:hAnsi="Arial" w:cs="Arial"/>
              </w:rPr>
            </w:pPr>
            <w:proofErr w:type="spellStart"/>
            <w:r w:rsidRPr="00C201D4">
              <w:rPr>
                <w:rFonts w:ascii="Arial" w:hAnsi="Arial" w:cs="Arial"/>
              </w:rPr>
              <w:t>Mr</w:t>
            </w:r>
            <w:proofErr w:type="spellEnd"/>
            <w:r w:rsidRPr="00C201D4">
              <w:rPr>
                <w:rFonts w:ascii="Arial" w:hAnsi="Arial" w:cs="Arial"/>
              </w:rPr>
              <w:t xml:space="preserve"> and </w:t>
            </w:r>
            <w:proofErr w:type="spellStart"/>
            <w:r w:rsidRPr="00C201D4">
              <w:rPr>
                <w:rFonts w:ascii="Arial" w:hAnsi="Arial" w:cs="Arial"/>
              </w:rPr>
              <w:t>Mrs</w:t>
            </w:r>
            <w:proofErr w:type="spellEnd"/>
            <w:r w:rsidRPr="00C201D4">
              <w:rPr>
                <w:rFonts w:ascii="Arial" w:hAnsi="Arial" w:cs="Arial"/>
              </w:rPr>
              <w:t xml:space="preserve"> L</w:t>
            </w:r>
            <w:r w:rsidR="008905CA" w:rsidRPr="00C201D4">
              <w:rPr>
                <w:rFonts w:ascii="Arial" w:hAnsi="Arial" w:cs="Arial"/>
              </w:rPr>
              <w:t>angdon</w:t>
            </w:r>
            <w:r w:rsidRPr="00C201D4">
              <w:rPr>
                <w:rFonts w:ascii="Arial" w:hAnsi="Arial" w:cs="Arial"/>
              </w:rPr>
              <w:t xml:space="preserve"> </w:t>
            </w:r>
            <w:r w:rsidR="00C64E40" w:rsidRPr="00C201D4">
              <w:rPr>
                <w:rFonts w:ascii="Arial" w:hAnsi="Arial" w:cs="Arial"/>
              </w:rPr>
              <w:t xml:space="preserve">repeatedly cited their trust in Adam to the exclusion of legal advice. </w:t>
            </w:r>
            <w:proofErr w:type="spellStart"/>
            <w:r w:rsidR="00C64E40" w:rsidRPr="00C201D4">
              <w:rPr>
                <w:rFonts w:ascii="Arial" w:hAnsi="Arial" w:cs="Arial"/>
              </w:rPr>
              <w:t>Mr</w:t>
            </w:r>
            <w:proofErr w:type="spellEnd"/>
            <w:r w:rsidR="00C64E40" w:rsidRPr="00C201D4">
              <w:rPr>
                <w:rFonts w:ascii="Arial" w:hAnsi="Arial" w:cs="Arial"/>
              </w:rPr>
              <w:t xml:space="preserve"> and </w:t>
            </w:r>
            <w:proofErr w:type="spellStart"/>
            <w:r w:rsidR="00C64E40" w:rsidRPr="00C201D4">
              <w:rPr>
                <w:rFonts w:ascii="Arial" w:hAnsi="Arial" w:cs="Arial"/>
              </w:rPr>
              <w:t>Mrs</w:t>
            </w:r>
            <w:proofErr w:type="spellEnd"/>
            <w:r w:rsidR="00C64E40" w:rsidRPr="00C201D4">
              <w:rPr>
                <w:rFonts w:ascii="Arial" w:hAnsi="Arial" w:cs="Arial"/>
              </w:rPr>
              <w:t xml:space="preserve"> L</w:t>
            </w:r>
            <w:r w:rsidR="008905CA" w:rsidRPr="00C201D4">
              <w:rPr>
                <w:rFonts w:ascii="Arial" w:hAnsi="Arial" w:cs="Arial"/>
              </w:rPr>
              <w:t>angdon</w:t>
            </w:r>
            <w:r w:rsidR="00C64E40" w:rsidRPr="00C201D4">
              <w:rPr>
                <w:rFonts w:ascii="Arial" w:hAnsi="Arial" w:cs="Arial"/>
              </w:rPr>
              <w:t xml:space="preserve"> seemed eager to provide the guarantee notwithstanding the impli</w:t>
            </w:r>
            <w:r w:rsidR="00A204A8" w:rsidRPr="00C201D4">
              <w:rPr>
                <w:rFonts w:ascii="Arial" w:hAnsi="Arial" w:cs="Arial"/>
              </w:rPr>
              <w:t>cations of default</w:t>
            </w:r>
            <w:r w:rsidR="00092AD7" w:rsidRPr="00C201D4">
              <w:rPr>
                <w:rFonts w:ascii="Arial" w:hAnsi="Arial" w:cs="Arial"/>
              </w:rPr>
              <w:t xml:space="preserve"> and their knowledge of Adam’s lack of employment</w:t>
            </w:r>
            <w:r w:rsidR="003124FB">
              <w:rPr>
                <w:rFonts w:ascii="Arial" w:hAnsi="Arial" w:cs="Arial"/>
              </w:rPr>
              <w:t xml:space="preserve">. </w:t>
            </w:r>
            <w:proofErr w:type="spellStart"/>
            <w:r w:rsidR="003124FB">
              <w:rPr>
                <w:rFonts w:ascii="Arial" w:hAnsi="Arial" w:cs="Arial"/>
              </w:rPr>
              <w:t>Mr</w:t>
            </w:r>
            <w:proofErr w:type="spellEnd"/>
            <w:r w:rsidR="003124FB">
              <w:rPr>
                <w:rFonts w:ascii="Arial" w:hAnsi="Arial" w:cs="Arial"/>
              </w:rPr>
              <w:t xml:space="preserve"> and </w:t>
            </w:r>
            <w:proofErr w:type="spellStart"/>
            <w:r w:rsidR="003124FB">
              <w:rPr>
                <w:rFonts w:ascii="Arial" w:hAnsi="Arial" w:cs="Arial"/>
              </w:rPr>
              <w:t>Mrs</w:t>
            </w:r>
            <w:proofErr w:type="spellEnd"/>
            <w:r w:rsidR="003124FB">
              <w:rPr>
                <w:rFonts w:ascii="Arial" w:hAnsi="Arial" w:cs="Arial"/>
              </w:rPr>
              <w:t xml:space="preserve"> Langdon also did not consider it likely that their guarantee would be called upon because in their opinion the sale of Asset B would pay of</w:t>
            </w:r>
            <w:r w:rsidR="00E33D2E">
              <w:rPr>
                <w:rFonts w:ascii="Arial" w:hAnsi="Arial" w:cs="Arial"/>
              </w:rPr>
              <w:t>f</w:t>
            </w:r>
            <w:r w:rsidR="003124FB">
              <w:rPr>
                <w:rFonts w:ascii="Arial" w:hAnsi="Arial" w:cs="Arial"/>
              </w:rPr>
              <w:t xml:space="preserve"> the loan. They even admitted to not reading the guarantee before signing it.</w:t>
            </w:r>
          </w:p>
          <w:p w:rsidR="00C64E40" w:rsidRPr="00C201D4" w:rsidRDefault="00A204A8" w:rsidP="00E33D2E">
            <w:pPr>
              <w:spacing w:after="200" w:line="276" w:lineRule="auto"/>
              <w:jc w:val="both"/>
              <w:rPr>
                <w:rFonts w:ascii="Arial" w:hAnsi="Arial" w:cs="Arial"/>
              </w:rPr>
            </w:pPr>
            <w:r w:rsidRPr="00C201D4">
              <w:rPr>
                <w:rFonts w:ascii="Arial" w:hAnsi="Arial" w:cs="Arial"/>
              </w:rPr>
              <w:t xml:space="preserve">It was clear that </w:t>
            </w:r>
            <w:proofErr w:type="spellStart"/>
            <w:r w:rsidRPr="00C201D4">
              <w:rPr>
                <w:rFonts w:ascii="Arial" w:hAnsi="Arial" w:cs="Arial"/>
              </w:rPr>
              <w:t>Mr</w:t>
            </w:r>
            <w:proofErr w:type="spellEnd"/>
            <w:r w:rsidRPr="00C201D4">
              <w:rPr>
                <w:rFonts w:ascii="Arial" w:hAnsi="Arial" w:cs="Arial"/>
              </w:rPr>
              <w:t xml:space="preserve"> and </w:t>
            </w:r>
            <w:proofErr w:type="spellStart"/>
            <w:r w:rsidRPr="00C201D4">
              <w:rPr>
                <w:rFonts w:ascii="Arial" w:hAnsi="Arial" w:cs="Arial"/>
              </w:rPr>
              <w:t>Mrs</w:t>
            </w:r>
            <w:proofErr w:type="spellEnd"/>
            <w:r w:rsidRPr="00C201D4">
              <w:rPr>
                <w:rFonts w:ascii="Arial" w:hAnsi="Arial" w:cs="Arial"/>
              </w:rPr>
              <w:t xml:space="preserve"> L</w:t>
            </w:r>
            <w:r w:rsidR="008905CA" w:rsidRPr="00C201D4">
              <w:rPr>
                <w:rFonts w:ascii="Arial" w:hAnsi="Arial" w:cs="Arial"/>
              </w:rPr>
              <w:t>angdon</w:t>
            </w:r>
            <w:r w:rsidRPr="00C201D4">
              <w:rPr>
                <w:rFonts w:ascii="Arial" w:hAnsi="Arial" w:cs="Arial"/>
              </w:rPr>
              <w:t xml:space="preserve"> disregarded the lawyer’s advice and the</w:t>
            </w:r>
            <w:r w:rsidR="003124FB">
              <w:rPr>
                <w:rFonts w:ascii="Arial" w:hAnsi="Arial" w:cs="Arial"/>
              </w:rPr>
              <w:t xml:space="preserve"> consequences of their actions. They preferred to believe that </w:t>
            </w:r>
            <w:r w:rsidRPr="00C201D4">
              <w:rPr>
                <w:rFonts w:ascii="Arial" w:hAnsi="Arial" w:cs="Arial"/>
              </w:rPr>
              <w:t>the most optimistic scenario whe</w:t>
            </w:r>
            <w:r w:rsidR="00092AD7" w:rsidRPr="00C201D4">
              <w:rPr>
                <w:rFonts w:ascii="Arial" w:hAnsi="Arial" w:cs="Arial"/>
              </w:rPr>
              <w:t>re</w:t>
            </w:r>
            <w:r w:rsidR="003124FB">
              <w:rPr>
                <w:rFonts w:ascii="Arial" w:hAnsi="Arial" w:cs="Arial"/>
              </w:rPr>
              <w:t>by</w:t>
            </w:r>
            <w:r w:rsidR="00092AD7" w:rsidRPr="00C201D4">
              <w:rPr>
                <w:rFonts w:ascii="Arial" w:hAnsi="Arial" w:cs="Arial"/>
              </w:rPr>
              <w:t xml:space="preserve"> Adam would repay the loan and</w:t>
            </w:r>
            <w:r w:rsidRPr="00C201D4">
              <w:rPr>
                <w:rFonts w:ascii="Arial" w:hAnsi="Arial" w:cs="Arial"/>
              </w:rPr>
              <w:t xml:space="preserve"> the guarantee would not be called upon</w:t>
            </w:r>
            <w:r w:rsidR="003124FB">
              <w:rPr>
                <w:rFonts w:ascii="Arial" w:hAnsi="Arial" w:cs="Arial"/>
              </w:rPr>
              <w:t xml:space="preserve"> would be </w:t>
            </w:r>
            <w:r w:rsidR="00E33D2E">
              <w:rPr>
                <w:rFonts w:ascii="Arial" w:hAnsi="Arial" w:cs="Arial"/>
              </w:rPr>
              <w:t xml:space="preserve">the </w:t>
            </w:r>
            <w:r w:rsidR="003124FB">
              <w:rPr>
                <w:rFonts w:ascii="Arial" w:hAnsi="Arial" w:cs="Arial"/>
              </w:rPr>
              <w:t>outcome</w:t>
            </w:r>
            <w:r w:rsidRPr="00C201D4">
              <w:rPr>
                <w:rFonts w:ascii="Arial" w:hAnsi="Arial" w:cs="Arial"/>
              </w:rPr>
              <w:t>.</w:t>
            </w:r>
            <w:r w:rsidR="00092AD7" w:rsidRPr="00C201D4">
              <w:rPr>
                <w:rFonts w:ascii="Arial" w:hAnsi="Arial" w:cs="Arial"/>
              </w:rPr>
              <w:t xml:space="preserve"> </w:t>
            </w:r>
          </w:p>
        </w:tc>
      </w:tr>
    </w:tbl>
    <w:p w:rsidR="00F52EBD" w:rsidRPr="003124FB" w:rsidRDefault="003E29A3" w:rsidP="007C377F">
      <w:pPr>
        <w:spacing w:after="0"/>
        <w:jc w:val="both"/>
        <w:rPr>
          <w:rFonts w:ascii="Arial" w:hAnsi="Arial" w:cs="Arial"/>
        </w:rPr>
      </w:pPr>
      <w:r w:rsidRPr="003124FB">
        <w:rPr>
          <w:rFonts w:ascii="Arial" w:hAnsi="Arial" w:cs="Arial"/>
        </w:rPr>
        <w:lastRenderedPageBreak/>
        <w:t>Trust is further exploited when the relationship is one of dependence. Often, the elder</w:t>
      </w:r>
      <w:r w:rsidR="00DE740E">
        <w:rPr>
          <w:rFonts w:ascii="Arial" w:hAnsi="Arial" w:cs="Arial"/>
        </w:rPr>
        <w:t>ly person’s</w:t>
      </w:r>
      <w:r w:rsidRPr="003124FB">
        <w:rPr>
          <w:rFonts w:ascii="Arial" w:hAnsi="Arial" w:cs="Arial"/>
        </w:rPr>
        <w:t xml:space="preserve"> ordinary source of dependence</w:t>
      </w:r>
      <w:r w:rsidR="003124FB">
        <w:rPr>
          <w:rFonts w:ascii="Arial" w:hAnsi="Arial" w:cs="Arial"/>
        </w:rPr>
        <w:t>, such as a spouse,</w:t>
      </w:r>
      <w:r w:rsidRPr="003124FB">
        <w:rPr>
          <w:rFonts w:ascii="Arial" w:hAnsi="Arial" w:cs="Arial"/>
        </w:rPr>
        <w:t xml:space="preserve"> may have passed away and the </w:t>
      </w:r>
      <w:r w:rsidR="00DE740E" w:rsidRPr="00E2188C">
        <w:rPr>
          <w:rFonts w:ascii="Arial" w:hAnsi="Arial" w:cs="Arial"/>
        </w:rPr>
        <w:t>elder</w:t>
      </w:r>
      <w:r w:rsidR="00DE740E">
        <w:rPr>
          <w:rFonts w:ascii="Arial" w:hAnsi="Arial" w:cs="Arial"/>
        </w:rPr>
        <w:t>ly person</w:t>
      </w:r>
      <w:r w:rsidRPr="003124FB">
        <w:rPr>
          <w:rFonts w:ascii="Arial" w:hAnsi="Arial" w:cs="Arial"/>
        </w:rPr>
        <w:t xml:space="preserve"> shifts their dependence onto the </w:t>
      </w:r>
      <w:r w:rsidR="001B35BF" w:rsidRPr="003124FB">
        <w:rPr>
          <w:rFonts w:ascii="Arial" w:hAnsi="Arial" w:cs="Arial"/>
        </w:rPr>
        <w:t>perpetrators</w:t>
      </w:r>
      <w:r w:rsidRPr="003124FB">
        <w:rPr>
          <w:rFonts w:ascii="Arial" w:hAnsi="Arial" w:cs="Arial"/>
        </w:rPr>
        <w:t xml:space="preserve">. </w:t>
      </w:r>
    </w:p>
    <w:p w:rsidR="003E29A3" w:rsidRPr="003124FB" w:rsidRDefault="003E29A3" w:rsidP="007C377F">
      <w:pPr>
        <w:spacing w:after="0"/>
        <w:jc w:val="both"/>
        <w:rPr>
          <w:rFonts w:ascii="Arial" w:hAnsi="Arial" w:cs="Arial"/>
        </w:rPr>
      </w:pPr>
    </w:p>
    <w:tbl>
      <w:tblPr>
        <w:tblStyle w:val="TableGrid"/>
        <w:tblW w:w="0" w:type="auto"/>
        <w:tblLook w:val="04A0"/>
      </w:tblPr>
      <w:tblGrid>
        <w:gridCol w:w="9576"/>
      </w:tblGrid>
      <w:tr w:rsidR="003E29A3" w:rsidRPr="00CF32C7" w:rsidTr="003E29A3">
        <w:tc>
          <w:tcPr>
            <w:tcW w:w="9576" w:type="dxa"/>
          </w:tcPr>
          <w:p w:rsidR="003E29A3" w:rsidRPr="003124FB" w:rsidRDefault="00E33D2E" w:rsidP="007C377F">
            <w:pPr>
              <w:spacing w:after="200" w:line="276" w:lineRule="auto"/>
              <w:jc w:val="both"/>
              <w:rPr>
                <w:rFonts w:ascii="Arial" w:hAnsi="Arial" w:cs="Arial"/>
              </w:rPr>
            </w:pPr>
            <w:r>
              <w:rPr>
                <w:rFonts w:ascii="Arial" w:hAnsi="Arial" w:cs="Arial"/>
              </w:rPr>
              <w:t>Case Study</w:t>
            </w:r>
            <w:r w:rsidRPr="003124FB">
              <w:rPr>
                <w:rFonts w:ascii="Arial" w:hAnsi="Arial" w:cs="Arial"/>
              </w:rPr>
              <w:t xml:space="preserve"> </w:t>
            </w:r>
            <w:r w:rsidR="007240A2" w:rsidRPr="003124FB">
              <w:rPr>
                <w:rFonts w:ascii="Arial" w:hAnsi="Arial" w:cs="Arial"/>
              </w:rPr>
              <w:t xml:space="preserve">4 - </w:t>
            </w:r>
            <w:r w:rsidR="003E29A3" w:rsidRPr="003124FB">
              <w:rPr>
                <w:rFonts w:ascii="Arial" w:hAnsi="Arial" w:cs="Arial"/>
              </w:rPr>
              <w:t>Georgina’s story</w:t>
            </w:r>
          </w:p>
          <w:p w:rsidR="00A87E0D" w:rsidRPr="003124FB" w:rsidRDefault="0094749A" w:rsidP="007C377F">
            <w:pPr>
              <w:spacing w:after="200" w:line="276" w:lineRule="auto"/>
              <w:jc w:val="both"/>
              <w:rPr>
                <w:rFonts w:ascii="Arial" w:hAnsi="Arial" w:cs="Arial"/>
              </w:rPr>
            </w:pPr>
            <w:r w:rsidRPr="003124FB">
              <w:rPr>
                <w:rFonts w:ascii="Arial" w:hAnsi="Arial" w:cs="Arial"/>
              </w:rPr>
              <w:t>Georgina was a</w:t>
            </w:r>
            <w:r w:rsidR="003124FB">
              <w:rPr>
                <w:rFonts w:ascii="Arial" w:hAnsi="Arial" w:cs="Arial"/>
              </w:rPr>
              <w:t>n</w:t>
            </w:r>
            <w:r w:rsidRPr="003124FB">
              <w:rPr>
                <w:rFonts w:ascii="Arial" w:hAnsi="Arial" w:cs="Arial"/>
              </w:rPr>
              <w:t xml:space="preserve"> </w:t>
            </w:r>
            <w:r w:rsidR="003124FB">
              <w:rPr>
                <w:rFonts w:ascii="Arial" w:hAnsi="Arial" w:cs="Arial"/>
              </w:rPr>
              <w:t xml:space="preserve">elderly </w:t>
            </w:r>
            <w:r w:rsidRPr="003124FB">
              <w:rPr>
                <w:rFonts w:ascii="Arial" w:hAnsi="Arial" w:cs="Arial"/>
              </w:rPr>
              <w:t>widow who</w:t>
            </w:r>
            <w:r w:rsidR="003124FB">
              <w:rPr>
                <w:rFonts w:ascii="Arial" w:hAnsi="Arial" w:cs="Arial"/>
              </w:rPr>
              <w:t xml:space="preserve"> had</w:t>
            </w:r>
            <w:r w:rsidRPr="003124FB">
              <w:rPr>
                <w:rFonts w:ascii="Arial" w:hAnsi="Arial" w:cs="Arial"/>
              </w:rPr>
              <w:t xml:space="preserve"> migrated </w:t>
            </w:r>
            <w:r w:rsidR="003124FB">
              <w:rPr>
                <w:rFonts w:ascii="Arial" w:hAnsi="Arial" w:cs="Arial"/>
              </w:rPr>
              <w:t>to Australia</w:t>
            </w:r>
            <w:r w:rsidRPr="003124FB">
              <w:rPr>
                <w:rFonts w:ascii="Arial" w:hAnsi="Arial" w:cs="Arial"/>
              </w:rPr>
              <w:t xml:space="preserve"> as a child</w:t>
            </w:r>
            <w:r w:rsidR="003124FB">
              <w:rPr>
                <w:rFonts w:ascii="Arial" w:hAnsi="Arial" w:cs="Arial"/>
              </w:rPr>
              <w:t>. She</w:t>
            </w:r>
            <w:r w:rsidRPr="003124FB">
              <w:rPr>
                <w:rFonts w:ascii="Arial" w:hAnsi="Arial" w:cs="Arial"/>
              </w:rPr>
              <w:t xml:space="preserve"> had difficulty communicating in English. She was heavily dependent on her late husband and after her husband passed away, she </w:t>
            </w:r>
            <w:r w:rsidR="003124FB">
              <w:rPr>
                <w:rFonts w:ascii="Arial" w:hAnsi="Arial" w:cs="Arial"/>
              </w:rPr>
              <w:t xml:space="preserve">was </w:t>
            </w:r>
            <w:r w:rsidR="003124FB" w:rsidRPr="003124FB">
              <w:rPr>
                <w:rFonts w:ascii="Arial" w:hAnsi="Arial" w:cs="Arial"/>
              </w:rPr>
              <w:t>depend</w:t>
            </w:r>
            <w:r w:rsidR="003124FB">
              <w:rPr>
                <w:rFonts w:ascii="Arial" w:hAnsi="Arial" w:cs="Arial"/>
              </w:rPr>
              <w:t>ent</w:t>
            </w:r>
            <w:r w:rsidRPr="003124FB">
              <w:rPr>
                <w:rFonts w:ascii="Arial" w:hAnsi="Arial" w:cs="Arial"/>
              </w:rPr>
              <w:t xml:space="preserve"> on her </w:t>
            </w:r>
            <w:r w:rsidR="00A87E0D" w:rsidRPr="003124FB">
              <w:rPr>
                <w:rFonts w:ascii="Arial" w:hAnsi="Arial" w:cs="Arial"/>
              </w:rPr>
              <w:t xml:space="preserve">children. In particular she had a close relationship with her eldest son, Greg. </w:t>
            </w:r>
          </w:p>
          <w:p w:rsidR="003E29A3" w:rsidRPr="003124FB" w:rsidRDefault="003124FB" w:rsidP="007C377F">
            <w:pPr>
              <w:spacing w:after="200" w:line="276" w:lineRule="auto"/>
              <w:jc w:val="both"/>
              <w:rPr>
                <w:rFonts w:ascii="Arial" w:hAnsi="Arial" w:cs="Arial"/>
              </w:rPr>
            </w:pPr>
            <w:r>
              <w:rPr>
                <w:rFonts w:ascii="Arial" w:hAnsi="Arial" w:cs="Arial"/>
              </w:rPr>
              <w:t>I</w:t>
            </w:r>
            <w:r w:rsidR="00092AD7" w:rsidRPr="003124FB">
              <w:rPr>
                <w:rFonts w:ascii="Arial" w:hAnsi="Arial" w:cs="Arial"/>
              </w:rPr>
              <w:t xml:space="preserve">n 2004, </w:t>
            </w:r>
            <w:r w:rsidR="00446E39" w:rsidRPr="003124FB">
              <w:rPr>
                <w:rFonts w:ascii="Arial" w:hAnsi="Arial" w:cs="Arial"/>
              </w:rPr>
              <w:t xml:space="preserve">when Greg </w:t>
            </w:r>
            <w:r w:rsidR="007240A2" w:rsidRPr="003124FB">
              <w:rPr>
                <w:rFonts w:ascii="Arial" w:hAnsi="Arial" w:cs="Arial"/>
              </w:rPr>
              <w:t>asked Georgina for a loan, she readily agreed and signed the documents even though she did not understand the documents. The documents were for a loan solely in Georgina’s name and her home would be mortgaged in the process. Greg received the proceeds of the loan and led Georgina to believe that the loan was in his name rather than hers.</w:t>
            </w:r>
          </w:p>
          <w:p w:rsidR="007240A2" w:rsidRPr="003124FB" w:rsidRDefault="00092AD7" w:rsidP="00DE740E">
            <w:pPr>
              <w:spacing w:after="200" w:line="276" w:lineRule="auto"/>
              <w:jc w:val="both"/>
              <w:rPr>
                <w:rFonts w:ascii="Arial" w:hAnsi="Arial" w:cs="Arial"/>
              </w:rPr>
            </w:pPr>
            <w:r w:rsidRPr="003124FB">
              <w:rPr>
                <w:rFonts w:ascii="Arial" w:hAnsi="Arial" w:cs="Arial"/>
              </w:rPr>
              <w:t xml:space="preserve">It was only in or around 2012 that Georgina’s other children </w:t>
            </w:r>
            <w:proofErr w:type="spellStart"/>
            <w:r w:rsidRPr="003124FB">
              <w:rPr>
                <w:rFonts w:ascii="Arial" w:hAnsi="Arial" w:cs="Arial"/>
              </w:rPr>
              <w:t>reali</w:t>
            </w:r>
            <w:r w:rsidR="00DE740E">
              <w:rPr>
                <w:rFonts w:ascii="Arial" w:hAnsi="Arial" w:cs="Arial"/>
              </w:rPr>
              <w:t>s</w:t>
            </w:r>
            <w:r w:rsidRPr="003124FB">
              <w:rPr>
                <w:rFonts w:ascii="Arial" w:hAnsi="Arial" w:cs="Arial"/>
              </w:rPr>
              <w:t>ed</w:t>
            </w:r>
            <w:proofErr w:type="spellEnd"/>
            <w:r w:rsidRPr="003124FB">
              <w:rPr>
                <w:rFonts w:ascii="Arial" w:hAnsi="Arial" w:cs="Arial"/>
              </w:rPr>
              <w:t xml:space="preserve"> that the loan was in Georgina’s name, that the loan was in default and that </w:t>
            </w:r>
            <w:r w:rsidR="00CB0CC2" w:rsidRPr="003124FB">
              <w:rPr>
                <w:rFonts w:ascii="Arial" w:hAnsi="Arial" w:cs="Arial"/>
              </w:rPr>
              <w:t>the lender was intending to enforce the mortgage.</w:t>
            </w:r>
          </w:p>
        </w:tc>
      </w:tr>
    </w:tbl>
    <w:p w:rsidR="008B1534" w:rsidRPr="003124FB" w:rsidRDefault="008B1534" w:rsidP="007C377F">
      <w:pPr>
        <w:spacing w:after="0"/>
        <w:jc w:val="both"/>
        <w:rPr>
          <w:rFonts w:ascii="Arial" w:hAnsi="Arial" w:cs="Arial"/>
        </w:rPr>
      </w:pPr>
    </w:p>
    <w:p w:rsidR="00FE2A09" w:rsidRPr="00547D0F" w:rsidRDefault="00FE2A09" w:rsidP="00D73097">
      <w:pPr>
        <w:pStyle w:val="ListParagraph"/>
        <w:numPr>
          <w:ilvl w:val="0"/>
          <w:numId w:val="7"/>
        </w:numPr>
        <w:jc w:val="both"/>
        <w:rPr>
          <w:rFonts w:ascii="Arial" w:hAnsi="Arial" w:cs="Arial"/>
          <w:b/>
        </w:rPr>
      </w:pPr>
      <w:r w:rsidRPr="003124FB">
        <w:rPr>
          <w:rFonts w:ascii="Arial" w:hAnsi="Arial" w:cs="Arial"/>
          <w:b/>
        </w:rPr>
        <w:t>Under</w:t>
      </w:r>
      <w:r w:rsidR="00705015">
        <w:rPr>
          <w:rFonts w:ascii="Arial" w:hAnsi="Arial" w:cs="Arial"/>
          <w:b/>
        </w:rPr>
        <w:t>-</w:t>
      </w:r>
      <w:r w:rsidRPr="00547D0F">
        <w:rPr>
          <w:rFonts w:ascii="Arial" w:hAnsi="Arial" w:cs="Arial"/>
          <w:b/>
        </w:rPr>
        <w:t>reporting</w:t>
      </w:r>
    </w:p>
    <w:p w:rsidR="003541A0" w:rsidRPr="00547D0F" w:rsidRDefault="00CB0CC2" w:rsidP="007C377F">
      <w:pPr>
        <w:jc w:val="both"/>
        <w:rPr>
          <w:rFonts w:ascii="Arial" w:hAnsi="Arial" w:cs="Arial"/>
        </w:rPr>
      </w:pPr>
      <w:r w:rsidRPr="00547D0F">
        <w:rPr>
          <w:rFonts w:ascii="Arial" w:hAnsi="Arial" w:cs="Arial"/>
        </w:rPr>
        <w:t>Anothe</w:t>
      </w:r>
      <w:r w:rsidR="003541A0" w:rsidRPr="00547D0F">
        <w:rPr>
          <w:rFonts w:ascii="Arial" w:hAnsi="Arial" w:cs="Arial"/>
        </w:rPr>
        <w:t>r issue in cases of elder financial abuse is the significant under</w:t>
      </w:r>
      <w:r w:rsidR="00F23704">
        <w:rPr>
          <w:rFonts w:ascii="Arial" w:hAnsi="Arial" w:cs="Arial"/>
        </w:rPr>
        <w:t>-</w:t>
      </w:r>
      <w:r w:rsidR="003541A0" w:rsidRPr="00547D0F">
        <w:rPr>
          <w:rFonts w:ascii="Arial" w:hAnsi="Arial" w:cs="Arial"/>
        </w:rPr>
        <w:t xml:space="preserve">reporting of elder financial abuse. </w:t>
      </w:r>
    </w:p>
    <w:p w:rsidR="00122020" w:rsidRPr="00547D0F" w:rsidRDefault="00DE740E" w:rsidP="007C377F">
      <w:pPr>
        <w:jc w:val="both"/>
        <w:rPr>
          <w:rFonts w:ascii="Arial" w:hAnsi="Arial" w:cs="Arial"/>
        </w:rPr>
      </w:pPr>
      <w:r>
        <w:rPr>
          <w:rFonts w:ascii="Arial" w:hAnsi="Arial" w:cs="Arial"/>
        </w:rPr>
        <w:t>E</w:t>
      </w:r>
      <w:r w:rsidRPr="00E2188C">
        <w:rPr>
          <w:rFonts w:ascii="Arial" w:hAnsi="Arial" w:cs="Arial"/>
        </w:rPr>
        <w:t>lder</w:t>
      </w:r>
      <w:r>
        <w:rPr>
          <w:rFonts w:ascii="Arial" w:hAnsi="Arial" w:cs="Arial"/>
        </w:rPr>
        <w:t>ly persons</w:t>
      </w:r>
      <w:r w:rsidR="003541A0" w:rsidRPr="00547D0F">
        <w:rPr>
          <w:rFonts w:ascii="Arial" w:hAnsi="Arial" w:cs="Arial"/>
        </w:rPr>
        <w:t xml:space="preserve"> are often reluctant to raise problems of abuse to third parties due to the trust and familial relationships with the </w:t>
      </w:r>
      <w:r w:rsidR="001B35BF" w:rsidRPr="00547D0F">
        <w:rPr>
          <w:rFonts w:ascii="Arial" w:hAnsi="Arial" w:cs="Arial"/>
        </w:rPr>
        <w:t>perpetrator</w:t>
      </w:r>
      <w:r w:rsidR="003541A0" w:rsidRPr="00547D0F">
        <w:rPr>
          <w:rFonts w:ascii="Arial" w:hAnsi="Arial" w:cs="Arial"/>
        </w:rPr>
        <w:t>.</w:t>
      </w:r>
      <w:r w:rsidR="003541A0" w:rsidRPr="00547D0F">
        <w:rPr>
          <w:rStyle w:val="FootnoteReference"/>
          <w:rFonts w:ascii="Arial" w:hAnsi="Arial" w:cs="Arial"/>
        </w:rPr>
        <w:footnoteReference w:id="3"/>
      </w:r>
      <w:r w:rsidR="003541A0" w:rsidRPr="00547D0F">
        <w:rPr>
          <w:rFonts w:ascii="Arial" w:hAnsi="Arial" w:cs="Arial"/>
        </w:rPr>
        <w:t xml:space="preserve"> </w:t>
      </w:r>
      <w:r w:rsidR="00A50C9C" w:rsidRPr="00547D0F">
        <w:rPr>
          <w:rFonts w:ascii="Arial" w:hAnsi="Arial" w:cs="Arial"/>
        </w:rPr>
        <w:t xml:space="preserve">This may be a result of a fear to cause the </w:t>
      </w:r>
      <w:r w:rsidR="001B35BF" w:rsidRPr="00547D0F">
        <w:rPr>
          <w:rFonts w:ascii="Arial" w:hAnsi="Arial" w:cs="Arial"/>
        </w:rPr>
        <w:t>perpetrator</w:t>
      </w:r>
      <w:r w:rsidR="00A50C9C" w:rsidRPr="00547D0F">
        <w:rPr>
          <w:rFonts w:ascii="Arial" w:hAnsi="Arial" w:cs="Arial"/>
        </w:rPr>
        <w:t>s “trouble”</w:t>
      </w:r>
      <w:r w:rsidR="00A50C9C" w:rsidRPr="00547D0F">
        <w:rPr>
          <w:rStyle w:val="FootnoteReference"/>
          <w:rFonts w:ascii="Arial" w:hAnsi="Arial" w:cs="Arial"/>
        </w:rPr>
        <w:footnoteReference w:id="4"/>
      </w:r>
      <w:r w:rsidR="00A50C9C" w:rsidRPr="00547D0F">
        <w:rPr>
          <w:rFonts w:ascii="Arial" w:hAnsi="Arial" w:cs="Arial"/>
        </w:rPr>
        <w:t xml:space="preserve"> and a perception that the </w:t>
      </w:r>
      <w:r w:rsidR="000809EF" w:rsidRPr="00547D0F">
        <w:rPr>
          <w:rFonts w:ascii="Arial" w:hAnsi="Arial" w:cs="Arial"/>
        </w:rPr>
        <w:t>perpetrator w</w:t>
      </w:r>
      <w:r w:rsidR="009A64E0">
        <w:rPr>
          <w:rFonts w:ascii="Arial" w:hAnsi="Arial" w:cs="Arial"/>
        </w:rPr>
        <w:t>as</w:t>
      </w:r>
      <w:r w:rsidR="000809EF" w:rsidRPr="00547D0F">
        <w:rPr>
          <w:rFonts w:ascii="Arial" w:hAnsi="Arial" w:cs="Arial"/>
        </w:rPr>
        <w:t xml:space="preserve"> not doing anyt</w:t>
      </w:r>
      <w:r w:rsidR="00A50C9C" w:rsidRPr="00547D0F">
        <w:rPr>
          <w:rFonts w:ascii="Arial" w:hAnsi="Arial" w:cs="Arial"/>
        </w:rPr>
        <w:t>hing wrong</w:t>
      </w:r>
      <w:r w:rsidR="000809EF" w:rsidRPr="00547D0F">
        <w:rPr>
          <w:rFonts w:ascii="Arial" w:hAnsi="Arial" w:cs="Arial"/>
        </w:rPr>
        <w:t>.</w:t>
      </w:r>
      <w:r w:rsidR="00A50C9C" w:rsidRPr="00547D0F">
        <w:rPr>
          <w:rStyle w:val="FootnoteReference"/>
          <w:rFonts w:ascii="Arial" w:hAnsi="Arial" w:cs="Arial"/>
        </w:rPr>
        <w:footnoteReference w:id="5"/>
      </w:r>
      <w:r w:rsidR="000809EF" w:rsidRPr="00547D0F">
        <w:rPr>
          <w:rFonts w:ascii="Arial" w:hAnsi="Arial" w:cs="Arial"/>
        </w:rPr>
        <w:t xml:space="preserve"> </w:t>
      </w:r>
      <w:r w:rsidR="003541A0" w:rsidRPr="00547D0F">
        <w:rPr>
          <w:rFonts w:ascii="Arial" w:hAnsi="Arial" w:cs="Arial"/>
        </w:rPr>
        <w:t xml:space="preserve">In Georgina’s, the </w:t>
      </w:r>
      <w:proofErr w:type="spellStart"/>
      <w:r w:rsidR="003541A0" w:rsidRPr="00547D0F">
        <w:rPr>
          <w:rFonts w:ascii="Arial" w:hAnsi="Arial" w:cs="Arial"/>
        </w:rPr>
        <w:t>Langdons</w:t>
      </w:r>
      <w:proofErr w:type="spellEnd"/>
      <w:r w:rsidR="003541A0" w:rsidRPr="00547D0F">
        <w:rPr>
          <w:rFonts w:ascii="Arial" w:hAnsi="Arial" w:cs="Arial"/>
        </w:rPr>
        <w:t xml:space="preserve">’ and the Banners’ stories, the </w:t>
      </w:r>
      <w:r w:rsidR="009A64E0" w:rsidRPr="00E2188C">
        <w:rPr>
          <w:rFonts w:ascii="Arial" w:hAnsi="Arial" w:cs="Arial"/>
        </w:rPr>
        <w:t>elder</w:t>
      </w:r>
      <w:r w:rsidR="009A64E0">
        <w:rPr>
          <w:rFonts w:ascii="Arial" w:hAnsi="Arial" w:cs="Arial"/>
        </w:rPr>
        <w:t>ly person</w:t>
      </w:r>
      <w:r w:rsidR="003541A0" w:rsidRPr="00547D0F">
        <w:rPr>
          <w:rFonts w:ascii="Arial" w:hAnsi="Arial" w:cs="Arial"/>
        </w:rPr>
        <w:t xml:space="preserve">s had a familial relationship with </w:t>
      </w:r>
      <w:r w:rsidR="001B35BF" w:rsidRPr="00547D0F">
        <w:rPr>
          <w:rFonts w:ascii="Arial" w:hAnsi="Arial" w:cs="Arial"/>
        </w:rPr>
        <w:t>the perpetrators</w:t>
      </w:r>
      <w:r w:rsidR="005C4C5A" w:rsidRPr="00547D0F">
        <w:rPr>
          <w:rFonts w:ascii="Arial" w:hAnsi="Arial" w:cs="Arial"/>
        </w:rPr>
        <w:t xml:space="preserve"> and entere</w:t>
      </w:r>
      <w:r w:rsidR="001B35BF" w:rsidRPr="00547D0F">
        <w:rPr>
          <w:rFonts w:ascii="Arial" w:hAnsi="Arial" w:cs="Arial"/>
        </w:rPr>
        <w:t>d into the loans to assist the perpetrators</w:t>
      </w:r>
      <w:r w:rsidR="005C4C5A" w:rsidRPr="00547D0F">
        <w:rPr>
          <w:rFonts w:ascii="Arial" w:hAnsi="Arial" w:cs="Arial"/>
        </w:rPr>
        <w:t xml:space="preserve">. They did not </w:t>
      </w:r>
      <w:proofErr w:type="spellStart"/>
      <w:r w:rsidR="005C4C5A" w:rsidRPr="00547D0F">
        <w:rPr>
          <w:rFonts w:ascii="Arial" w:hAnsi="Arial" w:cs="Arial"/>
        </w:rPr>
        <w:t>recogni</w:t>
      </w:r>
      <w:r w:rsidR="009A64E0">
        <w:rPr>
          <w:rFonts w:ascii="Arial" w:hAnsi="Arial" w:cs="Arial"/>
        </w:rPr>
        <w:t>s</w:t>
      </w:r>
      <w:r w:rsidR="005C4C5A" w:rsidRPr="00547D0F">
        <w:rPr>
          <w:rFonts w:ascii="Arial" w:hAnsi="Arial" w:cs="Arial"/>
        </w:rPr>
        <w:t>e</w:t>
      </w:r>
      <w:proofErr w:type="spellEnd"/>
      <w:r w:rsidR="005C4C5A" w:rsidRPr="00547D0F">
        <w:rPr>
          <w:rFonts w:ascii="Arial" w:hAnsi="Arial" w:cs="Arial"/>
        </w:rPr>
        <w:t xml:space="preserve"> the transactions as “abuse” and only sought help when it appeared that they were likely to lose their homes as security.</w:t>
      </w:r>
    </w:p>
    <w:p w:rsidR="00CD44B1" w:rsidRPr="00547D0F" w:rsidRDefault="00CD44B1" w:rsidP="007C377F">
      <w:pPr>
        <w:jc w:val="both"/>
        <w:rPr>
          <w:rFonts w:ascii="Arial" w:hAnsi="Arial" w:cs="Arial"/>
        </w:rPr>
      </w:pPr>
      <w:r w:rsidRPr="00547D0F">
        <w:rPr>
          <w:rFonts w:ascii="Arial" w:hAnsi="Arial" w:cs="Arial"/>
        </w:rPr>
        <w:t xml:space="preserve">Familial relationships also spur </w:t>
      </w:r>
      <w:r w:rsidR="009A64E0" w:rsidRPr="00E2188C">
        <w:rPr>
          <w:rFonts w:ascii="Arial" w:hAnsi="Arial" w:cs="Arial"/>
        </w:rPr>
        <w:t>elder</w:t>
      </w:r>
      <w:r w:rsidR="009A64E0">
        <w:rPr>
          <w:rFonts w:ascii="Arial" w:hAnsi="Arial" w:cs="Arial"/>
        </w:rPr>
        <w:t>ly person</w:t>
      </w:r>
      <w:r w:rsidRPr="00547D0F">
        <w:rPr>
          <w:rFonts w:ascii="Arial" w:hAnsi="Arial" w:cs="Arial"/>
        </w:rPr>
        <w:t xml:space="preserve">s to seek to protect </w:t>
      </w:r>
      <w:r w:rsidR="001B35BF" w:rsidRPr="00547D0F">
        <w:rPr>
          <w:rFonts w:ascii="Arial" w:hAnsi="Arial" w:cs="Arial"/>
        </w:rPr>
        <w:t>the perpetrators</w:t>
      </w:r>
      <w:r w:rsidR="009A64E0">
        <w:rPr>
          <w:rFonts w:ascii="Arial" w:hAnsi="Arial" w:cs="Arial"/>
        </w:rPr>
        <w:t>’</w:t>
      </w:r>
      <w:r w:rsidRPr="00547D0F">
        <w:rPr>
          <w:rFonts w:ascii="Arial" w:hAnsi="Arial" w:cs="Arial"/>
        </w:rPr>
        <w:t xml:space="preserve"> interests. </w:t>
      </w:r>
    </w:p>
    <w:tbl>
      <w:tblPr>
        <w:tblStyle w:val="TableGrid"/>
        <w:tblW w:w="0" w:type="auto"/>
        <w:tblLook w:val="04A0"/>
      </w:tblPr>
      <w:tblGrid>
        <w:gridCol w:w="9576"/>
      </w:tblGrid>
      <w:tr w:rsidR="00CD44B1" w:rsidRPr="00CF32C7" w:rsidTr="00CD44B1">
        <w:tc>
          <w:tcPr>
            <w:tcW w:w="9576" w:type="dxa"/>
          </w:tcPr>
          <w:p w:rsidR="00CD44B1" w:rsidRPr="00547D0F" w:rsidRDefault="00547D0F" w:rsidP="007C377F">
            <w:pPr>
              <w:spacing w:after="200" w:line="276" w:lineRule="auto"/>
              <w:jc w:val="both"/>
              <w:rPr>
                <w:rFonts w:ascii="Arial" w:hAnsi="Arial" w:cs="Arial"/>
              </w:rPr>
            </w:pPr>
            <w:r>
              <w:rPr>
                <w:rFonts w:ascii="Arial" w:hAnsi="Arial" w:cs="Arial"/>
              </w:rPr>
              <w:t>Case study</w:t>
            </w:r>
            <w:r w:rsidR="007C377F" w:rsidRPr="00547D0F">
              <w:rPr>
                <w:rFonts w:ascii="Arial" w:hAnsi="Arial" w:cs="Arial"/>
              </w:rPr>
              <w:t xml:space="preserve"> </w:t>
            </w:r>
            <w:r w:rsidR="00E33D2E">
              <w:rPr>
                <w:rFonts w:ascii="Arial" w:hAnsi="Arial" w:cs="Arial"/>
              </w:rPr>
              <w:t>5</w:t>
            </w:r>
            <w:r w:rsidR="007C377F" w:rsidRPr="00547D0F">
              <w:rPr>
                <w:rFonts w:ascii="Arial" w:hAnsi="Arial" w:cs="Arial"/>
              </w:rPr>
              <w:t xml:space="preserve"> </w:t>
            </w:r>
            <w:r w:rsidR="00D73097" w:rsidRPr="00547D0F">
              <w:rPr>
                <w:rFonts w:ascii="Arial" w:hAnsi="Arial" w:cs="Arial"/>
              </w:rPr>
              <w:t>–</w:t>
            </w:r>
            <w:r w:rsidR="007C377F" w:rsidRPr="00547D0F">
              <w:rPr>
                <w:rFonts w:ascii="Arial" w:hAnsi="Arial" w:cs="Arial"/>
              </w:rPr>
              <w:t xml:space="preserve"> </w:t>
            </w:r>
            <w:r w:rsidR="00D73097" w:rsidRPr="00547D0F">
              <w:rPr>
                <w:rFonts w:ascii="Arial" w:hAnsi="Arial" w:cs="Arial"/>
              </w:rPr>
              <w:t>The Banners</w:t>
            </w:r>
            <w:r w:rsidR="007C377F" w:rsidRPr="00547D0F">
              <w:rPr>
                <w:rFonts w:ascii="Arial" w:hAnsi="Arial" w:cs="Arial"/>
              </w:rPr>
              <w:t xml:space="preserve"> continued (See </w:t>
            </w:r>
            <w:r>
              <w:rPr>
                <w:rFonts w:ascii="Arial" w:hAnsi="Arial" w:cs="Arial"/>
              </w:rPr>
              <w:t>case study</w:t>
            </w:r>
            <w:r w:rsidR="007C377F" w:rsidRPr="00547D0F">
              <w:rPr>
                <w:rFonts w:ascii="Arial" w:hAnsi="Arial" w:cs="Arial"/>
              </w:rPr>
              <w:t xml:space="preserve"> 1)</w:t>
            </w:r>
          </w:p>
          <w:p w:rsidR="0088283E" w:rsidRPr="00547D0F" w:rsidRDefault="00CD44B1" w:rsidP="007C377F">
            <w:pPr>
              <w:spacing w:after="200" w:line="276" w:lineRule="auto"/>
              <w:jc w:val="both"/>
              <w:rPr>
                <w:rFonts w:ascii="Arial" w:hAnsi="Arial" w:cs="Arial"/>
              </w:rPr>
            </w:pPr>
            <w:proofErr w:type="spellStart"/>
            <w:r w:rsidRPr="00547D0F">
              <w:rPr>
                <w:rFonts w:ascii="Arial" w:hAnsi="Arial" w:cs="Arial"/>
              </w:rPr>
              <w:t>Mr</w:t>
            </w:r>
            <w:proofErr w:type="spellEnd"/>
            <w:r w:rsidRPr="00547D0F">
              <w:rPr>
                <w:rFonts w:ascii="Arial" w:hAnsi="Arial" w:cs="Arial"/>
              </w:rPr>
              <w:t xml:space="preserve"> and </w:t>
            </w:r>
            <w:proofErr w:type="spellStart"/>
            <w:r w:rsidRPr="00547D0F">
              <w:rPr>
                <w:rFonts w:ascii="Arial" w:hAnsi="Arial" w:cs="Arial"/>
              </w:rPr>
              <w:t>Mrs</w:t>
            </w:r>
            <w:proofErr w:type="spellEnd"/>
            <w:r w:rsidRPr="00547D0F">
              <w:rPr>
                <w:rFonts w:ascii="Arial" w:hAnsi="Arial" w:cs="Arial"/>
              </w:rPr>
              <w:t xml:space="preserve"> Banner lodge</w:t>
            </w:r>
            <w:r w:rsidR="00E33D2E">
              <w:rPr>
                <w:rFonts w:ascii="Arial" w:hAnsi="Arial" w:cs="Arial"/>
              </w:rPr>
              <w:t>d</w:t>
            </w:r>
            <w:r w:rsidRPr="00547D0F">
              <w:rPr>
                <w:rFonts w:ascii="Arial" w:hAnsi="Arial" w:cs="Arial"/>
              </w:rPr>
              <w:t xml:space="preserve"> a complaint with </w:t>
            </w:r>
            <w:r w:rsidR="00F629A6" w:rsidRPr="00547D0F">
              <w:rPr>
                <w:rFonts w:ascii="Arial" w:hAnsi="Arial" w:cs="Arial"/>
              </w:rPr>
              <w:t>the Financial Ombudsman Service. Although</w:t>
            </w:r>
            <w:r w:rsidRPr="00547D0F">
              <w:rPr>
                <w:rFonts w:ascii="Arial" w:hAnsi="Arial" w:cs="Arial"/>
              </w:rPr>
              <w:t xml:space="preserve"> </w:t>
            </w:r>
            <w:r w:rsidR="00F629A6" w:rsidRPr="00547D0F">
              <w:rPr>
                <w:rFonts w:ascii="Arial" w:hAnsi="Arial" w:cs="Arial"/>
              </w:rPr>
              <w:t xml:space="preserve">a settlement was reached in </w:t>
            </w:r>
            <w:proofErr w:type="spellStart"/>
            <w:r w:rsidR="00F629A6" w:rsidRPr="00547D0F">
              <w:rPr>
                <w:rFonts w:ascii="Arial" w:hAnsi="Arial" w:cs="Arial"/>
              </w:rPr>
              <w:t>Mr</w:t>
            </w:r>
            <w:proofErr w:type="spellEnd"/>
            <w:r w:rsidR="00F629A6" w:rsidRPr="00547D0F">
              <w:rPr>
                <w:rFonts w:ascii="Arial" w:hAnsi="Arial" w:cs="Arial"/>
              </w:rPr>
              <w:t xml:space="preserve"> and </w:t>
            </w:r>
            <w:proofErr w:type="spellStart"/>
            <w:r w:rsidR="00F629A6" w:rsidRPr="00547D0F">
              <w:rPr>
                <w:rFonts w:ascii="Arial" w:hAnsi="Arial" w:cs="Arial"/>
              </w:rPr>
              <w:t>Mrs</w:t>
            </w:r>
            <w:proofErr w:type="spellEnd"/>
            <w:r w:rsidR="00F629A6" w:rsidRPr="00547D0F">
              <w:rPr>
                <w:rFonts w:ascii="Arial" w:hAnsi="Arial" w:cs="Arial"/>
              </w:rPr>
              <w:t xml:space="preserve"> Banner’s</w:t>
            </w:r>
            <w:r w:rsidR="0088283E" w:rsidRPr="00547D0F">
              <w:rPr>
                <w:rFonts w:ascii="Arial" w:hAnsi="Arial" w:cs="Arial"/>
              </w:rPr>
              <w:t xml:space="preserve"> </w:t>
            </w:r>
            <w:proofErr w:type="spellStart"/>
            <w:r w:rsidR="0088283E" w:rsidRPr="00547D0F">
              <w:rPr>
                <w:rFonts w:ascii="Arial" w:hAnsi="Arial" w:cs="Arial"/>
              </w:rPr>
              <w:t>favour</w:t>
            </w:r>
            <w:proofErr w:type="spellEnd"/>
            <w:r w:rsidR="0088283E" w:rsidRPr="00547D0F">
              <w:rPr>
                <w:rFonts w:ascii="Arial" w:hAnsi="Arial" w:cs="Arial"/>
              </w:rPr>
              <w:t xml:space="preserve"> at the expense of </w:t>
            </w:r>
            <w:r w:rsidR="00547D0F">
              <w:rPr>
                <w:rFonts w:ascii="Arial" w:hAnsi="Arial" w:cs="Arial"/>
              </w:rPr>
              <w:t>Sam</w:t>
            </w:r>
            <w:r w:rsidR="0088283E" w:rsidRPr="00547D0F">
              <w:rPr>
                <w:rFonts w:ascii="Arial" w:hAnsi="Arial" w:cs="Arial"/>
              </w:rPr>
              <w:t xml:space="preserve">, </w:t>
            </w:r>
            <w:proofErr w:type="spellStart"/>
            <w:r w:rsidR="0088283E" w:rsidRPr="00547D0F">
              <w:rPr>
                <w:rFonts w:ascii="Arial" w:hAnsi="Arial" w:cs="Arial"/>
              </w:rPr>
              <w:t>Mr</w:t>
            </w:r>
            <w:proofErr w:type="spellEnd"/>
            <w:r w:rsidR="0088283E" w:rsidRPr="00547D0F">
              <w:rPr>
                <w:rFonts w:ascii="Arial" w:hAnsi="Arial" w:cs="Arial"/>
              </w:rPr>
              <w:t xml:space="preserve"> and </w:t>
            </w:r>
            <w:proofErr w:type="spellStart"/>
            <w:r w:rsidR="0088283E" w:rsidRPr="00547D0F">
              <w:rPr>
                <w:rFonts w:ascii="Arial" w:hAnsi="Arial" w:cs="Arial"/>
              </w:rPr>
              <w:t>Mrs</w:t>
            </w:r>
            <w:proofErr w:type="spellEnd"/>
            <w:r w:rsidR="0088283E" w:rsidRPr="00547D0F">
              <w:rPr>
                <w:rFonts w:ascii="Arial" w:hAnsi="Arial" w:cs="Arial"/>
              </w:rPr>
              <w:t xml:space="preserve"> Banner were concerned for the wellbeing of S</w:t>
            </w:r>
            <w:r w:rsidR="00547D0F">
              <w:rPr>
                <w:rFonts w:ascii="Arial" w:hAnsi="Arial" w:cs="Arial"/>
              </w:rPr>
              <w:t>am</w:t>
            </w:r>
            <w:r w:rsidR="0088283E" w:rsidRPr="00547D0F">
              <w:rPr>
                <w:rFonts w:ascii="Arial" w:hAnsi="Arial" w:cs="Arial"/>
              </w:rPr>
              <w:t xml:space="preserve"> and asked if CCLSWA could assist S</w:t>
            </w:r>
            <w:r w:rsidR="00547D0F">
              <w:rPr>
                <w:rFonts w:ascii="Arial" w:hAnsi="Arial" w:cs="Arial"/>
              </w:rPr>
              <w:t xml:space="preserve">am </w:t>
            </w:r>
            <w:proofErr w:type="spellStart"/>
            <w:r w:rsidR="00547D0F">
              <w:rPr>
                <w:rFonts w:ascii="Arial" w:hAnsi="Arial" w:cs="Arial"/>
              </w:rPr>
              <w:lastRenderedPageBreak/>
              <w:t>aswell</w:t>
            </w:r>
            <w:proofErr w:type="spellEnd"/>
            <w:r w:rsidR="0088283E" w:rsidRPr="00547D0F">
              <w:rPr>
                <w:rFonts w:ascii="Arial" w:hAnsi="Arial" w:cs="Arial"/>
              </w:rPr>
              <w:t xml:space="preserve">. As </w:t>
            </w:r>
            <w:proofErr w:type="spellStart"/>
            <w:r w:rsidR="0088283E" w:rsidRPr="00547D0F">
              <w:rPr>
                <w:rFonts w:ascii="Arial" w:hAnsi="Arial" w:cs="Arial"/>
              </w:rPr>
              <w:t>Mr</w:t>
            </w:r>
            <w:proofErr w:type="spellEnd"/>
            <w:r w:rsidR="0088283E" w:rsidRPr="00547D0F">
              <w:rPr>
                <w:rFonts w:ascii="Arial" w:hAnsi="Arial" w:cs="Arial"/>
              </w:rPr>
              <w:t xml:space="preserve"> and </w:t>
            </w:r>
            <w:proofErr w:type="spellStart"/>
            <w:r w:rsidR="0088283E" w:rsidRPr="00547D0F">
              <w:rPr>
                <w:rFonts w:ascii="Arial" w:hAnsi="Arial" w:cs="Arial"/>
              </w:rPr>
              <w:t>Mrs</w:t>
            </w:r>
            <w:proofErr w:type="spellEnd"/>
            <w:r w:rsidR="0088283E" w:rsidRPr="00547D0F">
              <w:rPr>
                <w:rFonts w:ascii="Arial" w:hAnsi="Arial" w:cs="Arial"/>
              </w:rPr>
              <w:t xml:space="preserve"> Banner’s legal representative, CCL</w:t>
            </w:r>
            <w:r w:rsidR="00547D0F">
              <w:rPr>
                <w:rFonts w:ascii="Arial" w:hAnsi="Arial" w:cs="Arial"/>
              </w:rPr>
              <w:t>SWA was not able to assist Sam</w:t>
            </w:r>
            <w:r w:rsidR="0088283E" w:rsidRPr="00547D0F">
              <w:rPr>
                <w:rFonts w:ascii="Arial" w:hAnsi="Arial" w:cs="Arial"/>
              </w:rPr>
              <w:t xml:space="preserve">. </w:t>
            </w:r>
          </w:p>
          <w:p w:rsidR="0088283E" w:rsidRPr="00547D0F" w:rsidRDefault="0088283E" w:rsidP="001B35BF">
            <w:pPr>
              <w:spacing w:after="200" w:line="276" w:lineRule="auto"/>
              <w:jc w:val="both"/>
              <w:rPr>
                <w:rFonts w:ascii="Arial" w:hAnsi="Arial" w:cs="Arial"/>
              </w:rPr>
            </w:pPr>
            <w:proofErr w:type="spellStart"/>
            <w:r w:rsidRPr="00547D0F">
              <w:rPr>
                <w:rFonts w:ascii="Arial" w:hAnsi="Arial" w:cs="Arial"/>
              </w:rPr>
              <w:t>Mr</w:t>
            </w:r>
            <w:proofErr w:type="spellEnd"/>
            <w:r w:rsidRPr="00547D0F">
              <w:rPr>
                <w:rFonts w:ascii="Arial" w:hAnsi="Arial" w:cs="Arial"/>
              </w:rPr>
              <w:t xml:space="preserve"> and </w:t>
            </w:r>
            <w:proofErr w:type="spellStart"/>
            <w:r w:rsidRPr="00547D0F">
              <w:rPr>
                <w:rFonts w:ascii="Arial" w:hAnsi="Arial" w:cs="Arial"/>
              </w:rPr>
              <w:t>Mrs</w:t>
            </w:r>
            <w:proofErr w:type="spellEnd"/>
            <w:r w:rsidRPr="00547D0F">
              <w:rPr>
                <w:rFonts w:ascii="Arial" w:hAnsi="Arial" w:cs="Arial"/>
              </w:rPr>
              <w:t xml:space="preserve"> Banner’s willingness to waive legal privilege and to have their legal representative possibly act against their interest demonstrates the de</w:t>
            </w:r>
            <w:r w:rsidR="001B35BF" w:rsidRPr="00547D0F">
              <w:rPr>
                <w:rFonts w:ascii="Arial" w:hAnsi="Arial" w:cs="Arial"/>
              </w:rPr>
              <w:t>sire of elders to protect the perpetrators.</w:t>
            </w:r>
          </w:p>
        </w:tc>
      </w:tr>
    </w:tbl>
    <w:p w:rsidR="00547D0F" w:rsidRDefault="00547D0F" w:rsidP="007C377F">
      <w:pPr>
        <w:jc w:val="both"/>
        <w:rPr>
          <w:rFonts w:ascii="Arial" w:hAnsi="Arial" w:cs="Arial"/>
        </w:rPr>
      </w:pPr>
    </w:p>
    <w:p w:rsidR="0088283E" w:rsidRPr="00547D0F" w:rsidRDefault="0088283E" w:rsidP="007C377F">
      <w:pPr>
        <w:jc w:val="both"/>
        <w:rPr>
          <w:rFonts w:ascii="Arial" w:hAnsi="Arial" w:cs="Arial"/>
        </w:rPr>
      </w:pPr>
      <w:r w:rsidRPr="00547D0F">
        <w:rPr>
          <w:rFonts w:ascii="Arial" w:hAnsi="Arial" w:cs="Arial"/>
        </w:rPr>
        <w:t xml:space="preserve">The likely consequence of this desire to protect </w:t>
      </w:r>
      <w:r w:rsidR="001B35BF" w:rsidRPr="00547D0F">
        <w:rPr>
          <w:rFonts w:ascii="Arial" w:hAnsi="Arial" w:cs="Arial"/>
        </w:rPr>
        <w:t>the perpetrator’s</w:t>
      </w:r>
      <w:r w:rsidRPr="00547D0F">
        <w:rPr>
          <w:rFonts w:ascii="Arial" w:hAnsi="Arial" w:cs="Arial"/>
        </w:rPr>
        <w:t xml:space="preserve"> interest is the reduced likelihood of seeking assistance until their interests are too heavily impaired.</w:t>
      </w:r>
    </w:p>
    <w:p w:rsidR="000809EF" w:rsidRPr="00547D0F" w:rsidRDefault="000809EF" w:rsidP="007C377F">
      <w:pPr>
        <w:jc w:val="both"/>
        <w:rPr>
          <w:rFonts w:ascii="Arial" w:hAnsi="Arial" w:cs="Arial"/>
        </w:rPr>
      </w:pPr>
      <w:r w:rsidRPr="00547D0F">
        <w:rPr>
          <w:rFonts w:ascii="Arial" w:hAnsi="Arial" w:cs="Arial"/>
        </w:rPr>
        <w:t xml:space="preserve">Further, where there is a high degree of dependence on the perpetrator, the </w:t>
      </w:r>
      <w:r w:rsidR="009A64E0" w:rsidRPr="00E2188C">
        <w:rPr>
          <w:rFonts w:ascii="Arial" w:hAnsi="Arial" w:cs="Arial"/>
        </w:rPr>
        <w:t>elder</w:t>
      </w:r>
      <w:r w:rsidR="009A64E0">
        <w:rPr>
          <w:rFonts w:ascii="Arial" w:hAnsi="Arial" w:cs="Arial"/>
        </w:rPr>
        <w:t>ly person</w:t>
      </w:r>
      <w:r w:rsidRPr="00547D0F">
        <w:rPr>
          <w:rFonts w:ascii="Arial" w:hAnsi="Arial" w:cs="Arial"/>
        </w:rPr>
        <w:t xml:space="preserve"> may have little to no ability to raise cases of elder abuse. In the case of Georgina (see </w:t>
      </w:r>
      <w:r w:rsidR="00E33D2E">
        <w:rPr>
          <w:rFonts w:ascii="Arial" w:hAnsi="Arial" w:cs="Arial"/>
        </w:rPr>
        <w:t>case study</w:t>
      </w:r>
      <w:r w:rsidR="00E33D2E" w:rsidRPr="00547D0F">
        <w:rPr>
          <w:rFonts w:ascii="Arial" w:hAnsi="Arial" w:cs="Arial"/>
        </w:rPr>
        <w:t xml:space="preserve"> </w:t>
      </w:r>
      <w:r w:rsidRPr="00547D0F">
        <w:rPr>
          <w:rFonts w:ascii="Arial" w:hAnsi="Arial" w:cs="Arial"/>
        </w:rPr>
        <w:t>3), it was only the vigilance of her children other than the perpetrator which allowed the abuse to surface.</w:t>
      </w:r>
    </w:p>
    <w:p w:rsidR="000E240C" w:rsidRPr="00547D0F" w:rsidRDefault="000E240C" w:rsidP="007C377F">
      <w:pPr>
        <w:jc w:val="both"/>
        <w:rPr>
          <w:rFonts w:ascii="Arial" w:hAnsi="Arial" w:cs="Arial"/>
        </w:rPr>
      </w:pPr>
      <w:r w:rsidRPr="00547D0F">
        <w:rPr>
          <w:rFonts w:ascii="Arial" w:hAnsi="Arial" w:cs="Arial"/>
        </w:rPr>
        <w:t xml:space="preserve">In addition, even where the </w:t>
      </w:r>
      <w:r w:rsidR="009A64E0" w:rsidRPr="00E2188C">
        <w:rPr>
          <w:rFonts w:ascii="Arial" w:hAnsi="Arial" w:cs="Arial"/>
        </w:rPr>
        <w:t>elder</w:t>
      </w:r>
      <w:r w:rsidR="009A64E0">
        <w:rPr>
          <w:rFonts w:ascii="Arial" w:hAnsi="Arial" w:cs="Arial"/>
        </w:rPr>
        <w:t>ly person</w:t>
      </w:r>
      <w:r w:rsidRPr="00547D0F">
        <w:rPr>
          <w:rFonts w:ascii="Arial" w:hAnsi="Arial" w:cs="Arial"/>
        </w:rPr>
        <w:t xml:space="preserve"> </w:t>
      </w:r>
      <w:proofErr w:type="spellStart"/>
      <w:r w:rsidRPr="00547D0F">
        <w:rPr>
          <w:rFonts w:ascii="Arial" w:hAnsi="Arial" w:cs="Arial"/>
        </w:rPr>
        <w:t>recogni</w:t>
      </w:r>
      <w:r w:rsidR="009A64E0">
        <w:rPr>
          <w:rFonts w:ascii="Arial" w:hAnsi="Arial" w:cs="Arial"/>
        </w:rPr>
        <w:t>s</w:t>
      </w:r>
      <w:r w:rsidRPr="00547D0F">
        <w:rPr>
          <w:rFonts w:ascii="Arial" w:hAnsi="Arial" w:cs="Arial"/>
        </w:rPr>
        <w:t>es</w:t>
      </w:r>
      <w:proofErr w:type="spellEnd"/>
      <w:r w:rsidRPr="00547D0F">
        <w:rPr>
          <w:rFonts w:ascii="Arial" w:hAnsi="Arial" w:cs="Arial"/>
        </w:rPr>
        <w:t xml:space="preserve"> that they have been abused, they may be ashamed of their inability to prevent that abuse</w:t>
      </w:r>
      <w:r w:rsidR="00FB2C64" w:rsidRPr="00547D0F">
        <w:rPr>
          <w:rFonts w:ascii="Arial" w:hAnsi="Arial" w:cs="Arial"/>
        </w:rPr>
        <w:t xml:space="preserve"> and their perceived inadequacies.</w:t>
      </w:r>
    </w:p>
    <w:p w:rsidR="00C4294F" w:rsidRPr="00547D0F" w:rsidRDefault="00C4294F" w:rsidP="007C377F">
      <w:pPr>
        <w:jc w:val="both"/>
        <w:rPr>
          <w:rFonts w:ascii="Arial" w:hAnsi="Arial" w:cs="Arial"/>
        </w:rPr>
      </w:pPr>
      <w:r w:rsidRPr="00547D0F">
        <w:rPr>
          <w:rFonts w:ascii="Arial" w:hAnsi="Arial" w:cs="Arial"/>
        </w:rPr>
        <w:t>It is likely that the cases that CCLSWA have encountered are far less than the actual figure given these reasons.</w:t>
      </w:r>
      <w:r w:rsidR="006404F8" w:rsidRPr="00547D0F">
        <w:rPr>
          <w:rFonts w:ascii="Arial" w:hAnsi="Arial" w:cs="Arial"/>
        </w:rPr>
        <w:t xml:space="preserve"> Similar sentiments have </w:t>
      </w:r>
      <w:r w:rsidR="00E33D2E">
        <w:rPr>
          <w:rFonts w:ascii="Arial" w:hAnsi="Arial" w:cs="Arial"/>
        </w:rPr>
        <w:t xml:space="preserve">been </w:t>
      </w:r>
      <w:r w:rsidR="006404F8" w:rsidRPr="00547D0F">
        <w:rPr>
          <w:rFonts w:ascii="Arial" w:hAnsi="Arial" w:cs="Arial"/>
        </w:rPr>
        <w:t>expressed in other countries and jurisdictions.</w:t>
      </w:r>
      <w:r w:rsidR="006404F8" w:rsidRPr="00547D0F">
        <w:rPr>
          <w:rStyle w:val="FootnoteReference"/>
          <w:rFonts w:ascii="Arial" w:hAnsi="Arial" w:cs="Arial"/>
        </w:rPr>
        <w:footnoteReference w:id="6"/>
      </w:r>
    </w:p>
    <w:p w:rsidR="007338D7" w:rsidRPr="00547D0F" w:rsidRDefault="0088283E" w:rsidP="007C377F">
      <w:pPr>
        <w:jc w:val="both"/>
        <w:rPr>
          <w:rFonts w:ascii="Arial" w:hAnsi="Arial" w:cs="Arial"/>
          <w:b/>
        </w:rPr>
      </w:pPr>
      <w:r w:rsidRPr="00547D0F">
        <w:rPr>
          <w:rFonts w:ascii="Arial" w:hAnsi="Arial" w:cs="Arial"/>
        </w:rPr>
        <w:t>A second</w:t>
      </w:r>
      <w:r w:rsidR="00D20761" w:rsidRPr="00547D0F">
        <w:rPr>
          <w:rFonts w:ascii="Arial" w:hAnsi="Arial" w:cs="Arial"/>
        </w:rPr>
        <w:t xml:space="preserve"> aspect of underreporting is the </w:t>
      </w:r>
      <w:r w:rsidR="008517E4" w:rsidRPr="00547D0F">
        <w:rPr>
          <w:rFonts w:ascii="Arial" w:hAnsi="Arial" w:cs="Arial"/>
        </w:rPr>
        <w:t xml:space="preserve">relatively </w:t>
      </w:r>
      <w:r w:rsidR="00547D0F">
        <w:rPr>
          <w:rFonts w:ascii="Arial" w:hAnsi="Arial" w:cs="Arial"/>
        </w:rPr>
        <w:t>low</w:t>
      </w:r>
      <w:r w:rsidR="00D20761" w:rsidRPr="00547D0F">
        <w:rPr>
          <w:rFonts w:ascii="Arial" w:hAnsi="Arial" w:cs="Arial"/>
        </w:rPr>
        <w:t xml:space="preserve"> eff</w:t>
      </w:r>
      <w:r w:rsidR="008517E4" w:rsidRPr="00547D0F">
        <w:rPr>
          <w:rFonts w:ascii="Arial" w:hAnsi="Arial" w:cs="Arial"/>
        </w:rPr>
        <w:t>orts by lenders</w:t>
      </w:r>
      <w:r w:rsidR="00547D0F">
        <w:rPr>
          <w:rFonts w:ascii="Arial" w:hAnsi="Arial" w:cs="Arial"/>
        </w:rPr>
        <w:t xml:space="preserve"> to identify instances of elder abuse</w:t>
      </w:r>
      <w:r w:rsidR="00D20761" w:rsidRPr="00547D0F">
        <w:rPr>
          <w:rFonts w:ascii="Arial" w:hAnsi="Arial" w:cs="Arial"/>
        </w:rPr>
        <w:t>. A</w:t>
      </w:r>
      <w:r w:rsidR="0015449A" w:rsidRPr="00547D0F">
        <w:rPr>
          <w:rFonts w:ascii="Arial" w:hAnsi="Arial" w:cs="Arial"/>
        </w:rPr>
        <w:t>mong the previous case studies, lenders have often relied on the customer affirming that they have recei</w:t>
      </w:r>
      <w:r w:rsidR="00A60517" w:rsidRPr="00547D0F">
        <w:rPr>
          <w:rFonts w:ascii="Arial" w:hAnsi="Arial" w:cs="Arial"/>
        </w:rPr>
        <w:t xml:space="preserve">ved independent legal advice before approving the loans. There was no indication that there was an inquiry by the bank into whether the </w:t>
      </w:r>
      <w:r w:rsidR="009A64E0" w:rsidRPr="00E2188C">
        <w:rPr>
          <w:rFonts w:ascii="Arial" w:hAnsi="Arial" w:cs="Arial"/>
        </w:rPr>
        <w:t>elder</w:t>
      </w:r>
      <w:r w:rsidR="009A64E0">
        <w:rPr>
          <w:rFonts w:ascii="Arial" w:hAnsi="Arial" w:cs="Arial"/>
        </w:rPr>
        <w:t>ly person</w:t>
      </w:r>
      <w:r w:rsidR="00A60517" w:rsidRPr="00547D0F">
        <w:rPr>
          <w:rFonts w:ascii="Arial" w:hAnsi="Arial" w:cs="Arial"/>
        </w:rPr>
        <w:t xml:space="preserve"> had sufficient capacity, understanding and free will to enter into the loan or guarantee.</w:t>
      </w:r>
      <w:r w:rsidR="008517E4" w:rsidRPr="00547D0F">
        <w:rPr>
          <w:rFonts w:ascii="Arial" w:hAnsi="Arial" w:cs="Arial"/>
        </w:rPr>
        <w:t xml:space="preserve"> </w:t>
      </w:r>
    </w:p>
    <w:p w:rsidR="005B34B3" w:rsidRPr="00547D0F" w:rsidRDefault="005B34B3" w:rsidP="00D73097">
      <w:pPr>
        <w:pStyle w:val="ListParagraph"/>
        <w:numPr>
          <w:ilvl w:val="0"/>
          <w:numId w:val="4"/>
        </w:numPr>
        <w:jc w:val="both"/>
        <w:rPr>
          <w:rFonts w:ascii="Arial" w:hAnsi="Arial" w:cs="Arial"/>
          <w:b/>
        </w:rPr>
      </w:pPr>
      <w:r w:rsidRPr="00547D0F">
        <w:rPr>
          <w:rFonts w:ascii="Arial" w:hAnsi="Arial" w:cs="Arial"/>
          <w:b/>
        </w:rPr>
        <w:t>Question 26 What changes should be made to the laws and legal frameworks relating to financial institutions to identify, improve safeguards against and respond to elder abuse? For example, should reporting requirements be imposed?</w:t>
      </w:r>
    </w:p>
    <w:p w:rsidR="000809EF" w:rsidRPr="00547D0F" w:rsidRDefault="0085109B" w:rsidP="007C377F">
      <w:pPr>
        <w:jc w:val="both"/>
        <w:rPr>
          <w:rFonts w:ascii="Arial" w:hAnsi="Arial" w:cs="Arial"/>
        </w:rPr>
      </w:pPr>
      <w:r w:rsidRPr="00547D0F">
        <w:rPr>
          <w:rFonts w:ascii="Arial" w:hAnsi="Arial" w:cs="Arial"/>
        </w:rPr>
        <w:t xml:space="preserve">The current recourse to the doctrine of undue influence may need to be examined. We would recommend that the elderly parent-adult child relationship be a relationship that attracts the presumption of influence. This would reduce the difficulty in demonstrating that the lender had actual or constructive notice and would provide an incentive for lenders to </w:t>
      </w:r>
      <w:proofErr w:type="spellStart"/>
      <w:r w:rsidRPr="00547D0F">
        <w:rPr>
          <w:rFonts w:ascii="Arial" w:hAnsi="Arial" w:cs="Arial"/>
        </w:rPr>
        <w:t>scrutini</w:t>
      </w:r>
      <w:r w:rsidR="009A64E0">
        <w:rPr>
          <w:rFonts w:ascii="Arial" w:hAnsi="Arial" w:cs="Arial"/>
        </w:rPr>
        <w:t>s</w:t>
      </w:r>
      <w:r w:rsidRPr="00547D0F">
        <w:rPr>
          <w:rFonts w:ascii="Arial" w:hAnsi="Arial" w:cs="Arial"/>
        </w:rPr>
        <w:t>e</w:t>
      </w:r>
      <w:proofErr w:type="spellEnd"/>
      <w:r w:rsidRPr="00547D0F">
        <w:rPr>
          <w:rFonts w:ascii="Arial" w:hAnsi="Arial" w:cs="Arial"/>
        </w:rPr>
        <w:t xml:space="preserve"> such relationships particularly where the adult child obtains the</w:t>
      </w:r>
      <w:r w:rsidR="00547D0F">
        <w:rPr>
          <w:rFonts w:ascii="Arial" w:hAnsi="Arial" w:cs="Arial"/>
        </w:rPr>
        <w:t xml:space="preserve"> sole</w:t>
      </w:r>
      <w:r w:rsidRPr="00547D0F">
        <w:rPr>
          <w:rFonts w:ascii="Arial" w:hAnsi="Arial" w:cs="Arial"/>
        </w:rPr>
        <w:t xml:space="preserve"> benefit </w:t>
      </w:r>
      <w:r w:rsidR="00547D0F">
        <w:rPr>
          <w:rFonts w:ascii="Arial" w:hAnsi="Arial" w:cs="Arial"/>
        </w:rPr>
        <w:t>of the loan</w:t>
      </w:r>
      <w:r w:rsidRPr="00547D0F">
        <w:rPr>
          <w:rFonts w:ascii="Arial" w:hAnsi="Arial" w:cs="Arial"/>
        </w:rPr>
        <w:t>.</w:t>
      </w:r>
    </w:p>
    <w:p w:rsidR="00041C65" w:rsidRPr="00547D0F" w:rsidRDefault="0085109B" w:rsidP="007C377F">
      <w:pPr>
        <w:jc w:val="both"/>
        <w:rPr>
          <w:rFonts w:ascii="Arial" w:hAnsi="Arial" w:cs="Arial"/>
        </w:rPr>
      </w:pPr>
      <w:r w:rsidRPr="00547D0F">
        <w:rPr>
          <w:rFonts w:ascii="Arial" w:hAnsi="Arial" w:cs="Arial"/>
        </w:rPr>
        <w:t xml:space="preserve">However, altering the doctrine of undue influence should only be a part of the solution and should only be used as a last resort. A doctrine of undue influence that is too strong and in </w:t>
      </w:r>
      <w:proofErr w:type="spellStart"/>
      <w:r w:rsidRPr="00547D0F">
        <w:rPr>
          <w:rFonts w:ascii="Arial" w:hAnsi="Arial" w:cs="Arial"/>
        </w:rPr>
        <w:t>favour</w:t>
      </w:r>
      <w:proofErr w:type="spellEnd"/>
      <w:r w:rsidRPr="00547D0F">
        <w:rPr>
          <w:rFonts w:ascii="Arial" w:hAnsi="Arial" w:cs="Arial"/>
        </w:rPr>
        <w:t xml:space="preserve"> of elderly persons would reduce autonomy and may indirectly create barr</w:t>
      </w:r>
      <w:r w:rsidR="006E4763" w:rsidRPr="00547D0F">
        <w:rPr>
          <w:rFonts w:ascii="Arial" w:hAnsi="Arial" w:cs="Arial"/>
        </w:rPr>
        <w:t xml:space="preserve">iers to elders </w:t>
      </w:r>
      <w:r w:rsidR="006E4763" w:rsidRPr="00547D0F">
        <w:rPr>
          <w:rFonts w:ascii="Arial" w:hAnsi="Arial" w:cs="Arial"/>
        </w:rPr>
        <w:lastRenderedPageBreak/>
        <w:t>accessing credit in addition to creating further onerous requirements on lenders. It would also not assist in preventing the problems in the first instance.</w:t>
      </w:r>
    </w:p>
    <w:p w:rsidR="0085109B" w:rsidRPr="00547D0F" w:rsidRDefault="0085109B" w:rsidP="007C377F">
      <w:pPr>
        <w:jc w:val="both"/>
        <w:rPr>
          <w:rFonts w:ascii="Arial" w:hAnsi="Arial" w:cs="Arial"/>
        </w:rPr>
      </w:pPr>
      <w:r w:rsidRPr="00547D0F">
        <w:rPr>
          <w:rFonts w:ascii="Arial" w:hAnsi="Arial" w:cs="Arial"/>
        </w:rPr>
        <w:t xml:space="preserve">Instead, we would recommend </w:t>
      </w:r>
      <w:r w:rsidR="00547D0F">
        <w:rPr>
          <w:rFonts w:ascii="Arial" w:hAnsi="Arial" w:cs="Arial"/>
        </w:rPr>
        <w:t>introduc</w:t>
      </w:r>
      <w:r w:rsidR="00E33D2E">
        <w:rPr>
          <w:rFonts w:ascii="Arial" w:hAnsi="Arial" w:cs="Arial"/>
        </w:rPr>
        <w:t>ing</w:t>
      </w:r>
      <w:r w:rsidR="00547D0F">
        <w:rPr>
          <w:rFonts w:ascii="Arial" w:hAnsi="Arial" w:cs="Arial"/>
        </w:rPr>
        <w:t xml:space="preserve"> a larger number of</w:t>
      </w:r>
      <w:r w:rsidRPr="00547D0F">
        <w:rPr>
          <w:rFonts w:ascii="Arial" w:hAnsi="Arial" w:cs="Arial"/>
        </w:rPr>
        <w:t xml:space="preserve"> preventative measures to overcome the issues raised above.</w:t>
      </w:r>
    </w:p>
    <w:p w:rsidR="006E4763" w:rsidRPr="00547D0F" w:rsidRDefault="006E4763" w:rsidP="001B35BF">
      <w:pPr>
        <w:pStyle w:val="ListParagraph"/>
        <w:numPr>
          <w:ilvl w:val="0"/>
          <w:numId w:val="8"/>
        </w:numPr>
        <w:jc w:val="both"/>
        <w:rPr>
          <w:rFonts w:ascii="Arial" w:hAnsi="Arial" w:cs="Arial"/>
          <w:b/>
        </w:rPr>
      </w:pPr>
      <w:r w:rsidRPr="00547D0F">
        <w:rPr>
          <w:rFonts w:ascii="Arial" w:hAnsi="Arial" w:cs="Arial"/>
          <w:b/>
        </w:rPr>
        <w:t>Training of stakeholders in spotting elder financial abuse</w:t>
      </w:r>
    </w:p>
    <w:p w:rsidR="0085109B" w:rsidRPr="00547D0F" w:rsidRDefault="00A65ECB" w:rsidP="007C377F">
      <w:pPr>
        <w:jc w:val="both"/>
        <w:rPr>
          <w:rFonts w:ascii="Arial" w:hAnsi="Arial" w:cs="Arial"/>
        </w:rPr>
      </w:pPr>
      <w:r w:rsidRPr="00547D0F">
        <w:rPr>
          <w:rFonts w:ascii="Arial" w:hAnsi="Arial" w:cs="Arial"/>
        </w:rPr>
        <w:t>We recommend that greater training be dispensed to employees of lenders in order to increase the likelihood of elder financial abuse being identified. Studies done in the United Kingdom in the field of health sciences have demonstrated that this is effective in increasing awareness and identification of instances of elder financial abuse.</w:t>
      </w:r>
      <w:r w:rsidRPr="00547D0F">
        <w:rPr>
          <w:rStyle w:val="FootnoteReference"/>
          <w:rFonts w:ascii="Arial" w:hAnsi="Arial" w:cs="Arial"/>
        </w:rPr>
        <w:footnoteReference w:id="7"/>
      </w:r>
    </w:p>
    <w:p w:rsidR="00A65ECB" w:rsidRPr="00547D0F" w:rsidRDefault="00A65ECB" w:rsidP="007C377F">
      <w:pPr>
        <w:jc w:val="both"/>
        <w:rPr>
          <w:rFonts w:ascii="Arial" w:hAnsi="Arial" w:cs="Arial"/>
        </w:rPr>
      </w:pPr>
      <w:r w:rsidRPr="00547D0F">
        <w:rPr>
          <w:rFonts w:ascii="Arial" w:hAnsi="Arial" w:cs="Arial"/>
        </w:rPr>
        <w:t xml:space="preserve">Such training may also include </w:t>
      </w:r>
      <w:r w:rsidR="0053161C" w:rsidRPr="00547D0F">
        <w:rPr>
          <w:rFonts w:ascii="Arial" w:hAnsi="Arial" w:cs="Arial"/>
        </w:rPr>
        <w:t xml:space="preserve">enhanced record keeping of exchanges between the </w:t>
      </w:r>
      <w:r w:rsidR="009A64E0" w:rsidRPr="00E2188C">
        <w:rPr>
          <w:rFonts w:ascii="Arial" w:hAnsi="Arial" w:cs="Arial"/>
        </w:rPr>
        <w:t>elder</w:t>
      </w:r>
      <w:r w:rsidR="009A64E0">
        <w:rPr>
          <w:rFonts w:ascii="Arial" w:hAnsi="Arial" w:cs="Arial"/>
        </w:rPr>
        <w:t>ly person</w:t>
      </w:r>
      <w:r w:rsidR="0053161C" w:rsidRPr="00547D0F">
        <w:rPr>
          <w:rFonts w:ascii="Arial" w:hAnsi="Arial" w:cs="Arial"/>
        </w:rPr>
        <w:t xml:space="preserve"> and the perpetrator and a proactive role by the lender to confirm that the </w:t>
      </w:r>
      <w:r w:rsidR="009A64E0" w:rsidRPr="00E2188C">
        <w:rPr>
          <w:rFonts w:ascii="Arial" w:hAnsi="Arial" w:cs="Arial"/>
        </w:rPr>
        <w:t>elder</w:t>
      </w:r>
      <w:r w:rsidR="009A64E0">
        <w:rPr>
          <w:rFonts w:ascii="Arial" w:hAnsi="Arial" w:cs="Arial"/>
        </w:rPr>
        <w:t>ly person</w:t>
      </w:r>
      <w:r w:rsidR="009A64E0" w:rsidRPr="009A64E0" w:rsidDel="009A64E0">
        <w:rPr>
          <w:rFonts w:ascii="Arial" w:hAnsi="Arial" w:cs="Arial"/>
        </w:rPr>
        <w:t xml:space="preserve"> </w:t>
      </w:r>
      <w:r w:rsidR="0053161C" w:rsidRPr="00547D0F">
        <w:rPr>
          <w:rFonts w:ascii="Arial" w:hAnsi="Arial" w:cs="Arial"/>
        </w:rPr>
        <w:t>understands the worse possible outcome. This would assist any future inquiry into undue influence and increase the elder’s awareness of the possibility of detriment.</w:t>
      </w:r>
    </w:p>
    <w:p w:rsidR="00B033CE" w:rsidRPr="00547D0F" w:rsidRDefault="00127711" w:rsidP="007C377F">
      <w:pPr>
        <w:jc w:val="both"/>
        <w:rPr>
          <w:rFonts w:ascii="Arial" w:hAnsi="Arial" w:cs="Arial"/>
        </w:rPr>
      </w:pPr>
      <w:r w:rsidRPr="00547D0F">
        <w:rPr>
          <w:rFonts w:ascii="Arial" w:hAnsi="Arial" w:cs="Arial"/>
        </w:rPr>
        <w:t>Such requirements should also be extended to lawyers who periodically provide advice to elders. Given that lawyers are currently the bulwark against undue influence, the failure to keep adequate records and overcome the undue influence in the cases mentioned above is unsatisfactory. These requirements may be enshrined in a code of conduct so as to ensure high standards of legal advice in such difficult circumstances.</w:t>
      </w:r>
      <w:r w:rsidR="00B033CE" w:rsidRPr="00547D0F">
        <w:rPr>
          <w:rFonts w:ascii="Arial" w:hAnsi="Arial" w:cs="Arial"/>
        </w:rPr>
        <w:t xml:space="preserve"> </w:t>
      </w:r>
    </w:p>
    <w:p w:rsidR="00127711" w:rsidRPr="00547D0F" w:rsidRDefault="00B033CE" w:rsidP="007C377F">
      <w:pPr>
        <w:jc w:val="both"/>
        <w:rPr>
          <w:rFonts w:ascii="Arial" w:hAnsi="Arial" w:cs="Arial"/>
        </w:rPr>
      </w:pPr>
      <w:r w:rsidRPr="00547D0F">
        <w:rPr>
          <w:rFonts w:ascii="Arial" w:hAnsi="Arial" w:cs="Arial"/>
        </w:rPr>
        <w:t xml:space="preserve">We </w:t>
      </w:r>
      <w:r w:rsidR="0030477F" w:rsidRPr="00547D0F">
        <w:rPr>
          <w:rFonts w:ascii="Arial" w:hAnsi="Arial" w:cs="Arial"/>
        </w:rPr>
        <w:t>note that the Australian Bankers’</w:t>
      </w:r>
      <w:r w:rsidRPr="00547D0F">
        <w:rPr>
          <w:rFonts w:ascii="Arial" w:hAnsi="Arial" w:cs="Arial"/>
        </w:rPr>
        <w:t xml:space="preserve"> Association</w:t>
      </w:r>
      <w:r w:rsidR="00547D0F">
        <w:rPr>
          <w:rFonts w:ascii="Arial" w:hAnsi="Arial" w:cs="Arial"/>
        </w:rPr>
        <w:t xml:space="preserve"> (</w:t>
      </w:r>
      <w:r w:rsidR="00547D0F">
        <w:rPr>
          <w:rFonts w:ascii="Arial" w:hAnsi="Arial" w:cs="Arial"/>
          <w:b/>
        </w:rPr>
        <w:t>ABA</w:t>
      </w:r>
      <w:r w:rsidR="00547D0F">
        <w:rPr>
          <w:rFonts w:ascii="Arial" w:hAnsi="Arial" w:cs="Arial"/>
        </w:rPr>
        <w:t>)</w:t>
      </w:r>
      <w:r w:rsidRPr="00547D0F">
        <w:rPr>
          <w:rFonts w:ascii="Arial" w:hAnsi="Arial" w:cs="Arial"/>
        </w:rPr>
        <w:t xml:space="preserve"> has provided industry guidance on protecting vulnerable customers from potential financial abuse.</w:t>
      </w:r>
      <w:r w:rsidR="00E94EDE" w:rsidRPr="00547D0F">
        <w:rPr>
          <w:rStyle w:val="FootnoteReference"/>
          <w:rFonts w:ascii="Arial" w:hAnsi="Arial" w:cs="Arial"/>
        </w:rPr>
        <w:footnoteReference w:id="8"/>
      </w:r>
      <w:r w:rsidR="00E94EDE" w:rsidRPr="00547D0F">
        <w:rPr>
          <w:rFonts w:ascii="Arial" w:hAnsi="Arial" w:cs="Arial"/>
        </w:rPr>
        <w:t xml:space="preserve"> However, the guidance is limited to providing information to the elder and attempting to speak to the</w:t>
      </w:r>
      <w:r w:rsidR="0068565F">
        <w:rPr>
          <w:rFonts w:ascii="Arial" w:hAnsi="Arial" w:cs="Arial"/>
        </w:rPr>
        <w:t xml:space="preserve"> elder without the perpetrator.</w:t>
      </w:r>
      <w:r w:rsidR="00E94EDE" w:rsidRPr="00547D0F">
        <w:rPr>
          <w:rStyle w:val="FootnoteReference"/>
          <w:rFonts w:ascii="Arial" w:hAnsi="Arial" w:cs="Arial"/>
        </w:rPr>
        <w:footnoteReference w:id="9"/>
      </w:r>
    </w:p>
    <w:p w:rsidR="00AB3AE3" w:rsidRDefault="00E94EDE" w:rsidP="007C377F">
      <w:pPr>
        <w:jc w:val="both"/>
        <w:rPr>
          <w:rFonts w:ascii="Arial" w:hAnsi="Arial" w:cs="Arial"/>
        </w:rPr>
      </w:pPr>
      <w:r w:rsidRPr="00547D0F">
        <w:rPr>
          <w:rFonts w:ascii="Arial" w:hAnsi="Arial" w:cs="Arial"/>
        </w:rPr>
        <w:t>However, while the ABA’s approach is useful in identifying potential cases of financial abuse, the remedies proposed do not go far enough to prevent the abuse and address the issues. It also creates a piecemeal approach to addressing elder financial abuse. For example, the ABA’s approach would not be effective where the elder may not have thought the transaction through and was eager to assist the perpetrator in obtaining the loan in the first instance.</w:t>
      </w:r>
      <w:r w:rsidRPr="00547D0F">
        <w:rPr>
          <w:rStyle w:val="FootnoteReference"/>
          <w:rFonts w:ascii="Arial" w:hAnsi="Arial" w:cs="Arial"/>
        </w:rPr>
        <w:footnoteReference w:id="10"/>
      </w:r>
      <w:r w:rsidRPr="00547D0F">
        <w:rPr>
          <w:rFonts w:ascii="Arial" w:hAnsi="Arial" w:cs="Arial"/>
        </w:rPr>
        <w:t xml:space="preserve"> The failure to share this information with other stakeholders also reduces the probability of financial abuse being detected.</w:t>
      </w:r>
    </w:p>
    <w:p w:rsidR="00AB3AE3" w:rsidRDefault="00AB3AE3">
      <w:pPr>
        <w:rPr>
          <w:rFonts w:ascii="Arial" w:hAnsi="Arial" w:cs="Arial"/>
        </w:rPr>
      </w:pPr>
      <w:r>
        <w:rPr>
          <w:rFonts w:ascii="Arial" w:hAnsi="Arial" w:cs="Arial"/>
        </w:rPr>
        <w:br w:type="page"/>
      </w:r>
    </w:p>
    <w:p w:rsidR="00E94EDE" w:rsidRPr="00547D0F" w:rsidRDefault="008B1534" w:rsidP="001B35BF">
      <w:pPr>
        <w:pStyle w:val="ListParagraph"/>
        <w:numPr>
          <w:ilvl w:val="0"/>
          <w:numId w:val="8"/>
        </w:numPr>
        <w:jc w:val="both"/>
        <w:rPr>
          <w:rFonts w:ascii="Arial" w:hAnsi="Arial" w:cs="Arial"/>
          <w:b/>
        </w:rPr>
      </w:pPr>
      <w:r w:rsidRPr="00547D0F">
        <w:rPr>
          <w:rFonts w:ascii="Arial" w:hAnsi="Arial" w:cs="Arial"/>
          <w:b/>
        </w:rPr>
        <w:lastRenderedPageBreak/>
        <w:t xml:space="preserve">Separate government body relating to elder abuse and </w:t>
      </w:r>
      <w:r w:rsidR="006A7669" w:rsidRPr="00547D0F">
        <w:rPr>
          <w:rFonts w:ascii="Arial" w:hAnsi="Arial" w:cs="Arial"/>
          <w:b/>
        </w:rPr>
        <w:t>R</w:t>
      </w:r>
      <w:r w:rsidR="00E94EDE" w:rsidRPr="00547D0F">
        <w:rPr>
          <w:rFonts w:ascii="Arial" w:hAnsi="Arial" w:cs="Arial"/>
          <w:b/>
        </w:rPr>
        <w:t>eporting</w:t>
      </w:r>
      <w:r w:rsidR="006A7669" w:rsidRPr="00547D0F">
        <w:rPr>
          <w:rFonts w:ascii="Arial" w:hAnsi="Arial" w:cs="Arial"/>
          <w:b/>
        </w:rPr>
        <w:t xml:space="preserve"> requirements</w:t>
      </w:r>
    </w:p>
    <w:p w:rsidR="006A7669" w:rsidRPr="00547D0F" w:rsidRDefault="006A7669" w:rsidP="007C377F">
      <w:pPr>
        <w:jc w:val="both"/>
        <w:rPr>
          <w:rFonts w:ascii="Arial" w:hAnsi="Arial" w:cs="Arial"/>
        </w:rPr>
      </w:pPr>
      <w:r w:rsidRPr="00547D0F">
        <w:rPr>
          <w:rFonts w:ascii="Arial" w:hAnsi="Arial" w:cs="Arial"/>
        </w:rPr>
        <w:t>In order to have a more holistic approach to addressing elder financial abuse, w</w:t>
      </w:r>
      <w:r w:rsidR="00A65ECB" w:rsidRPr="00547D0F">
        <w:rPr>
          <w:rFonts w:ascii="Arial" w:hAnsi="Arial" w:cs="Arial"/>
        </w:rPr>
        <w:t xml:space="preserve">e recommend </w:t>
      </w:r>
      <w:r w:rsidRPr="00547D0F">
        <w:rPr>
          <w:rFonts w:ascii="Arial" w:hAnsi="Arial" w:cs="Arial"/>
        </w:rPr>
        <w:t xml:space="preserve">that a standalone </w:t>
      </w:r>
      <w:r w:rsidR="000A4F56" w:rsidRPr="00547D0F">
        <w:rPr>
          <w:rFonts w:ascii="Arial" w:hAnsi="Arial" w:cs="Arial"/>
        </w:rPr>
        <w:t xml:space="preserve">national or state </w:t>
      </w:r>
      <w:r w:rsidRPr="00547D0F">
        <w:rPr>
          <w:rFonts w:ascii="Arial" w:hAnsi="Arial" w:cs="Arial"/>
        </w:rPr>
        <w:t xml:space="preserve">department be set up and </w:t>
      </w:r>
      <w:r w:rsidR="00A65ECB" w:rsidRPr="00547D0F">
        <w:rPr>
          <w:rFonts w:ascii="Arial" w:hAnsi="Arial" w:cs="Arial"/>
        </w:rPr>
        <w:t>that reporting of suspected financial abuse</w:t>
      </w:r>
      <w:r w:rsidR="00127711" w:rsidRPr="00547D0F">
        <w:rPr>
          <w:rFonts w:ascii="Arial" w:hAnsi="Arial" w:cs="Arial"/>
        </w:rPr>
        <w:t xml:space="preserve"> </w:t>
      </w:r>
      <w:r w:rsidRPr="00547D0F">
        <w:rPr>
          <w:rFonts w:ascii="Arial" w:hAnsi="Arial" w:cs="Arial"/>
        </w:rPr>
        <w:t xml:space="preserve">to this department </w:t>
      </w:r>
      <w:r w:rsidR="00127711" w:rsidRPr="00547D0F">
        <w:rPr>
          <w:rFonts w:ascii="Arial" w:hAnsi="Arial" w:cs="Arial"/>
        </w:rPr>
        <w:t xml:space="preserve">be </w:t>
      </w:r>
      <w:r w:rsidR="006404F8" w:rsidRPr="00547D0F">
        <w:rPr>
          <w:rFonts w:ascii="Arial" w:hAnsi="Arial" w:cs="Arial"/>
        </w:rPr>
        <w:t>encouraged</w:t>
      </w:r>
      <w:r w:rsidR="0053161C" w:rsidRPr="00547D0F">
        <w:rPr>
          <w:rFonts w:ascii="Arial" w:hAnsi="Arial" w:cs="Arial"/>
        </w:rPr>
        <w:t xml:space="preserve">. </w:t>
      </w:r>
      <w:r w:rsidR="000A4F56" w:rsidRPr="00547D0F">
        <w:rPr>
          <w:rFonts w:ascii="Arial" w:hAnsi="Arial" w:cs="Arial"/>
        </w:rPr>
        <w:t xml:space="preserve">This department would also have responsibility to </w:t>
      </w:r>
      <w:r w:rsidR="00476BA2" w:rsidRPr="00547D0F">
        <w:rPr>
          <w:rFonts w:ascii="Arial" w:hAnsi="Arial" w:cs="Arial"/>
        </w:rPr>
        <w:t>investigate claims of suspected elder abuse including but not limited to elder financial abuse.</w:t>
      </w:r>
    </w:p>
    <w:p w:rsidR="008B1534" w:rsidRPr="00547D0F" w:rsidRDefault="006A7669" w:rsidP="007C377F">
      <w:pPr>
        <w:jc w:val="both"/>
        <w:rPr>
          <w:rFonts w:ascii="Arial" w:hAnsi="Arial" w:cs="Arial"/>
        </w:rPr>
      </w:pPr>
      <w:r w:rsidRPr="00547D0F">
        <w:rPr>
          <w:rFonts w:ascii="Arial" w:hAnsi="Arial" w:cs="Arial"/>
        </w:rPr>
        <w:t>This would allow information to be shared between different stakeholders</w:t>
      </w:r>
      <w:r w:rsidR="009A64E0">
        <w:rPr>
          <w:rFonts w:ascii="Arial" w:hAnsi="Arial" w:cs="Arial"/>
        </w:rPr>
        <w:t>, for instance,</w:t>
      </w:r>
      <w:r w:rsidRPr="00547D0F">
        <w:rPr>
          <w:rFonts w:ascii="Arial" w:hAnsi="Arial" w:cs="Arial"/>
        </w:rPr>
        <w:t xml:space="preserve"> health workers</w:t>
      </w:r>
      <w:r w:rsidR="009A64E0">
        <w:rPr>
          <w:rFonts w:ascii="Arial" w:hAnsi="Arial" w:cs="Arial"/>
        </w:rPr>
        <w:t xml:space="preserve"> and</w:t>
      </w:r>
      <w:r w:rsidRPr="00547D0F">
        <w:rPr>
          <w:rFonts w:ascii="Arial" w:hAnsi="Arial" w:cs="Arial"/>
        </w:rPr>
        <w:t xml:space="preserve"> bank employees</w:t>
      </w:r>
      <w:r w:rsidR="009A64E0">
        <w:rPr>
          <w:rFonts w:ascii="Arial" w:hAnsi="Arial" w:cs="Arial"/>
        </w:rPr>
        <w:t>;</w:t>
      </w:r>
      <w:r w:rsidRPr="00547D0F">
        <w:rPr>
          <w:rFonts w:ascii="Arial" w:hAnsi="Arial" w:cs="Arial"/>
        </w:rPr>
        <w:t xml:space="preserve"> and a more holistic approach to identifying </w:t>
      </w:r>
      <w:r w:rsidR="00476BA2" w:rsidRPr="00547D0F">
        <w:rPr>
          <w:rFonts w:ascii="Arial" w:hAnsi="Arial" w:cs="Arial"/>
        </w:rPr>
        <w:t xml:space="preserve">and addressing </w:t>
      </w:r>
      <w:r w:rsidRPr="00547D0F">
        <w:rPr>
          <w:rFonts w:ascii="Arial" w:hAnsi="Arial" w:cs="Arial"/>
        </w:rPr>
        <w:t xml:space="preserve">elder financial abuse. </w:t>
      </w:r>
      <w:r w:rsidR="00091EC9" w:rsidRPr="00547D0F">
        <w:rPr>
          <w:rFonts w:ascii="Arial" w:hAnsi="Arial" w:cs="Arial"/>
        </w:rPr>
        <w:t>Similar approaches have been taken elsewhere.</w:t>
      </w:r>
      <w:r w:rsidR="00091EC9" w:rsidRPr="00547D0F">
        <w:rPr>
          <w:rStyle w:val="FootnoteReference"/>
          <w:rFonts w:ascii="Arial" w:hAnsi="Arial" w:cs="Arial"/>
        </w:rPr>
        <w:footnoteReference w:id="11"/>
      </w:r>
      <w:r w:rsidR="00091EC9" w:rsidRPr="00547D0F">
        <w:rPr>
          <w:rFonts w:ascii="Arial" w:hAnsi="Arial" w:cs="Arial"/>
        </w:rPr>
        <w:t xml:space="preserve"> </w:t>
      </w:r>
      <w:r w:rsidR="008B1534" w:rsidRPr="00547D0F">
        <w:rPr>
          <w:rFonts w:ascii="Arial" w:hAnsi="Arial" w:cs="Arial"/>
        </w:rPr>
        <w:t xml:space="preserve">As the case studies mentioned above demonstrate, there is little contact with the </w:t>
      </w:r>
      <w:r w:rsidR="009A64E0" w:rsidRPr="00E2188C">
        <w:rPr>
          <w:rFonts w:ascii="Arial" w:hAnsi="Arial" w:cs="Arial"/>
        </w:rPr>
        <w:t>elder</w:t>
      </w:r>
      <w:r w:rsidR="009A64E0">
        <w:rPr>
          <w:rFonts w:ascii="Arial" w:hAnsi="Arial" w:cs="Arial"/>
        </w:rPr>
        <w:t>ly person</w:t>
      </w:r>
      <w:r w:rsidR="008B1534" w:rsidRPr="00547D0F">
        <w:rPr>
          <w:rFonts w:ascii="Arial" w:hAnsi="Arial" w:cs="Arial"/>
        </w:rPr>
        <w:t xml:space="preserve"> between the period in which the </w:t>
      </w:r>
      <w:r w:rsidR="009A64E0" w:rsidRPr="00E2188C">
        <w:rPr>
          <w:rFonts w:ascii="Arial" w:hAnsi="Arial" w:cs="Arial"/>
        </w:rPr>
        <w:t>elder</w:t>
      </w:r>
      <w:r w:rsidR="009A64E0">
        <w:rPr>
          <w:rFonts w:ascii="Arial" w:hAnsi="Arial" w:cs="Arial"/>
        </w:rPr>
        <w:t>ly person</w:t>
      </w:r>
      <w:r w:rsidR="008B1534" w:rsidRPr="00547D0F">
        <w:rPr>
          <w:rFonts w:ascii="Arial" w:hAnsi="Arial" w:cs="Arial"/>
        </w:rPr>
        <w:t xml:space="preserve"> becomes the guarantor/borrower and the period in which the abuse is reported. A government body that receives reports and undertakes investigations would bridge this gap and ensure that intervention</w:t>
      </w:r>
      <w:r w:rsidR="00476BA2" w:rsidRPr="00547D0F">
        <w:rPr>
          <w:rFonts w:ascii="Arial" w:hAnsi="Arial" w:cs="Arial"/>
        </w:rPr>
        <w:t xml:space="preserve"> </w:t>
      </w:r>
      <w:r w:rsidR="006404F8" w:rsidRPr="00547D0F">
        <w:rPr>
          <w:rFonts w:ascii="Arial" w:hAnsi="Arial" w:cs="Arial"/>
        </w:rPr>
        <w:t>does not end with the lender’s involvement</w:t>
      </w:r>
      <w:r w:rsidRPr="00547D0F">
        <w:rPr>
          <w:rFonts w:ascii="Arial" w:hAnsi="Arial" w:cs="Arial"/>
        </w:rPr>
        <w:t>.</w:t>
      </w:r>
    </w:p>
    <w:p w:rsidR="00BB09BB" w:rsidRPr="00547D0F" w:rsidRDefault="006404F8" w:rsidP="007C377F">
      <w:pPr>
        <w:jc w:val="both"/>
        <w:rPr>
          <w:rFonts w:ascii="Arial" w:hAnsi="Arial" w:cs="Arial"/>
        </w:rPr>
      </w:pPr>
      <w:r w:rsidRPr="00547D0F">
        <w:rPr>
          <w:rFonts w:ascii="Arial" w:hAnsi="Arial" w:cs="Arial"/>
        </w:rPr>
        <w:t>There is significant debate surrounding whether reporting should be mandatory</w:t>
      </w:r>
      <w:r w:rsidR="009B7FEB" w:rsidRPr="00547D0F">
        <w:rPr>
          <w:rFonts w:ascii="Arial" w:hAnsi="Arial" w:cs="Arial"/>
        </w:rPr>
        <w:t>. Most of the debate revolves around increasing red tape and reducing autonomy and privacy concerns being balanced against the need to increase reporting by stakeholders.</w:t>
      </w:r>
      <w:r w:rsidR="009B7FEB" w:rsidRPr="00547D0F">
        <w:rPr>
          <w:rStyle w:val="FootnoteReference"/>
          <w:rFonts w:ascii="Arial" w:hAnsi="Arial" w:cs="Arial"/>
        </w:rPr>
        <w:footnoteReference w:id="12"/>
      </w:r>
      <w:r w:rsidR="00644271" w:rsidRPr="00547D0F">
        <w:rPr>
          <w:rFonts w:ascii="Arial" w:hAnsi="Arial" w:cs="Arial"/>
        </w:rPr>
        <w:t xml:space="preserve"> </w:t>
      </w:r>
      <w:r w:rsidR="00B57A63" w:rsidRPr="00112A65">
        <w:rPr>
          <w:rFonts w:ascii="Arial" w:hAnsi="Arial" w:cs="Arial"/>
        </w:rPr>
        <w:t xml:space="preserve">However, there is little conclusive evidence that demonstrates mandatory reporting would or would not lead to </w:t>
      </w:r>
      <w:r w:rsidR="00112A65" w:rsidRPr="00112A65">
        <w:rPr>
          <w:rFonts w:ascii="Arial" w:hAnsi="Arial" w:cs="Arial"/>
        </w:rPr>
        <w:t xml:space="preserve">an actual </w:t>
      </w:r>
      <w:r w:rsidR="00B57A63" w:rsidRPr="00112A65">
        <w:rPr>
          <w:rFonts w:ascii="Arial" w:hAnsi="Arial" w:cs="Arial"/>
        </w:rPr>
        <w:t xml:space="preserve">increase </w:t>
      </w:r>
      <w:r w:rsidR="00112A65" w:rsidRPr="00112A65">
        <w:rPr>
          <w:rFonts w:ascii="Arial" w:hAnsi="Arial" w:cs="Arial"/>
        </w:rPr>
        <w:t xml:space="preserve">in </w:t>
      </w:r>
      <w:r w:rsidR="00B57A63" w:rsidRPr="00112A65">
        <w:rPr>
          <w:rFonts w:ascii="Arial" w:hAnsi="Arial" w:cs="Arial"/>
        </w:rPr>
        <w:t>reporting</w:t>
      </w:r>
      <w:r w:rsidR="00112A65" w:rsidRPr="00112A65">
        <w:rPr>
          <w:rFonts w:ascii="Arial" w:hAnsi="Arial" w:cs="Arial"/>
        </w:rPr>
        <w:t xml:space="preserve"> of elder abuse</w:t>
      </w:r>
      <w:r w:rsidR="00B57A63" w:rsidRPr="00112A65">
        <w:rPr>
          <w:rFonts w:ascii="Arial" w:hAnsi="Arial" w:cs="Arial"/>
        </w:rPr>
        <w:t>.</w:t>
      </w:r>
      <w:r w:rsidR="008B1534" w:rsidRPr="00112A65">
        <w:rPr>
          <w:rStyle w:val="FootnoteReference"/>
          <w:rFonts w:ascii="Arial" w:hAnsi="Arial" w:cs="Arial"/>
        </w:rPr>
        <w:footnoteReference w:id="13"/>
      </w:r>
    </w:p>
    <w:p w:rsidR="006404F8" w:rsidRPr="00547D0F" w:rsidRDefault="00644271" w:rsidP="007C377F">
      <w:pPr>
        <w:jc w:val="both"/>
        <w:rPr>
          <w:rFonts w:ascii="Arial" w:hAnsi="Arial" w:cs="Arial"/>
        </w:rPr>
      </w:pPr>
      <w:r w:rsidRPr="00547D0F">
        <w:rPr>
          <w:rFonts w:ascii="Arial" w:hAnsi="Arial" w:cs="Arial"/>
        </w:rPr>
        <w:t>It is against this background that we advocate for a voluntary scheme that is contained within the Code of Banking Practice or other relevant codes of conduct. While this would have little or no hard legal effect, it wou</w:t>
      </w:r>
      <w:r w:rsidR="000A4F56" w:rsidRPr="00547D0F">
        <w:rPr>
          <w:rFonts w:ascii="Arial" w:hAnsi="Arial" w:cs="Arial"/>
        </w:rPr>
        <w:t xml:space="preserve">ld indicate model behavior and </w:t>
      </w:r>
      <w:r w:rsidR="00F7036E" w:rsidRPr="00547D0F">
        <w:rPr>
          <w:rFonts w:ascii="Arial" w:hAnsi="Arial" w:cs="Arial"/>
        </w:rPr>
        <w:t xml:space="preserve">affect </w:t>
      </w:r>
      <w:r w:rsidR="00EB3A97" w:rsidRPr="00547D0F">
        <w:rPr>
          <w:rFonts w:ascii="Arial" w:hAnsi="Arial" w:cs="Arial"/>
        </w:rPr>
        <w:t xml:space="preserve">the lender’s consideration of whether a transaction is </w:t>
      </w:r>
      <w:r w:rsidR="008B1534" w:rsidRPr="00547D0F">
        <w:rPr>
          <w:rFonts w:ascii="Arial" w:hAnsi="Arial" w:cs="Arial"/>
        </w:rPr>
        <w:t>an unconscionable transaction</w:t>
      </w:r>
      <w:r w:rsidR="00EB3A97" w:rsidRPr="00547D0F">
        <w:rPr>
          <w:rFonts w:ascii="Arial" w:hAnsi="Arial" w:cs="Arial"/>
        </w:rPr>
        <w:t xml:space="preserve">. </w:t>
      </w:r>
      <w:r w:rsidR="00B57A63" w:rsidRPr="00547D0F">
        <w:rPr>
          <w:rFonts w:ascii="Arial" w:hAnsi="Arial" w:cs="Arial"/>
        </w:rPr>
        <w:t xml:space="preserve">It would also avoid </w:t>
      </w:r>
      <w:r w:rsidR="005564D0" w:rsidRPr="00547D0F">
        <w:rPr>
          <w:rFonts w:ascii="Arial" w:hAnsi="Arial" w:cs="Arial"/>
        </w:rPr>
        <w:t>the initial</w:t>
      </w:r>
      <w:r w:rsidR="00B57A63" w:rsidRPr="00547D0F">
        <w:rPr>
          <w:rFonts w:ascii="Arial" w:hAnsi="Arial" w:cs="Arial"/>
        </w:rPr>
        <w:t xml:space="preserve"> political and practical difficulties in enacting and enforcing any mandated reporting scheme.</w:t>
      </w:r>
    </w:p>
    <w:p w:rsidR="00CE6C95" w:rsidRDefault="00F7036E" w:rsidP="007C377F">
      <w:pPr>
        <w:jc w:val="both"/>
        <w:rPr>
          <w:rFonts w:ascii="Arial" w:hAnsi="Arial" w:cs="Arial"/>
        </w:rPr>
      </w:pPr>
      <w:r w:rsidRPr="00547D0F">
        <w:rPr>
          <w:rFonts w:ascii="Arial" w:hAnsi="Arial" w:cs="Arial"/>
        </w:rPr>
        <w:t>However, it should be noted that reducing barriers to reporting such as</w:t>
      </w:r>
      <w:r w:rsidR="00112A65">
        <w:rPr>
          <w:rFonts w:ascii="Arial" w:hAnsi="Arial" w:cs="Arial"/>
        </w:rPr>
        <w:t xml:space="preserve"> granting</w:t>
      </w:r>
      <w:r w:rsidRPr="00547D0F">
        <w:rPr>
          <w:rFonts w:ascii="Arial" w:hAnsi="Arial" w:cs="Arial"/>
        </w:rPr>
        <w:t xml:space="preserve"> exemptions from liability for elder abuse</w:t>
      </w:r>
      <w:r w:rsidR="007C377F" w:rsidRPr="00547D0F">
        <w:rPr>
          <w:rFonts w:ascii="Arial" w:hAnsi="Arial" w:cs="Arial"/>
        </w:rPr>
        <w:t xml:space="preserve"> and </w:t>
      </w:r>
      <w:r w:rsidR="00112A65">
        <w:rPr>
          <w:rFonts w:ascii="Arial" w:hAnsi="Arial" w:cs="Arial"/>
        </w:rPr>
        <w:t xml:space="preserve">from </w:t>
      </w:r>
      <w:r w:rsidR="007C377F" w:rsidRPr="00547D0F">
        <w:rPr>
          <w:rFonts w:ascii="Arial" w:hAnsi="Arial" w:cs="Arial"/>
        </w:rPr>
        <w:t>lenders’ other legal duties</w:t>
      </w:r>
      <w:r w:rsidRPr="00547D0F">
        <w:rPr>
          <w:rFonts w:ascii="Arial" w:hAnsi="Arial" w:cs="Arial"/>
        </w:rPr>
        <w:t xml:space="preserve"> as a </w:t>
      </w:r>
      <w:r w:rsidRPr="00112A65">
        <w:rPr>
          <w:rFonts w:ascii="Arial" w:hAnsi="Arial" w:cs="Arial"/>
          <w:i/>
        </w:rPr>
        <w:t>quid pro quo</w:t>
      </w:r>
      <w:r w:rsidRPr="00112A65">
        <w:rPr>
          <w:rFonts w:ascii="Arial" w:hAnsi="Arial" w:cs="Arial"/>
        </w:rPr>
        <w:t xml:space="preserve"> for</w:t>
      </w:r>
      <w:r w:rsidR="009A64E0">
        <w:rPr>
          <w:rFonts w:ascii="Arial" w:hAnsi="Arial" w:cs="Arial"/>
        </w:rPr>
        <w:t xml:space="preserve"> </w:t>
      </w:r>
      <w:r w:rsidR="0068565F">
        <w:rPr>
          <w:rFonts w:ascii="Arial" w:hAnsi="Arial" w:cs="Arial"/>
        </w:rPr>
        <w:t xml:space="preserve">reporting suspected cases of financial abuse </w:t>
      </w:r>
      <w:r w:rsidR="009A64E0">
        <w:rPr>
          <w:rFonts w:ascii="Arial" w:hAnsi="Arial" w:cs="Arial"/>
        </w:rPr>
        <w:t xml:space="preserve">– for instance </w:t>
      </w:r>
      <w:r w:rsidR="00112A65">
        <w:rPr>
          <w:rFonts w:ascii="Arial" w:hAnsi="Arial" w:cs="Arial"/>
        </w:rPr>
        <w:t>–</w:t>
      </w:r>
      <w:r w:rsidRPr="00112A65">
        <w:rPr>
          <w:rFonts w:ascii="Arial" w:hAnsi="Arial" w:cs="Arial"/>
        </w:rPr>
        <w:t xml:space="preserve"> </w:t>
      </w:r>
      <w:r w:rsidR="00112A65">
        <w:rPr>
          <w:rFonts w:ascii="Arial" w:hAnsi="Arial" w:cs="Arial"/>
        </w:rPr>
        <w:t xml:space="preserve">may lead to a higher instance of reporting. </w:t>
      </w:r>
      <w:r w:rsidR="0068565F">
        <w:rPr>
          <w:rFonts w:ascii="Arial" w:hAnsi="Arial" w:cs="Arial"/>
        </w:rPr>
        <w:t>This increased</w:t>
      </w:r>
      <w:r w:rsidRPr="00112A65">
        <w:rPr>
          <w:rFonts w:ascii="Arial" w:hAnsi="Arial" w:cs="Arial"/>
        </w:rPr>
        <w:t xml:space="preserve"> collaboration between lenders and </w:t>
      </w:r>
      <w:r w:rsidR="0068565F">
        <w:rPr>
          <w:rFonts w:ascii="Arial" w:hAnsi="Arial" w:cs="Arial"/>
        </w:rPr>
        <w:t xml:space="preserve">the </w:t>
      </w:r>
      <w:r w:rsidRPr="00112A65">
        <w:rPr>
          <w:rFonts w:ascii="Arial" w:hAnsi="Arial" w:cs="Arial"/>
        </w:rPr>
        <w:t>government</w:t>
      </w:r>
      <w:r w:rsidR="009A64E0">
        <w:rPr>
          <w:rFonts w:ascii="Arial" w:hAnsi="Arial" w:cs="Arial"/>
        </w:rPr>
        <w:t>,</w:t>
      </w:r>
      <w:r w:rsidRPr="00112A65">
        <w:rPr>
          <w:rFonts w:ascii="Arial" w:hAnsi="Arial" w:cs="Arial"/>
        </w:rPr>
        <w:t xml:space="preserve"> may </w:t>
      </w:r>
      <w:r w:rsidR="00CE6C95" w:rsidRPr="00112A65">
        <w:rPr>
          <w:rFonts w:ascii="Arial" w:hAnsi="Arial" w:cs="Arial"/>
        </w:rPr>
        <w:t>be just as successful in obtaining higher reporting rates.</w:t>
      </w:r>
      <w:r w:rsidR="00CE6C95" w:rsidRPr="00112A65">
        <w:rPr>
          <w:rStyle w:val="FootnoteReference"/>
          <w:rFonts w:ascii="Arial" w:hAnsi="Arial" w:cs="Arial"/>
        </w:rPr>
        <w:footnoteReference w:id="14"/>
      </w:r>
      <w:r w:rsidR="00CE6C95" w:rsidRPr="00112A65">
        <w:rPr>
          <w:rFonts w:ascii="Arial" w:hAnsi="Arial" w:cs="Arial"/>
        </w:rPr>
        <w:t xml:space="preserve"> </w:t>
      </w:r>
    </w:p>
    <w:p w:rsidR="00021D26" w:rsidRDefault="00021D26" w:rsidP="007C377F">
      <w:pPr>
        <w:jc w:val="both"/>
        <w:rPr>
          <w:rFonts w:ascii="Arial" w:hAnsi="Arial" w:cs="Arial"/>
        </w:rPr>
      </w:pPr>
    </w:p>
    <w:p w:rsidR="00021D26" w:rsidRPr="00112A65" w:rsidRDefault="00021D26" w:rsidP="007C377F">
      <w:pPr>
        <w:jc w:val="both"/>
        <w:rPr>
          <w:rFonts w:ascii="Arial" w:hAnsi="Arial" w:cs="Arial"/>
        </w:rPr>
      </w:pPr>
    </w:p>
    <w:p w:rsidR="00CE6C95" w:rsidRPr="00112A65" w:rsidRDefault="00CE6C95" w:rsidP="001B35BF">
      <w:pPr>
        <w:pStyle w:val="ListParagraph"/>
        <w:numPr>
          <w:ilvl w:val="0"/>
          <w:numId w:val="8"/>
        </w:numPr>
        <w:jc w:val="both"/>
        <w:rPr>
          <w:rFonts w:ascii="Arial" w:hAnsi="Arial" w:cs="Arial"/>
          <w:b/>
        </w:rPr>
      </w:pPr>
      <w:r w:rsidRPr="00112A65">
        <w:rPr>
          <w:rFonts w:ascii="Arial" w:hAnsi="Arial" w:cs="Arial"/>
          <w:b/>
        </w:rPr>
        <w:lastRenderedPageBreak/>
        <w:t xml:space="preserve">Future </w:t>
      </w:r>
      <w:r w:rsidR="007665A1" w:rsidRPr="00112A65">
        <w:rPr>
          <w:rFonts w:ascii="Arial" w:hAnsi="Arial" w:cs="Arial"/>
          <w:b/>
        </w:rPr>
        <w:t>policy development</w:t>
      </w:r>
    </w:p>
    <w:p w:rsidR="00CE6C95" w:rsidRPr="00112A65" w:rsidRDefault="00CE6C95" w:rsidP="007C377F">
      <w:pPr>
        <w:jc w:val="both"/>
        <w:rPr>
          <w:rFonts w:ascii="Arial" w:hAnsi="Arial" w:cs="Arial"/>
        </w:rPr>
      </w:pPr>
      <w:r w:rsidRPr="00112A65">
        <w:rPr>
          <w:rFonts w:ascii="Arial" w:hAnsi="Arial" w:cs="Arial"/>
        </w:rPr>
        <w:t>Given the under</w:t>
      </w:r>
      <w:r w:rsidR="00810A44">
        <w:rPr>
          <w:rFonts w:ascii="Arial" w:hAnsi="Arial" w:cs="Arial"/>
        </w:rPr>
        <w:t>-</w:t>
      </w:r>
      <w:r w:rsidRPr="00112A65">
        <w:rPr>
          <w:rFonts w:ascii="Arial" w:hAnsi="Arial" w:cs="Arial"/>
        </w:rPr>
        <w:t xml:space="preserve">reporting of the phenomenon, it is currently difficult to formulate processes to address the financial abuse </w:t>
      </w:r>
      <w:r w:rsidR="00112A65">
        <w:rPr>
          <w:rFonts w:ascii="Arial" w:hAnsi="Arial" w:cs="Arial"/>
        </w:rPr>
        <w:t xml:space="preserve">of </w:t>
      </w:r>
      <w:r w:rsidR="009A64E0" w:rsidRPr="00E2188C">
        <w:rPr>
          <w:rFonts w:ascii="Arial" w:hAnsi="Arial" w:cs="Arial"/>
        </w:rPr>
        <w:t>elder</w:t>
      </w:r>
      <w:r w:rsidR="009A64E0">
        <w:rPr>
          <w:rFonts w:ascii="Arial" w:hAnsi="Arial" w:cs="Arial"/>
        </w:rPr>
        <w:t>ly person</w:t>
      </w:r>
      <w:r w:rsidRPr="00112A65">
        <w:rPr>
          <w:rFonts w:ascii="Arial" w:hAnsi="Arial" w:cs="Arial"/>
        </w:rPr>
        <w:t xml:space="preserve">s </w:t>
      </w:r>
      <w:r w:rsidR="00112A65">
        <w:rPr>
          <w:rFonts w:ascii="Arial" w:hAnsi="Arial" w:cs="Arial"/>
        </w:rPr>
        <w:t>that is currently occurring.</w:t>
      </w:r>
      <w:r w:rsidRPr="00112A65">
        <w:rPr>
          <w:rFonts w:ascii="Arial" w:hAnsi="Arial" w:cs="Arial"/>
        </w:rPr>
        <w:t xml:space="preserve"> Reporting of suspected abuse may in the short run</w:t>
      </w:r>
      <w:r w:rsidR="00112A65">
        <w:rPr>
          <w:rFonts w:ascii="Arial" w:hAnsi="Arial" w:cs="Arial"/>
        </w:rPr>
        <w:t xml:space="preserve"> provide greater clarity of the level of</w:t>
      </w:r>
      <w:r w:rsidRPr="00112A65">
        <w:rPr>
          <w:rFonts w:ascii="Arial" w:hAnsi="Arial" w:cs="Arial"/>
        </w:rPr>
        <w:t xml:space="preserve"> financial abuse </w:t>
      </w:r>
      <w:r w:rsidR="00112A65">
        <w:rPr>
          <w:rFonts w:ascii="Arial" w:hAnsi="Arial" w:cs="Arial"/>
        </w:rPr>
        <w:t xml:space="preserve">that </w:t>
      </w:r>
      <w:r w:rsidRPr="00112A65">
        <w:rPr>
          <w:rFonts w:ascii="Arial" w:hAnsi="Arial" w:cs="Arial"/>
        </w:rPr>
        <w:t xml:space="preserve">is </w:t>
      </w:r>
      <w:r w:rsidR="00112A65">
        <w:rPr>
          <w:rFonts w:ascii="Arial" w:hAnsi="Arial" w:cs="Arial"/>
        </w:rPr>
        <w:t>occurring and its</w:t>
      </w:r>
      <w:r w:rsidRPr="00112A65">
        <w:rPr>
          <w:rFonts w:ascii="Arial" w:hAnsi="Arial" w:cs="Arial"/>
        </w:rPr>
        <w:t xml:space="preserve"> causal factors. It would also give a good understanding of the lenders’ perspectives and the effectiveness of identifying financial abuse. In the longer term, it would allow for better targeted policies that would address under</w:t>
      </w:r>
      <w:r w:rsidR="009A64E0">
        <w:rPr>
          <w:rFonts w:ascii="Arial" w:hAnsi="Arial" w:cs="Arial"/>
        </w:rPr>
        <w:t>-</w:t>
      </w:r>
      <w:r w:rsidRPr="00112A65">
        <w:rPr>
          <w:rFonts w:ascii="Arial" w:hAnsi="Arial" w:cs="Arial"/>
        </w:rPr>
        <w:t xml:space="preserve">reporting and empower elders. We would recommend that elder abuse policies be reviewed in </w:t>
      </w:r>
      <w:r w:rsidR="009A64E0">
        <w:rPr>
          <w:rFonts w:ascii="Arial" w:hAnsi="Arial" w:cs="Arial"/>
        </w:rPr>
        <w:t>five</w:t>
      </w:r>
      <w:r w:rsidR="00502E27">
        <w:rPr>
          <w:rFonts w:ascii="Arial" w:hAnsi="Arial" w:cs="Arial"/>
        </w:rPr>
        <w:t xml:space="preserve"> or ten</w:t>
      </w:r>
      <w:r w:rsidRPr="00112A65">
        <w:rPr>
          <w:rFonts w:ascii="Arial" w:hAnsi="Arial" w:cs="Arial"/>
        </w:rPr>
        <w:t xml:space="preserve"> years</w:t>
      </w:r>
      <w:r w:rsidR="009A64E0">
        <w:rPr>
          <w:rFonts w:ascii="Arial" w:hAnsi="Arial" w:cs="Arial"/>
        </w:rPr>
        <w:t>’</w:t>
      </w:r>
      <w:r w:rsidRPr="00112A65">
        <w:rPr>
          <w:rFonts w:ascii="Arial" w:hAnsi="Arial" w:cs="Arial"/>
        </w:rPr>
        <w:t xml:space="preserve"> time in order to review </w:t>
      </w:r>
      <w:r w:rsidR="001C3201" w:rsidRPr="00112A65">
        <w:rPr>
          <w:rFonts w:ascii="Arial" w:hAnsi="Arial" w:cs="Arial"/>
        </w:rPr>
        <w:t>the evidence of the elder abuse that is available then.</w:t>
      </w:r>
      <w:r w:rsidRPr="00112A65">
        <w:rPr>
          <w:rFonts w:ascii="Arial" w:hAnsi="Arial" w:cs="Arial"/>
        </w:rPr>
        <w:t xml:space="preserve"> </w:t>
      </w:r>
    </w:p>
    <w:p w:rsidR="00F7036E" w:rsidRPr="00B9471D" w:rsidRDefault="007C377F" w:rsidP="001B35BF">
      <w:pPr>
        <w:pStyle w:val="ListParagraph"/>
        <w:numPr>
          <w:ilvl w:val="0"/>
          <w:numId w:val="4"/>
        </w:numPr>
        <w:jc w:val="both"/>
        <w:rPr>
          <w:rFonts w:ascii="Arial" w:hAnsi="Arial" w:cs="Arial"/>
          <w:b/>
        </w:rPr>
      </w:pPr>
      <w:r w:rsidRPr="00B9471D">
        <w:rPr>
          <w:rFonts w:ascii="Arial" w:hAnsi="Arial" w:cs="Arial"/>
          <w:b/>
        </w:rPr>
        <w:t>Acknowledgements</w:t>
      </w:r>
    </w:p>
    <w:p w:rsidR="00E4095C" w:rsidRDefault="00D73097" w:rsidP="00D73097">
      <w:pPr>
        <w:jc w:val="both"/>
        <w:rPr>
          <w:rFonts w:ascii="Arial" w:hAnsi="Arial" w:cs="Arial"/>
          <w:lang w:val="en-AU"/>
        </w:rPr>
      </w:pPr>
      <w:r w:rsidRPr="00112A65">
        <w:rPr>
          <w:rFonts w:ascii="Arial" w:hAnsi="Arial" w:cs="Arial"/>
          <w:lang w:val="en-AU"/>
        </w:rPr>
        <w:t>We hope that our submission would be useful in elucidating the current issues surrounding elder financial abuse</w:t>
      </w:r>
      <w:r w:rsidR="00CF32C7">
        <w:rPr>
          <w:rFonts w:ascii="Arial" w:hAnsi="Arial" w:cs="Arial"/>
          <w:lang w:val="en-AU"/>
        </w:rPr>
        <w:t>;</w:t>
      </w:r>
      <w:r w:rsidRPr="00112A65">
        <w:rPr>
          <w:rFonts w:ascii="Arial" w:hAnsi="Arial" w:cs="Arial"/>
          <w:lang w:val="en-AU"/>
        </w:rPr>
        <w:t xml:space="preserve"> and that the proposed recommendations aid in making the policy response to elder abuse more robust and relevant in the future. </w:t>
      </w:r>
    </w:p>
    <w:p w:rsidR="00D73097" w:rsidRPr="00112A65" w:rsidRDefault="00D73097" w:rsidP="00D73097">
      <w:pPr>
        <w:jc w:val="both"/>
        <w:rPr>
          <w:rFonts w:ascii="Arial" w:hAnsi="Arial" w:cs="Arial"/>
          <w:lang w:val="en-AU"/>
        </w:rPr>
      </w:pPr>
      <w:r w:rsidRPr="00112A65">
        <w:rPr>
          <w:rFonts w:ascii="Arial" w:hAnsi="Arial" w:cs="Arial"/>
          <w:lang w:val="en-AU"/>
        </w:rPr>
        <w:t xml:space="preserve">Please contact </w:t>
      </w:r>
      <w:r w:rsidR="00810A44">
        <w:rPr>
          <w:rFonts w:ascii="Arial" w:hAnsi="Arial" w:cs="Arial"/>
          <w:lang w:val="en-AU"/>
        </w:rPr>
        <w:t xml:space="preserve">our solicitor </w:t>
      </w:r>
      <w:proofErr w:type="spellStart"/>
      <w:r w:rsidR="00810A44">
        <w:rPr>
          <w:rFonts w:ascii="Arial" w:hAnsi="Arial" w:cs="Arial"/>
          <w:lang w:val="en-AU"/>
        </w:rPr>
        <w:t>Prachi</w:t>
      </w:r>
      <w:proofErr w:type="spellEnd"/>
      <w:r w:rsidR="00810A44">
        <w:rPr>
          <w:rFonts w:ascii="Arial" w:hAnsi="Arial" w:cs="Arial"/>
          <w:lang w:val="en-AU"/>
        </w:rPr>
        <w:t xml:space="preserve"> </w:t>
      </w:r>
      <w:proofErr w:type="spellStart"/>
      <w:r w:rsidR="00810A44">
        <w:rPr>
          <w:rFonts w:ascii="Arial" w:hAnsi="Arial" w:cs="Arial"/>
          <w:lang w:val="en-AU"/>
        </w:rPr>
        <w:t>Aggarwal</w:t>
      </w:r>
      <w:proofErr w:type="spellEnd"/>
      <w:r w:rsidR="00E4095C">
        <w:rPr>
          <w:rFonts w:ascii="Arial" w:hAnsi="Arial" w:cs="Arial"/>
          <w:lang w:val="en-AU"/>
        </w:rPr>
        <w:t xml:space="preserve"> on (08) 6336 7020</w:t>
      </w:r>
      <w:r w:rsidRPr="00112A65">
        <w:rPr>
          <w:rFonts w:ascii="Arial" w:hAnsi="Arial" w:cs="Arial"/>
          <w:lang w:val="en-AU"/>
        </w:rPr>
        <w:t xml:space="preserve"> if you have any questions about this submission.</w:t>
      </w:r>
    </w:p>
    <w:p w:rsidR="00D73097" w:rsidRPr="00112A65" w:rsidRDefault="00D73097" w:rsidP="00D73097">
      <w:pPr>
        <w:jc w:val="both"/>
        <w:rPr>
          <w:rFonts w:ascii="Arial" w:hAnsi="Arial" w:cs="Arial"/>
          <w:lang w:val="en-AU"/>
        </w:rPr>
      </w:pPr>
      <w:r w:rsidRPr="00112A65">
        <w:rPr>
          <w:rFonts w:ascii="Arial" w:hAnsi="Arial" w:cs="Arial"/>
          <w:lang w:val="en-AU"/>
        </w:rPr>
        <w:t>Yours faithfully</w:t>
      </w:r>
    </w:p>
    <w:p w:rsidR="00D73097" w:rsidRDefault="00E4095C" w:rsidP="00D73097">
      <w:pPr>
        <w:jc w:val="both"/>
        <w:rPr>
          <w:rFonts w:ascii="Arial" w:hAnsi="Arial" w:cs="Arial"/>
          <w:b/>
          <w:lang w:val="en-AU"/>
        </w:rPr>
      </w:pPr>
      <w:r w:rsidRPr="00112A65">
        <w:rPr>
          <w:rFonts w:ascii="Arial" w:hAnsi="Arial" w:cs="Arial"/>
          <w:b/>
          <w:lang w:val="en-AU"/>
        </w:rPr>
        <w:t>Consumer Credit Legal Service WA Inc.</w:t>
      </w:r>
    </w:p>
    <w:p w:rsidR="00810A44" w:rsidRDefault="00810A44" w:rsidP="00D73097">
      <w:pPr>
        <w:jc w:val="both"/>
        <w:rPr>
          <w:rFonts w:ascii="Arial" w:hAnsi="Arial" w:cs="Arial"/>
          <w:b/>
          <w:lang w:val="en-AU"/>
        </w:rPr>
      </w:pPr>
    </w:p>
    <w:p w:rsidR="00810A44" w:rsidRPr="00112A65" w:rsidRDefault="00810A44" w:rsidP="00B95069">
      <w:pPr>
        <w:spacing w:after="0"/>
        <w:jc w:val="both"/>
        <w:rPr>
          <w:rFonts w:ascii="Arial" w:hAnsi="Arial" w:cs="Arial"/>
          <w:lang w:val="en-AU"/>
        </w:rPr>
      </w:pPr>
      <w:proofErr w:type="spellStart"/>
      <w:r w:rsidRPr="00112A65">
        <w:rPr>
          <w:rFonts w:ascii="Arial" w:hAnsi="Arial" w:cs="Arial"/>
          <w:lang w:val="en-AU"/>
        </w:rPr>
        <w:t>Gemma</w:t>
      </w:r>
      <w:proofErr w:type="spellEnd"/>
      <w:r w:rsidRPr="00112A65">
        <w:rPr>
          <w:rFonts w:ascii="Arial" w:hAnsi="Arial" w:cs="Arial"/>
          <w:lang w:val="en-AU"/>
        </w:rPr>
        <w:t xml:space="preserve"> Mitchell</w:t>
      </w:r>
    </w:p>
    <w:p w:rsidR="00810A44" w:rsidRPr="00112A65" w:rsidRDefault="009A64E0" w:rsidP="00B95069">
      <w:pPr>
        <w:spacing w:after="0"/>
        <w:jc w:val="both"/>
        <w:rPr>
          <w:rFonts w:ascii="Arial" w:hAnsi="Arial" w:cs="Arial"/>
          <w:lang w:val="en-AU"/>
        </w:rPr>
      </w:pPr>
      <w:r>
        <w:rPr>
          <w:rFonts w:ascii="Arial" w:hAnsi="Arial" w:cs="Arial"/>
          <w:lang w:val="en-AU"/>
        </w:rPr>
        <w:t xml:space="preserve">Principal </w:t>
      </w:r>
      <w:r w:rsidR="00810A44" w:rsidRPr="00112A65">
        <w:rPr>
          <w:rFonts w:ascii="Arial" w:hAnsi="Arial" w:cs="Arial"/>
          <w:lang w:val="en-AU"/>
        </w:rPr>
        <w:t>Solicitor</w:t>
      </w:r>
    </w:p>
    <w:p w:rsidR="00D73097" w:rsidRPr="00112A65" w:rsidRDefault="00D73097" w:rsidP="007C377F">
      <w:pPr>
        <w:jc w:val="both"/>
        <w:rPr>
          <w:rFonts w:ascii="Arial" w:hAnsi="Arial" w:cs="Arial"/>
          <w:b/>
          <w:u w:val="single"/>
        </w:rPr>
      </w:pPr>
    </w:p>
    <w:sectPr w:rsidR="00D73097" w:rsidRPr="00112A65" w:rsidSect="00A1203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EF8" w:rsidRDefault="00D84EF8" w:rsidP="00F3463F">
      <w:pPr>
        <w:spacing w:after="0" w:line="240" w:lineRule="auto"/>
      </w:pPr>
      <w:r>
        <w:separator/>
      </w:r>
    </w:p>
  </w:endnote>
  <w:endnote w:type="continuationSeparator" w:id="0">
    <w:p w:rsidR="00D84EF8" w:rsidRDefault="00D84EF8" w:rsidP="00F34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1551"/>
      <w:docPartObj>
        <w:docPartGallery w:val="Page Numbers (Bottom of Page)"/>
        <w:docPartUnique/>
      </w:docPartObj>
    </w:sdtPr>
    <w:sdtEndPr>
      <w:rPr>
        <w:rFonts w:ascii="Arial" w:hAnsi="Arial" w:cs="Arial"/>
        <w:noProof/>
        <w:sz w:val="20"/>
      </w:rPr>
    </w:sdtEndPr>
    <w:sdtContent>
      <w:p w:rsidR="009C2AFE" w:rsidRPr="00B95069" w:rsidRDefault="00386E24">
        <w:pPr>
          <w:pStyle w:val="Footer"/>
          <w:jc w:val="right"/>
          <w:rPr>
            <w:rFonts w:ascii="Arial" w:hAnsi="Arial" w:cs="Arial"/>
            <w:sz w:val="20"/>
          </w:rPr>
        </w:pPr>
        <w:r w:rsidRPr="00B95069">
          <w:rPr>
            <w:rFonts w:ascii="Arial" w:hAnsi="Arial" w:cs="Arial"/>
            <w:sz w:val="20"/>
          </w:rPr>
          <w:fldChar w:fldCharType="begin"/>
        </w:r>
        <w:r w:rsidR="009C2AFE" w:rsidRPr="00B95069">
          <w:rPr>
            <w:rFonts w:ascii="Arial" w:hAnsi="Arial" w:cs="Arial"/>
            <w:sz w:val="20"/>
          </w:rPr>
          <w:instrText xml:space="preserve"> PAGE   \* MERGEFORMAT </w:instrText>
        </w:r>
        <w:r w:rsidRPr="00B95069">
          <w:rPr>
            <w:rFonts w:ascii="Arial" w:hAnsi="Arial" w:cs="Arial"/>
            <w:sz w:val="20"/>
          </w:rPr>
          <w:fldChar w:fldCharType="separate"/>
        </w:r>
        <w:r w:rsidR="008C780C">
          <w:rPr>
            <w:rFonts w:ascii="Arial" w:hAnsi="Arial" w:cs="Arial"/>
            <w:noProof/>
            <w:sz w:val="20"/>
          </w:rPr>
          <w:t>10</w:t>
        </w:r>
        <w:r w:rsidRPr="00B95069">
          <w:rPr>
            <w:rFonts w:ascii="Arial" w:hAnsi="Arial" w:cs="Arial"/>
            <w:noProof/>
            <w:sz w:val="20"/>
          </w:rPr>
          <w:fldChar w:fldCharType="end"/>
        </w:r>
      </w:p>
    </w:sdtContent>
  </w:sdt>
  <w:p w:rsidR="009C2AFE" w:rsidRPr="00B95069" w:rsidRDefault="00386E24" w:rsidP="00B95069">
    <w:pPr>
      <w:pStyle w:val="Footer"/>
      <w:jc w:val="center"/>
      <w:rPr>
        <w:rFonts w:ascii="Arial" w:hAnsi="Arial" w:cs="Arial"/>
        <w:sz w:val="18"/>
        <w:szCs w:val="18"/>
      </w:rPr>
    </w:pPr>
    <w:fldSimple w:instr=" FILENAME   \* MERGEFORMAT ">
      <w:r w:rsidR="00703B8F">
        <w:rPr>
          <w:rFonts w:ascii="Arial" w:hAnsi="Arial" w:cs="Arial"/>
          <w:noProof/>
          <w:sz w:val="18"/>
          <w:szCs w:val="18"/>
        </w:rPr>
        <w:t>112. Consumer Credit Legal Service (WA) .docx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FE" w:rsidRPr="009B0DF9" w:rsidRDefault="009C2AFE" w:rsidP="009C2AFE">
    <w:pPr>
      <w:spacing w:after="0" w:line="240" w:lineRule="auto"/>
      <w:rPr>
        <w:rFonts w:ascii="Arial" w:hAnsi="Arial" w:cs="Arial"/>
        <w:b/>
        <w:color w:val="0070C0"/>
        <w:sz w:val="18"/>
        <w:szCs w:val="18"/>
      </w:rPr>
    </w:pPr>
    <w:r w:rsidRPr="009B0DF9">
      <w:rPr>
        <w:rFonts w:ascii="Arial" w:hAnsi="Arial" w:cs="Arial"/>
        <w:b/>
        <w:color w:val="0070C0"/>
        <w:sz w:val="18"/>
        <w:szCs w:val="18"/>
      </w:rPr>
      <w:t>Consumer Credit Legal Service (WA) Inc</w:t>
    </w:r>
  </w:p>
  <w:p w:rsidR="009C2AFE" w:rsidRPr="009B0DF9" w:rsidRDefault="009C2AFE" w:rsidP="009C2AFE">
    <w:pPr>
      <w:spacing w:after="0" w:line="240" w:lineRule="auto"/>
      <w:rPr>
        <w:rFonts w:ascii="Arial" w:hAnsi="Arial" w:cs="Arial"/>
        <w:sz w:val="18"/>
        <w:szCs w:val="18"/>
      </w:rPr>
    </w:pPr>
    <w:r w:rsidRPr="009B0DF9">
      <w:rPr>
        <w:rFonts w:ascii="Arial" w:hAnsi="Arial" w:cs="Arial"/>
        <w:sz w:val="18"/>
        <w:szCs w:val="18"/>
      </w:rPr>
      <w:t>Level 1, 231 Adelaide Terrace, Perth WA 6000</w:t>
    </w:r>
  </w:p>
  <w:p w:rsidR="009C2AFE" w:rsidRPr="009B0DF9" w:rsidRDefault="009C2AFE" w:rsidP="009C2AFE">
    <w:pPr>
      <w:spacing w:after="0" w:line="240" w:lineRule="auto"/>
      <w:rPr>
        <w:rFonts w:ascii="Arial" w:hAnsi="Arial" w:cs="Arial"/>
        <w:sz w:val="18"/>
        <w:szCs w:val="18"/>
      </w:rPr>
    </w:pPr>
    <w:r w:rsidRPr="009B0DF9">
      <w:rPr>
        <w:rFonts w:ascii="Arial" w:hAnsi="Arial" w:cs="Arial"/>
        <w:sz w:val="18"/>
        <w:szCs w:val="18"/>
      </w:rPr>
      <w:t>Phone (08) 9221 7066 Fax (08) 9221 7088</w:t>
    </w:r>
  </w:p>
  <w:p w:rsidR="009C2AFE" w:rsidRPr="009B0DF9" w:rsidRDefault="009C2AFE" w:rsidP="009C2AFE">
    <w:pPr>
      <w:spacing w:after="0" w:line="240" w:lineRule="auto"/>
      <w:rPr>
        <w:rStyle w:val="Hyperlink"/>
        <w:rFonts w:ascii="Arial" w:hAnsi="Arial" w:cs="Arial"/>
        <w:sz w:val="18"/>
        <w:szCs w:val="18"/>
      </w:rPr>
    </w:pPr>
    <w:r w:rsidRPr="009B0DF9">
      <w:rPr>
        <w:rFonts w:ascii="Arial" w:hAnsi="Arial" w:cs="Arial"/>
        <w:sz w:val="18"/>
        <w:szCs w:val="18"/>
      </w:rPr>
      <w:t xml:space="preserve">Email </w:t>
    </w:r>
    <w:hyperlink r:id="rId1" w:history="1">
      <w:r w:rsidRPr="009B0DF9">
        <w:rPr>
          <w:rStyle w:val="Hyperlink"/>
          <w:rFonts w:ascii="Arial" w:hAnsi="Arial" w:cs="Arial"/>
          <w:sz w:val="18"/>
          <w:szCs w:val="18"/>
        </w:rPr>
        <w:t>info@cclswa.org.au</w:t>
      </w:r>
    </w:hyperlink>
  </w:p>
  <w:p w:rsidR="009C2AFE" w:rsidRDefault="00386E24" w:rsidP="009C2AFE">
    <w:pPr>
      <w:spacing w:after="0" w:line="240" w:lineRule="auto"/>
      <w:rPr>
        <w:rFonts w:ascii="Arial" w:hAnsi="Arial" w:cs="Arial"/>
        <w:sz w:val="18"/>
        <w:szCs w:val="18"/>
      </w:rPr>
    </w:pPr>
    <w:hyperlink r:id="rId2" w:history="1">
      <w:r w:rsidR="009C2AFE" w:rsidRPr="009B0DF9">
        <w:rPr>
          <w:rStyle w:val="Hyperlink"/>
          <w:rFonts w:ascii="Arial" w:hAnsi="Arial" w:cs="Arial"/>
          <w:sz w:val="18"/>
          <w:szCs w:val="18"/>
        </w:rPr>
        <w:t>www.cclswa.org.au</w:t>
      </w:r>
    </w:hyperlink>
    <w:r w:rsidR="00600A81">
      <w:rPr>
        <w:rStyle w:val="Hyperlink"/>
        <w:rFonts w:ascii="Arial" w:hAnsi="Arial" w:cs="Arial"/>
        <w:color w:val="auto"/>
        <w:sz w:val="18"/>
        <w:szCs w:val="18"/>
        <w:u w:val="none"/>
      </w:rPr>
      <w:tab/>
    </w:r>
    <w:r w:rsidR="00600A81">
      <w:rPr>
        <w:rStyle w:val="Hyperlink"/>
        <w:rFonts w:ascii="Arial" w:hAnsi="Arial" w:cs="Arial"/>
        <w:color w:val="auto"/>
        <w:sz w:val="18"/>
        <w:szCs w:val="18"/>
        <w:u w:val="none"/>
      </w:rPr>
      <w:tab/>
    </w:r>
    <w:r w:rsidR="00600A81">
      <w:rPr>
        <w:rStyle w:val="Hyperlink"/>
        <w:rFonts w:ascii="Arial" w:hAnsi="Arial" w:cs="Arial"/>
        <w:color w:val="auto"/>
        <w:sz w:val="18"/>
        <w:szCs w:val="18"/>
        <w:u w:val="none"/>
      </w:rPr>
      <w:tab/>
    </w:r>
    <w:r w:rsidR="00600A81">
      <w:rPr>
        <w:rStyle w:val="Hyperlink"/>
        <w:rFonts w:ascii="Arial" w:hAnsi="Arial" w:cs="Arial"/>
        <w:color w:val="auto"/>
        <w:sz w:val="18"/>
        <w:szCs w:val="18"/>
        <w:u w:val="none"/>
      </w:rPr>
      <w:tab/>
    </w:r>
    <w:r w:rsidR="00600A81">
      <w:rPr>
        <w:rStyle w:val="Hyperlink"/>
        <w:rFonts w:ascii="Arial" w:hAnsi="Arial" w:cs="Arial"/>
        <w:color w:val="auto"/>
        <w:sz w:val="18"/>
        <w:szCs w:val="18"/>
        <w:u w:val="none"/>
      </w:rPr>
      <w:tab/>
    </w:r>
    <w:r w:rsidR="00600A81">
      <w:rPr>
        <w:rStyle w:val="Hyperlink"/>
        <w:rFonts w:ascii="Arial" w:hAnsi="Arial" w:cs="Arial"/>
        <w:color w:val="auto"/>
        <w:sz w:val="18"/>
        <w:szCs w:val="18"/>
        <w:u w:val="none"/>
      </w:rPr>
      <w:tab/>
    </w:r>
    <w:r w:rsidR="00600A81">
      <w:rPr>
        <w:rStyle w:val="Hyperlink"/>
        <w:rFonts w:ascii="Arial" w:hAnsi="Arial" w:cs="Arial"/>
        <w:color w:val="auto"/>
        <w:sz w:val="18"/>
        <w:szCs w:val="18"/>
        <w:u w:val="none"/>
      </w:rPr>
      <w:tab/>
    </w:r>
    <w:r w:rsidR="00600A81">
      <w:rPr>
        <w:rStyle w:val="Hyperlink"/>
        <w:rFonts w:ascii="Arial" w:hAnsi="Arial" w:cs="Arial"/>
        <w:color w:val="auto"/>
        <w:sz w:val="18"/>
        <w:szCs w:val="18"/>
        <w:u w:val="none"/>
      </w:rPr>
      <w:tab/>
    </w:r>
    <w:r w:rsidR="009C2AFE" w:rsidRPr="009B0DF9">
      <w:rPr>
        <w:rFonts w:ascii="Arial" w:hAnsi="Arial" w:cs="Arial"/>
        <w:sz w:val="18"/>
        <w:szCs w:val="18"/>
      </w:rPr>
      <w:t>ABN 43 262 474 001</w:t>
    </w:r>
  </w:p>
  <w:p w:rsidR="009C2AFE" w:rsidRPr="00B95069" w:rsidRDefault="00386E24" w:rsidP="009C2AFE">
    <w:pPr>
      <w:spacing w:after="0" w:line="240" w:lineRule="auto"/>
      <w:jc w:val="center"/>
      <w:rPr>
        <w:rFonts w:ascii="Arial" w:hAnsi="Arial" w:cs="Arial"/>
        <w:sz w:val="18"/>
        <w:szCs w:val="18"/>
      </w:rPr>
    </w:pPr>
    <w:fldSimple w:instr=" FILENAME   \* MERGEFORMAT ">
      <w:r w:rsidR="00703B8F">
        <w:rPr>
          <w:rFonts w:ascii="Arial" w:hAnsi="Arial" w:cs="Arial"/>
          <w:noProof/>
          <w:sz w:val="18"/>
          <w:szCs w:val="18"/>
        </w:rPr>
        <w:t>112. Consumer Credit Legal Service (WA) .docx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EF8" w:rsidRDefault="00D84EF8" w:rsidP="00F3463F">
      <w:pPr>
        <w:spacing w:after="0" w:line="240" w:lineRule="auto"/>
      </w:pPr>
      <w:r>
        <w:separator/>
      </w:r>
    </w:p>
  </w:footnote>
  <w:footnote w:type="continuationSeparator" w:id="0">
    <w:p w:rsidR="00D84EF8" w:rsidRDefault="00D84EF8" w:rsidP="00F3463F">
      <w:pPr>
        <w:spacing w:after="0" w:line="240" w:lineRule="auto"/>
      </w:pPr>
      <w:r>
        <w:continuationSeparator/>
      </w:r>
    </w:p>
  </w:footnote>
  <w:footnote w:id="1">
    <w:p w:rsidR="00606EA4" w:rsidRPr="0068565F" w:rsidRDefault="00606EA4" w:rsidP="00606EA4">
      <w:pPr>
        <w:pStyle w:val="FootnoteText"/>
        <w:rPr>
          <w:rFonts w:ascii="Arial" w:hAnsi="Arial" w:cs="Arial"/>
          <w:sz w:val="18"/>
          <w:szCs w:val="18"/>
          <w:lang w:val="en-AU"/>
        </w:rPr>
      </w:pPr>
      <w:r w:rsidRPr="0068565F">
        <w:rPr>
          <w:rStyle w:val="FootnoteReference"/>
          <w:rFonts w:ascii="Arial" w:hAnsi="Arial" w:cs="Arial"/>
          <w:sz w:val="18"/>
          <w:szCs w:val="18"/>
        </w:rPr>
        <w:footnoteRef/>
      </w:r>
      <w:r w:rsidRPr="0068565F">
        <w:rPr>
          <w:rFonts w:ascii="Arial" w:hAnsi="Arial" w:cs="Arial"/>
          <w:sz w:val="18"/>
          <w:szCs w:val="18"/>
        </w:rPr>
        <w:t xml:space="preserve"> </w:t>
      </w:r>
      <w:proofErr w:type="gramStart"/>
      <w:r w:rsidRPr="0068565F">
        <w:rPr>
          <w:rFonts w:ascii="Arial" w:hAnsi="Arial" w:cs="Arial"/>
          <w:sz w:val="18"/>
          <w:szCs w:val="18"/>
        </w:rPr>
        <w:t xml:space="preserve">Australian Institute of Family Studies, </w:t>
      </w:r>
      <w:r w:rsidRPr="0068565F">
        <w:rPr>
          <w:rFonts w:ascii="Arial" w:hAnsi="Arial" w:cs="Arial"/>
          <w:i/>
          <w:sz w:val="18"/>
          <w:szCs w:val="18"/>
        </w:rPr>
        <w:t>Family Matters Issue 37: Abuse and Neglect of Older People</w:t>
      </w:r>
      <w:r w:rsidRPr="0068565F">
        <w:rPr>
          <w:rFonts w:ascii="Arial" w:hAnsi="Arial" w:cs="Arial"/>
          <w:sz w:val="18"/>
          <w:szCs w:val="18"/>
        </w:rPr>
        <w:t xml:space="preserve"> (1994) &lt;</w:t>
      </w:r>
      <w:hyperlink r:id="rId1" w:history="1">
        <w:r w:rsidRPr="0068565F">
          <w:rPr>
            <w:rStyle w:val="Hyperlink"/>
            <w:rFonts w:ascii="Arial" w:hAnsi="Arial" w:cs="Arial"/>
            <w:sz w:val="18"/>
            <w:szCs w:val="18"/>
          </w:rPr>
          <w:t>https://aifs.gov.au/publications/family-matters/issue-37/abuse-and-neglect-older-people</w:t>
        </w:r>
      </w:hyperlink>
      <w:r w:rsidRPr="0068565F">
        <w:rPr>
          <w:rStyle w:val="Hyperlink"/>
          <w:rFonts w:ascii="Arial" w:hAnsi="Arial" w:cs="Arial"/>
          <w:sz w:val="18"/>
          <w:szCs w:val="18"/>
        </w:rPr>
        <w:t>&gt;</w:t>
      </w:r>
      <w:r w:rsidRPr="0068565F">
        <w:rPr>
          <w:rFonts w:ascii="Arial" w:hAnsi="Arial" w:cs="Arial"/>
          <w:sz w:val="18"/>
          <w:szCs w:val="18"/>
        </w:rPr>
        <w:t>.</w:t>
      </w:r>
      <w:proofErr w:type="gramEnd"/>
      <w:r w:rsidRPr="0068565F">
        <w:rPr>
          <w:rFonts w:ascii="Arial" w:hAnsi="Arial" w:cs="Arial"/>
          <w:sz w:val="18"/>
          <w:szCs w:val="18"/>
        </w:rPr>
        <w:t xml:space="preserve"> See also Financial Ombudsman Service, </w:t>
      </w:r>
      <w:r w:rsidRPr="0068565F">
        <w:rPr>
          <w:rFonts w:ascii="Arial" w:hAnsi="Arial" w:cs="Arial"/>
          <w:i/>
          <w:sz w:val="18"/>
          <w:szCs w:val="18"/>
        </w:rPr>
        <w:t>Bulletin 56: Financial Abuse of the Vulnerable Older Person</w:t>
      </w:r>
      <w:r w:rsidRPr="0068565F">
        <w:rPr>
          <w:rFonts w:ascii="Arial" w:hAnsi="Arial" w:cs="Arial"/>
          <w:sz w:val="18"/>
          <w:szCs w:val="18"/>
        </w:rPr>
        <w:t xml:space="preserve"> (2007) &lt;https://www.fos.org.au/custom/files/docs/fos_banking_finance_bulletin_56.pdf&gt;</w:t>
      </w:r>
    </w:p>
  </w:footnote>
  <w:footnote w:id="2">
    <w:p w:rsidR="001B35BF" w:rsidRPr="0068565F" w:rsidRDefault="001B35BF">
      <w:pPr>
        <w:pStyle w:val="FootnoteText"/>
        <w:rPr>
          <w:rFonts w:ascii="Arial" w:hAnsi="Arial" w:cs="Arial"/>
          <w:sz w:val="18"/>
          <w:szCs w:val="18"/>
          <w:lang w:val="en-AU"/>
        </w:rPr>
      </w:pPr>
      <w:r w:rsidRPr="0068565F">
        <w:rPr>
          <w:rStyle w:val="FootnoteReference"/>
          <w:rFonts w:ascii="Arial" w:hAnsi="Arial" w:cs="Arial"/>
          <w:sz w:val="18"/>
          <w:szCs w:val="18"/>
        </w:rPr>
        <w:footnoteRef/>
      </w:r>
      <w:r w:rsidRPr="0068565F">
        <w:rPr>
          <w:rFonts w:ascii="Arial" w:hAnsi="Arial" w:cs="Arial"/>
          <w:sz w:val="18"/>
          <w:szCs w:val="18"/>
        </w:rPr>
        <w:t xml:space="preserve"> </w:t>
      </w:r>
      <w:r w:rsidRPr="0068565F">
        <w:rPr>
          <w:rFonts w:ascii="Arial" w:hAnsi="Arial" w:cs="Arial"/>
          <w:i/>
          <w:iCs/>
          <w:color w:val="000000"/>
          <w:sz w:val="18"/>
          <w:szCs w:val="18"/>
          <w:shd w:val="clear" w:color="auto" w:fill="FFFFFF"/>
        </w:rPr>
        <w:t>Australian Guarantee Corporation Ltd v McClelland</w:t>
      </w:r>
      <w:r w:rsidRPr="0068565F">
        <w:rPr>
          <w:rStyle w:val="apple-converted-space"/>
          <w:rFonts w:ascii="Arial" w:hAnsi="Arial" w:cs="Arial"/>
          <w:color w:val="000000"/>
          <w:sz w:val="18"/>
          <w:szCs w:val="18"/>
          <w:shd w:val="clear" w:color="auto" w:fill="FFFFFF"/>
        </w:rPr>
        <w:t> </w:t>
      </w:r>
      <w:r w:rsidRPr="00B95069">
        <w:rPr>
          <w:rFonts w:ascii="Arial" w:hAnsi="Arial" w:cs="Arial"/>
          <w:sz w:val="18"/>
          <w:szCs w:val="18"/>
          <w:shd w:val="clear" w:color="auto" w:fill="FFFFFF"/>
        </w:rPr>
        <w:t>[1993] ASC 56-230</w:t>
      </w:r>
      <w:r w:rsidRPr="0068565F">
        <w:rPr>
          <w:rFonts w:ascii="Arial" w:hAnsi="Arial" w:cs="Arial"/>
          <w:sz w:val="18"/>
          <w:szCs w:val="18"/>
        </w:rPr>
        <w:t xml:space="preserve">, </w:t>
      </w:r>
      <w:r w:rsidRPr="0068565F">
        <w:rPr>
          <w:rFonts w:ascii="Arial" w:hAnsi="Arial" w:cs="Arial"/>
          <w:i/>
          <w:iCs/>
          <w:color w:val="000000"/>
          <w:sz w:val="18"/>
          <w:szCs w:val="18"/>
          <w:shd w:val="clear" w:color="auto" w:fill="FFFFFF"/>
        </w:rPr>
        <w:t xml:space="preserve">Royal Bank of Scotland plc v </w:t>
      </w:r>
      <w:proofErr w:type="spellStart"/>
      <w:r w:rsidRPr="0068565F">
        <w:rPr>
          <w:rFonts w:ascii="Arial" w:hAnsi="Arial" w:cs="Arial"/>
          <w:i/>
          <w:iCs/>
          <w:color w:val="000000"/>
          <w:sz w:val="18"/>
          <w:szCs w:val="18"/>
          <w:shd w:val="clear" w:color="auto" w:fill="FFFFFF"/>
        </w:rPr>
        <w:t>Etridge</w:t>
      </w:r>
      <w:proofErr w:type="spellEnd"/>
      <w:r w:rsidRPr="0068565F">
        <w:rPr>
          <w:rStyle w:val="apple-converted-space"/>
          <w:rFonts w:ascii="Arial" w:hAnsi="Arial" w:cs="Arial"/>
          <w:color w:val="000000"/>
          <w:sz w:val="18"/>
          <w:szCs w:val="18"/>
          <w:shd w:val="clear" w:color="auto" w:fill="FFFFFF"/>
        </w:rPr>
        <w:t> </w:t>
      </w:r>
      <w:r w:rsidRPr="0068565F">
        <w:rPr>
          <w:rFonts w:ascii="Arial" w:hAnsi="Arial" w:cs="Arial"/>
          <w:i/>
          <w:iCs/>
          <w:color w:val="000000"/>
          <w:sz w:val="18"/>
          <w:szCs w:val="18"/>
          <w:shd w:val="clear" w:color="auto" w:fill="FFFFFF"/>
        </w:rPr>
        <w:t>[No 2]</w:t>
      </w:r>
      <w:r w:rsidRPr="0068565F">
        <w:rPr>
          <w:rStyle w:val="apple-converted-space"/>
          <w:rFonts w:ascii="Arial" w:hAnsi="Arial" w:cs="Arial"/>
          <w:color w:val="000000"/>
          <w:sz w:val="18"/>
          <w:szCs w:val="18"/>
          <w:shd w:val="clear" w:color="auto" w:fill="FFFFFF"/>
        </w:rPr>
        <w:t> </w:t>
      </w:r>
      <w:r w:rsidRPr="00B95069">
        <w:rPr>
          <w:rFonts w:ascii="Arial" w:hAnsi="Arial" w:cs="Arial"/>
          <w:sz w:val="18"/>
          <w:szCs w:val="18"/>
          <w:shd w:val="clear" w:color="auto" w:fill="FFFFFF"/>
        </w:rPr>
        <w:t>[2001] UKHL 44</w:t>
      </w:r>
      <w:r w:rsidRPr="0068565F">
        <w:rPr>
          <w:rFonts w:ascii="Arial" w:hAnsi="Arial" w:cs="Arial"/>
          <w:sz w:val="18"/>
          <w:szCs w:val="18"/>
        </w:rPr>
        <w:t xml:space="preserve">, see generally, Fiona Burns, “Undue Influence Inter </w:t>
      </w:r>
      <w:proofErr w:type="spellStart"/>
      <w:r w:rsidRPr="0068565F">
        <w:rPr>
          <w:rFonts w:ascii="Arial" w:hAnsi="Arial" w:cs="Arial"/>
          <w:sz w:val="18"/>
          <w:szCs w:val="18"/>
        </w:rPr>
        <w:t>Vivos</w:t>
      </w:r>
      <w:proofErr w:type="spellEnd"/>
      <w:r w:rsidRPr="0068565F">
        <w:rPr>
          <w:rFonts w:ascii="Arial" w:hAnsi="Arial" w:cs="Arial"/>
          <w:sz w:val="18"/>
          <w:szCs w:val="18"/>
        </w:rPr>
        <w:t xml:space="preserve"> and the Elderly” (2002) 26(3) </w:t>
      </w:r>
      <w:r w:rsidRPr="0068565F">
        <w:rPr>
          <w:rFonts w:ascii="Arial" w:hAnsi="Arial" w:cs="Arial"/>
          <w:i/>
          <w:sz w:val="18"/>
          <w:szCs w:val="18"/>
        </w:rPr>
        <w:t>Melbourne University Law Review</w:t>
      </w:r>
      <w:r w:rsidRPr="0068565F">
        <w:rPr>
          <w:rFonts w:ascii="Arial" w:hAnsi="Arial" w:cs="Arial"/>
          <w:sz w:val="18"/>
          <w:szCs w:val="18"/>
        </w:rPr>
        <w:t xml:space="preserve"> 499</w:t>
      </w:r>
    </w:p>
  </w:footnote>
  <w:footnote w:id="3">
    <w:p w:rsidR="001B35BF" w:rsidRPr="0068565F" w:rsidRDefault="001B35BF">
      <w:pPr>
        <w:pStyle w:val="FootnoteText"/>
        <w:rPr>
          <w:rFonts w:ascii="Arial" w:hAnsi="Arial" w:cs="Arial"/>
          <w:sz w:val="18"/>
          <w:szCs w:val="18"/>
          <w:lang w:val="en-AU"/>
        </w:rPr>
      </w:pPr>
      <w:r w:rsidRPr="0068565F">
        <w:rPr>
          <w:rStyle w:val="FootnoteReference"/>
          <w:rFonts w:ascii="Arial" w:hAnsi="Arial" w:cs="Arial"/>
          <w:sz w:val="18"/>
          <w:szCs w:val="18"/>
        </w:rPr>
        <w:footnoteRef/>
      </w:r>
      <w:r w:rsidRPr="0068565F">
        <w:rPr>
          <w:rFonts w:ascii="Arial" w:hAnsi="Arial" w:cs="Arial"/>
          <w:sz w:val="18"/>
          <w:szCs w:val="18"/>
        </w:rPr>
        <w:t xml:space="preserve"> Office of the Public Advocate (Queensland) and Queensland Law Society, </w:t>
      </w:r>
      <w:r w:rsidRPr="0068565F">
        <w:rPr>
          <w:rFonts w:ascii="Arial" w:hAnsi="Arial" w:cs="Arial"/>
          <w:i/>
          <w:sz w:val="18"/>
          <w:szCs w:val="18"/>
        </w:rPr>
        <w:t>Elder Abuse: How Well Does the Law of Queensland Work?</w:t>
      </w:r>
      <w:r w:rsidRPr="0068565F">
        <w:rPr>
          <w:rFonts w:ascii="Arial" w:hAnsi="Arial" w:cs="Arial"/>
          <w:sz w:val="18"/>
          <w:szCs w:val="18"/>
        </w:rPr>
        <w:t xml:space="preserve"> (2010), Australian </w:t>
      </w:r>
      <w:r w:rsidR="0068565F" w:rsidRPr="0068565F">
        <w:rPr>
          <w:rFonts w:ascii="Arial" w:hAnsi="Arial" w:cs="Arial"/>
          <w:sz w:val="18"/>
          <w:szCs w:val="18"/>
        </w:rPr>
        <w:t>Institute</w:t>
      </w:r>
      <w:r w:rsidRPr="0068565F">
        <w:rPr>
          <w:rFonts w:ascii="Arial" w:hAnsi="Arial" w:cs="Arial"/>
          <w:sz w:val="18"/>
          <w:szCs w:val="18"/>
        </w:rPr>
        <w:t xml:space="preserve"> of Family Studies, </w:t>
      </w:r>
      <w:r w:rsidRPr="0068565F">
        <w:rPr>
          <w:rFonts w:ascii="Arial" w:hAnsi="Arial" w:cs="Arial"/>
          <w:i/>
          <w:sz w:val="18"/>
          <w:szCs w:val="18"/>
        </w:rPr>
        <w:t>Family Matters Issue 37: Abuse and Neglect of Older People</w:t>
      </w:r>
      <w:r w:rsidRPr="0068565F">
        <w:rPr>
          <w:rFonts w:ascii="Arial" w:hAnsi="Arial" w:cs="Arial"/>
          <w:sz w:val="18"/>
          <w:szCs w:val="18"/>
        </w:rPr>
        <w:t xml:space="preserve"> (1994) &lt;</w:t>
      </w:r>
      <w:hyperlink r:id="rId2" w:history="1">
        <w:r w:rsidRPr="0068565F">
          <w:rPr>
            <w:rStyle w:val="Hyperlink"/>
            <w:rFonts w:ascii="Arial" w:hAnsi="Arial" w:cs="Arial"/>
            <w:sz w:val="18"/>
            <w:szCs w:val="18"/>
          </w:rPr>
          <w:t>https://aifs.gov.au/publications/family-matters/issue-37/abuse-and-neglect-older-people</w:t>
        </w:r>
      </w:hyperlink>
      <w:r w:rsidRPr="0068565F">
        <w:rPr>
          <w:rStyle w:val="Hyperlink"/>
          <w:rFonts w:ascii="Arial" w:hAnsi="Arial" w:cs="Arial"/>
          <w:sz w:val="18"/>
          <w:szCs w:val="18"/>
        </w:rPr>
        <w:t>&gt;</w:t>
      </w:r>
    </w:p>
  </w:footnote>
  <w:footnote w:id="4">
    <w:p w:rsidR="001B35BF" w:rsidRPr="0068565F" w:rsidRDefault="001B35BF">
      <w:pPr>
        <w:pStyle w:val="FootnoteText"/>
        <w:rPr>
          <w:rFonts w:ascii="Arial" w:hAnsi="Arial" w:cs="Arial"/>
          <w:sz w:val="18"/>
          <w:szCs w:val="18"/>
          <w:lang w:val="en-AU"/>
        </w:rPr>
      </w:pPr>
      <w:r w:rsidRPr="0068565F">
        <w:rPr>
          <w:rStyle w:val="FootnoteReference"/>
          <w:rFonts w:ascii="Arial" w:hAnsi="Arial" w:cs="Arial"/>
          <w:sz w:val="18"/>
          <w:szCs w:val="18"/>
        </w:rPr>
        <w:footnoteRef/>
      </w:r>
      <w:r w:rsidRPr="0068565F">
        <w:rPr>
          <w:rFonts w:ascii="Arial" w:hAnsi="Arial" w:cs="Arial"/>
          <w:sz w:val="18"/>
          <w:szCs w:val="18"/>
        </w:rPr>
        <w:t xml:space="preserve"> Australian </w:t>
      </w:r>
      <w:r w:rsidR="0068565F" w:rsidRPr="0068565F">
        <w:rPr>
          <w:rFonts w:ascii="Arial" w:hAnsi="Arial" w:cs="Arial"/>
          <w:sz w:val="18"/>
          <w:szCs w:val="18"/>
        </w:rPr>
        <w:t>Institute</w:t>
      </w:r>
      <w:r w:rsidRPr="0068565F">
        <w:rPr>
          <w:rFonts w:ascii="Arial" w:hAnsi="Arial" w:cs="Arial"/>
          <w:sz w:val="18"/>
          <w:szCs w:val="18"/>
        </w:rPr>
        <w:t xml:space="preserve"> of Family Studies, </w:t>
      </w:r>
      <w:r w:rsidRPr="0068565F">
        <w:rPr>
          <w:rFonts w:ascii="Arial" w:hAnsi="Arial" w:cs="Arial"/>
          <w:i/>
          <w:sz w:val="18"/>
          <w:szCs w:val="18"/>
        </w:rPr>
        <w:t>Family Matters Issue 37: Abuse and Neglect of Older People</w:t>
      </w:r>
      <w:r w:rsidRPr="0068565F">
        <w:rPr>
          <w:rFonts w:ascii="Arial" w:hAnsi="Arial" w:cs="Arial"/>
          <w:sz w:val="18"/>
          <w:szCs w:val="18"/>
        </w:rPr>
        <w:t xml:space="preserve"> (1994) &lt;</w:t>
      </w:r>
      <w:hyperlink r:id="rId3" w:history="1">
        <w:r w:rsidRPr="0068565F">
          <w:rPr>
            <w:rStyle w:val="Hyperlink"/>
            <w:rFonts w:ascii="Arial" w:hAnsi="Arial" w:cs="Arial"/>
            <w:sz w:val="18"/>
            <w:szCs w:val="18"/>
          </w:rPr>
          <w:t>https://aifs.gov.au/publications/family-matters/issue-37/abuse-and-neglect-older-people</w:t>
        </w:r>
      </w:hyperlink>
      <w:r w:rsidRPr="0068565F">
        <w:rPr>
          <w:rStyle w:val="Hyperlink"/>
          <w:rFonts w:ascii="Arial" w:hAnsi="Arial" w:cs="Arial"/>
          <w:sz w:val="18"/>
          <w:szCs w:val="18"/>
        </w:rPr>
        <w:t>&gt;</w:t>
      </w:r>
    </w:p>
  </w:footnote>
  <w:footnote w:id="5">
    <w:p w:rsidR="001B35BF" w:rsidRPr="00A50C9C" w:rsidRDefault="001B35BF">
      <w:pPr>
        <w:pStyle w:val="FootnoteText"/>
        <w:rPr>
          <w:lang w:val="en-AU"/>
        </w:rPr>
      </w:pPr>
      <w:r w:rsidRPr="0068565F">
        <w:rPr>
          <w:rStyle w:val="FootnoteReference"/>
          <w:rFonts w:ascii="Arial" w:hAnsi="Arial" w:cs="Arial"/>
          <w:sz w:val="18"/>
          <w:szCs w:val="18"/>
        </w:rPr>
        <w:footnoteRef/>
      </w:r>
      <w:r w:rsidRPr="0068565F">
        <w:rPr>
          <w:rFonts w:ascii="Arial" w:hAnsi="Arial" w:cs="Arial"/>
          <w:sz w:val="18"/>
          <w:szCs w:val="18"/>
        </w:rPr>
        <w:t xml:space="preserve"> Sheri Gibson, Under</w:t>
      </w:r>
      <w:r w:rsidRPr="0068565F">
        <w:rPr>
          <w:rFonts w:ascii="Arial" w:hAnsi="Arial" w:cs="Arial"/>
          <w:sz w:val="18"/>
          <w:szCs w:val="18"/>
          <w:lang w:val="en-AU"/>
        </w:rPr>
        <w:t>standing Underreporting of Financial Abuse: Can Data Support the Assumptions? (PhD Dissertation, University of Colorado at Colorado Springs, 2013) page 13</w:t>
      </w:r>
    </w:p>
  </w:footnote>
  <w:footnote w:id="6">
    <w:p w:rsidR="001B35BF" w:rsidRPr="0068565F" w:rsidRDefault="001B35BF">
      <w:pPr>
        <w:pStyle w:val="FootnoteText"/>
        <w:rPr>
          <w:rFonts w:ascii="Arial" w:hAnsi="Arial" w:cs="Arial"/>
          <w:sz w:val="18"/>
          <w:szCs w:val="18"/>
          <w:lang w:val="en-GB"/>
        </w:rPr>
      </w:pPr>
      <w:r w:rsidRPr="0068565F">
        <w:rPr>
          <w:rStyle w:val="FootnoteReference"/>
          <w:rFonts w:ascii="Arial" w:hAnsi="Arial" w:cs="Arial"/>
          <w:sz w:val="18"/>
          <w:szCs w:val="18"/>
        </w:rPr>
        <w:footnoteRef/>
      </w:r>
      <w:r w:rsidRPr="0068565F">
        <w:rPr>
          <w:rFonts w:ascii="Arial" w:hAnsi="Arial" w:cs="Arial"/>
          <w:sz w:val="18"/>
          <w:szCs w:val="18"/>
        </w:rPr>
        <w:t xml:space="preserve"> House of Commons (UK) Health Committee, </w:t>
      </w:r>
      <w:r w:rsidRPr="0068565F">
        <w:rPr>
          <w:rFonts w:ascii="Arial" w:hAnsi="Arial" w:cs="Arial"/>
          <w:i/>
          <w:sz w:val="18"/>
          <w:szCs w:val="18"/>
        </w:rPr>
        <w:t xml:space="preserve">Elder Abuse, </w:t>
      </w:r>
      <w:r w:rsidRPr="0068565F">
        <w:rPr>
          <w:rFonts w:ascii="Arial" w:hAnsi="Arial" w:cs="Arial"/>
          <w:sz w:val="18"/>
          <w:szCs w:val="18"/>
        </w:rPr>
        <w:t>20 April 2004, Sheri Gibson, Under</w:t>
      </w:r>
      <w:r w:rsidRPr="0068565F">
        <w:rPr>
          <w:rFonts w:ascii="Arial" w:hAnsi="Arial" w:cs="Arial"/>
          <w:sz w:val="18"/>
          <w:szCs w:val="18"/>
          <w:lang w:val="en-AU"/>
        </w:rPr>
        <w:t xml:space="preserve">standing Underreporting of Financial Abuse: Can Data Support the Assumptions? (PhD Dissertation, University of Colorado at Colorado Springs, 2013), </w:t>
      </w:r>
      <w:r w:rsidRPr="0068565F">
        <w:rPr>
          <w:rFonts w:ascii="Arial" w:hAnsi="Arial" w:cs="Arial"/>
          <w:sz w:val="18"/>
          <w:szCs w:val="18"/>
        </w:rPr>
        <w:t xml:space="preserve">Office of the Public Advocate (Queensland) and Queensland Law Society, </w:t>
      </w:r>
      <w:r w:rsidRPr="0068565F">
        <w:rPr>
          <w:rFonts w:ascii="Arial" w:hAnsi="Arial" w:cs="Arial"/>
          <w:i/>
          <w:sz w:val="18"/>
          <w:szCs w:val="18"/>
        </w:rPr>
        <w:t>Elder Abuse: How Well Does the Law of Queensland Work?</w:t>
      </w:r>
      <w:r w:rsidRPr="0068565F">
        <w:rPr>
          <w:rFonts w:ascii="Arial" w:hAnsi="Arial" w:cs="Arial"/>
          <w:sz w:val="18"/>
          <w:szCs w:val="18"/>
        </w:rPr>
        <w:t xml:space="preserve"> (2010)</w:t>
      </w:r>
    </w:p>
  </w:footnote>
  <w:footnote w:id="7">
    <w:p w:rsidR="001B35BF" w:rsidRPr="0068565F" w:rsidRDefault="001B35BF">
      <w:pPr>
        <w:pStyle w:val="FootnoteText"/>
        <w:rPr>
          <w:rFonts w:ascii="Arial" w:hAnsi="Arial" w:cs="Arial"/>
          <w:sz w:val="18"/>
          <w:szCs w:val="18"/>
          <w:lang w:val="en-GB"/>
        </w:rPr>
      </w:pPr>
      <w:r w:rsidRPr="0068565F">
        <w:rPr>
          <w:rStyle w:val="FootnoteReference"/>
          <w:rFonts w:ascii="Arial" w:hAnsi="Arial" w:cs="Arial"/>
          <w:sz w:val="18"/>
          <w:szCs w:val="18"/>
        </w:rPr>
        <w:footnoteRef/>
      </w:r>
      <w:r w:rsidRPr="0068565F">
        <w:rPr>
          <w:rFonts w:ascii="Arial" w:hAnsi="Arial" w:cs="Arial"/>
          <w:sz w:val="18"/>
          <w:szCs w:val="18"/>
        </w:rPr>
        <w:t xml:space="preserve"> Priscilla Harries, Miranda </w:t>
      </w:r>
      <w:proofErr w:type="spellStart"/>
      <w:r w:rsidRPr="0068565F">
        <w:rPr>
          <w:rFonts w:ascii="Arial" w:hAnsi="Arial" w:cs="Arial"/>
          <w:sz w:val="18"/>
          <w:szCs w:val="18"/>
        </w:rPr>
        <w:t>Favies</w:t>
      </w:r>
      <w:proofErr w:type="spellEnd"/>
      <w:r w:rsidRPr="0068565F">
        <w:rPr>
          <w:rFonts w:ascii="Arial" w:hAnsi="Arial" w:cs="Arial"/>
          <w:sz w:val="18"/>
          <w:szCs w:val="18"/>
        </w:rPr>
        <w:t xml:space="preserve">, Ken </w:t>
      </w:r>
      <w:proofErr w:type="spellStart"/>
      <w:r w:rsidRPr="0068565F">
        <w:rPr>
          <w:rFonts w:ascii="Arial" w:hAnsi="Arial" w:cs="Arial"/>
          <w:sz w:val="18"/>
          <w:szCs w:val="18"/>
        </w:rPr>
        <w:t>Gilhooly</w:t>
      </w:r>
      <w:proofErr w:type="spellEnd"/>
      <w:r w:rsidRPr="0068565F">
        <w:rPr>
          <w:rFonts w:ascii="Arial" w:hAnsi="Arial" w:cs="Arial"/>
          <w:sz w:val="18"/>
          <w:szCs w:val="18"/>
        </w:rPr>
        <w:t xml:space="preserve">, Mary </w:t>
      </w:r>
      <w:proofErr w:type="spellStart"/>
      <w:r w:rsidRPr="0068565F">
        <w:rPr>
          <w:rFonts w:ascii="Arial" w:hAnsi="Arial" w:cs="Arial"/>
          <w:sz w:val="18"/>
          <w:szCs w:val="18"/>
        </w:rPr>
        <w:t>Gilhooly</w:t>
      </w:r>
      <w:proofErr w:type="spellEnd"/>
      <w:r w:rsidRPr="0068565F">
        <w:rPr>
          <w:rFonts w:ascii="Arial" w:hAnsi="Arial" w:cs="Arial"/>
          <w:sz w:val="18"/>
          <w:szCs w:val="18"/>
        </w:rPr>
        <w:t xml:space="preserve"> and Christopher Tomlinson, “Educating novice practitioners to detect elder financial abuse: a randomized controlled trial” (2014) </w:t>
      </w:r>
      <w:r w:rsidRPr="0068565F">
        <w:rPr>
          <w:rFonts w:ascii="Arial" w:hAnsi="Arial" w:cs="Arial"/>
          <w:i/>
          <w:sz w:val="18"/>
          <w:szCs w:val="18"/>
        </w:rPr>
        <w:t>BMC Medical Education</w:t>
      </w:r>
      <w:r w:rsidRPr="0068565F">
        <w:rPr>
          <w:rFonts w:ascii="Arial" w:hAnsi="Arial" w:cs="Arial"/>
          <w:sz w:val="18"/>
          <w:szCs w:val="18"/>
        </w:rPr>
        <w:t xml:space="preserve"> 14</w:t>
      </w:r>
    </w:p>
  </w:footnote>
  <w:footnote w:id="8">
    <w:p w:rsidR="001B35BF" w:rsidRPr="0068565F" w:rsidRDefault="001B35BF">
      <w:pPr>
        <w:pStyle w:val="FootnoteText"/>
        <w:rPr>
          <w:rFonts w:ascii="Arial" w:hAnsi="Arial" w:cs="Arial"/>
          <w:sz w:val="18"/>
          <w:szCs w:val="18"/>
          <w:lang w:val="en-GB"/>
        </w:rPr>
      </w:pPr>
      <w:r w:rsidRPr="0068565F">
        <w:rPr>
          <w:rStyle w:val="FootnoteReference"/>
          <w:rFonts w:ascii="Arial" w:hAnsi="Arial" w:cs="Arial"/>
          <w:sz w:val="18"/>
          <w:szCs w:val="18"/>
        </w:rPr>
        <w:footnoteRef/>
      </w:r>
      <w:r w:rsidRPr="0068565F">
        <w:rPr>
          <w:rFonts w:ascii="Arial" w:hAnsi="Arial" w:cs="Arial"/>
          <w:sz w:val="18"/>
          <w:szCs w:val="18"/>
        </w:rPr>
        <w:t xml:space="preserve"> Australian Bankers’ Association, </w:t>
      </w:r>
      <w:r w:rsidRPr="0068565F">
        <w:rPr>
          <w:rFonts w:ascii="Arial" w:hAnsi="Arial" w:cs="Arial"/>
          <w:i/>
          <w:sz w:val="18"/>
          <w:szCs w:val="18"/>
        </w:rPr>
        <w:t xml:space="preserve">Protecting Vulnerable Customers from Potential Financial Abuse, </w:t>
      </w:r>
      <w:r w:rsidRPr="0068565F">
        <w:rPr>
          <w:rFonts w:ascii="Arial" w:hAnsi="Arial" w:cs="Arial"/>
          <w:sz w:val="18"/>
          <w:szCs w:val="18"/>
        </w:rPr>
        <w:t>December 2014</w:t>
      </w:r>
    </w:p>
  </w:footnote>
  <w:footnote w:id="9">
    <w:p w:rsidR="001B35BF" w:rsidRPr="0068565F" w:rsidRDefault="001B35BF">
      <w:pPr>
        <w:pStyle w:val="FootnoteText"/>
        <w:rPr>
          <w:rFonts w:ascii="Arial" w:hAnsi="Arial" w:cs="Arial"/>
          <w:sz w:val="18"/>
          <w:szCs w:val="18"/>
          <w:lang w:val="en-GB"/>
        </w:rPr>
      </w:pPr>
      <w:r w:rsidRPr="0068565F">
        <w:rPr>
          <w:rStyle w:val="FootnoteReference"/>
          <w:rFonts w:ascii="Arial" w:hAnsi="Arial" w:cs="Arial"/>
          <w:sz w:val="18"/>
          <w:szCs w:val="18"/>
        </w:rPr>
        <w:footnoteRef/>
      </w:r>
      <w:r w:rsidRPr="0068565F">
        <w:rPr>
          <w:rFonts w:ascii="Arial" w:hAnsi="Arial" w:cs="Arial"/>
          <w:sz w:val="18"/>
          <w:szCs w:val="18"/>
        </w:rPr>
        <w:t xml:space="preserve"> Australian Bankers’ Association, </w:t>
      </w:r>
      <w:r w:rsidRPr="0068565F">
        <w:rPr>
          <w:rFonts w:ascii="Arial" w:hAnsi="Arial" w:cs="Arial"/>
          <w:i/>
          <w:sz w:val="18"/>
          <w:szCs w:val="18"/>
        </w:rPr>
        <w:t xml:space="preserve">Protecting Vulnerable Customers from Potential Financial Abuse, </w:t>
      </w:r>
      <w:r w:rsidRPr="0068565F">
        <w:rPr>
          <w:rFonts w:ascii="Arial" w:hAnsi="Arial" w:cs="Arial"/>
          <w:sz w:val="18"/>
          <w:szCs w:val="18"/>
        </w:rPr>
        <w:t>December 2014, Page 4</w:t>
      </w:r>
    </w:p>
  </w:footnote>
  <w:footnote w:id="10">
    <w:p w:rsidR="001B35BF" w:rsidRPr="00E94EDE" w:rsidRDefault="001B35BF">
      <w:pPr>
        <w:pStyle w:val="FootnoteText"/>
        <w:rPr>
          <w:lang w:val="en-GB"/>
        </w:rPr>
      </w:pPr>
      <w:r w:rsidRPr="0068565F">
        <w:rPr>
          <w:rStyle w:val="FootnoteReference"/>
          <w:rFonts w:ascii="Arial" w:hAnsi="Arial" w:cs="Arial"/>
          <w:sz w:val="18"/>
          <w:szCs w:val="18"/>
        </w:rPr>
        <w:footnoteRef/>
      </w:r>
      <w:r w:rsidRPr="0068565F">
        <w:rPr>
          <w:rFonts w:ascii="Arial" w:hAnsi="Arial" w:cs="Arial"/>
          <w:sz w:val="18"/>
          <w:szCs w:val="18"/>
        </w:rPr>
        <w:t xml:space="preserve"> Consider the </w:t>
      </w:r>
      <w:proofErr w:type="spellStart"/>
      <w:r w:rsidRPr="0068565F">
        <w:rPr>
          <w:rFonts w:ascii="Arial" w:hAnsi="Arial" w:cs="Arial"/>
          <w:sz w:val="18"/>
          <w:szCs w:val="18"/>
        </w:rPr>
        <w:t>Langdons</w:t>
      </w:r>
      <w:proofErr w:type="spellEnd"/>
      <w:r w:rsidRPr="0068565F">
        <w:rPr>
          <w:rFonts w:ascii="Arial" w:hAnsi="Arial" w:cs="Arial"/>
          <w:sz w:val="18"/>
          <w:szCs w:val="18"/>
        </w:rPr>
        <w:t>, see Figure 2. Having a lawyer provide independent legal advice without their son being present was insufficient to change their desire to help their son and it is unlikely that a bank employee would change the result</w:t>
      </w:r>
    </w:p>
  </w:footnote>
  <w:footnote w:id="11">
    <w:p w:rsidR="001B35BF" w:rsidRPr="0068565F" w:rsidRDefault="001B35BF">
      <w:pPr>
        <w:pStyle w:val="FootnoteText"/>
        <w:rPr>
          <w:rFonts w:ascii="Arial" w:hAnsi="Arial" w:cs="Arial"/>
          <w:sz w:val="18"/>
          <w:szCs w:val="18"/>
          <w:lang w:val="en-GB"/>
        </w:rPr>
      </w:pPr>
      <w:r w:rsidRPr="0068565F">
        <w:rPr>
          <w:rStyle w:val="FootnoteReference"/>
          <w:rFonts w:ascii="Arial" w:hAnsi="Arial" w:cs="Arial"/>
          <w:sz w:val="18"/>
          <w:szCs w:val="18"/>
        </w:rPr>
        <w:footnoteRef/>
      </w:r>
      <w:r w:rsidRPr="0068565F">
        <w:rPr>
          <w:rFonts w:ascii="Arial" w:hAnsi="Arial" w:cs="Arial"/>
          <w:sz w:val="18"/>
          <w:szCs w:val="18"/>
        </w:rPr>
        <w:t xml:space="preserve"> Anthony Gilbert, David Stanley, Bridget </w:t>
      </w:r>
      <w:proofErr w:type="spellStart"/>
      <w:r w:rsidRPr="0068565F">
        <w:rPr>
          <w:rFonts w:ascii="Arial" w:hAnsi="Arial" w:cs="Arial"/>
          <w:sz w:val="18"/>
          <w:szCs w:val="18"/>
        </w:rPr>
        <w:t>Penhale</w:t>
      </w:r>
      <w:proofErr w:type="spellEnd"/>
      <w:r w:rsidRPr="0068565F">
        <w:rPr>
          <w:rFonts w:ascii="Arial" w:hAnsi="Arial" w:cs="Arial"/>
          <w:sz w:val="18"/>
          <w:szCs w:val="18"/>
        </w:rPr>
        <w:t xml:space="preserve"> and Mary </w:t>
      </w:r>
      <w:proofErr w:type="spellStart"/>
      <w:r w:rsidRPr="0068565F">
        <w:rPr>
          <w:rFonts w:ascii="Arial" w:hAnsi="Arial" w:cs="Arial"/>
          <w:sz w:val="18"/>
          <w:szCs w:val="18"/>
        </w:rPr>
        <w:t>Gilhooly</w:t>
      </w:r>
      <w:proofErr w:type="spellEnd"/>
      <w:r w:rsidRPr="0068565F">
        <w:rPr>
          <w:rFonts w:ascii="Arial" w:hAnsi="Arial" w:cs="Arial"/>
          <w:sz w:val="18"/>
          <w:szCs w:val="18"/>
        </w:rPr>
        <w:t xml:space="preserve">, “Elder Financial Abuse in England: a policy analysis perspective related to social care and banking” (2013) 15(3) </w:t>
      </w:r>
      <w:r w:rsidRPr="0068565F">
        <w:rPr>
          <w:rFonts w:ascii="Arial" w:hAnsi="Arial" w:cs="Arial"/>
          <w:i/>
          <w:sz w:val="18"/>
          <w:szCs w:val="18"/>
        </w:rPr>
        <w:t>Journal of Adult Protection</w:t>
      </w:r>
      <w:r w:rsidRPr="0068565F">
        <w:rPr>
          <w:rFonts w:ascii="Arial" w:hAnsi="Arial" w:cs="Arial"/>
          <w:sz w:val="18"/>
          <w:szCs w:val="18"/>
        </w:rPr>
        <w:t xml:space="preserve"> 153, Charles Pratt, “Banks’ Effectiveness at Reporting Financial Abuse of Elders: An Assessment and Recommendations for Improvements in California”, (2003) 40(1) </w:t>
      </w:r>
      <w:r w:rsidRPr="0068565F">
        <w:rPr>
          <w:rFonts w:ascii="Arial" w:hAnsi="Arial" w:cs="Arial"/>
          <w:i/>
          <w:sz w:val="18"/>
          <w:szCs w:val="18"/>
        </w:rPr>
        <w:t>California Western Law Review</w:t>
      </w:r>
      <w:r w:rsidRPr="0068565F">
        <w:rPr>
          <w:rFonts w:ascii="Arial" w:hAnsi="Arial" w:cs="Arial"/>
          <w:sz w:val="18"/>
          <w:szCs w:val="18"/>
        </w:rPr>
        <w:t xml:space="preserve"> 195</w:t>
      </w:r>
    </w:p>
  </w:footnote>
  <w:footnote w:id="12">
    <w:p w:rsidR="001B35BF" w:rsidRPr="0068565F" w:rsidRDefault="001B35BF">
      <w:pPr>
        <w:pStyle w:val="FootnoteText"/>
        <w:rPr>
          <w:rFonts w:ascii="Arial" w:hAnsi="Arial" w:cs="Arial"/>
          <w:sz w:val="18"/>
          <w:szCs w:val="18"/>
          <w:lang w:val="en-GB"/>
        </w:rPr>
      </w:pPr>
      <w:r w:rsidRPr="0068565F">
        <w:rPr>
          <w:rStyle w:val="FootnoteReference"/>
          <w:rFonts w:ascii="Arial" w:hAnsi="Arial" w:cs="Arial"/>
          <w:sz w:val="18"/>
          <w:szCs w:val="18"/>
        </w:rPr>
        <w:footnoteRef/>
      </w:r>
      <w:r w:rsidRPr="0068565F">
        <w:rPr>
          <w:rFonts w:ascii="Arial" w:hAnsi="Arial" w:cs="Arial"/>
          <w:sz w:val="18"/>
          <w:szCs w:val="18"/>
        </w:rPr>
        <w:t xml:space="preserve"> See discussions in Office of the Public Advocate (Queensland) and Queensland Law Society, </w:t>
      </w:r>
      <w:r w:rsidRPr="0068565F">
        <w:rPr>
          <w:rFonts w:ascii="Arial" w:hAnsi="Arial" w:cs="Arial"/>
          <w:i/>
          <w:sz w:val="18"/>
          <w:szCs w:val="18"/>
        </w:rPr>
        <w:t>Elder Abuse: How Well Does the Law of Queensland Work?</w:t>
      </w:r>
      <w:r w:rsidRPr="0068565F">
        <w:rPr>
          <w:rFonts w:ascii="Arial" w:hAnsi="Arial" w:cs="Arial"/>
          <w:sz w:val="18"/>
          <w:szCs w:val="18"/>
        </w:rPr>
        <w:t xml:space="preserve"> (2010), Charles Pratt, “Banks’ Effectiveness at Reporting Financial Abuse of Elders: An Assessment and Recommendations for Improvements in California”, (2003) 40(1) </w:t>
      </w:r>
      <w:r w:rsidRPr="0068565F">
        <w:rPr>
          <w:rFonts w:ascii="Arial" w:hAnsi="Arial" w:cs="Arial"/>
          <w:i/>
          <w:sz w:val="18"/>
          <w:szCs w:val="18"/>
        </w:rPr>
        <w:t>California Western Law Review</w:t>
      </w:r>
      <w:r w:rsidRPr="0068565F">
        <w:rPr>
          <w:rFonts w:ascii="Arial" w:hAnsi="Arial" w:cs="Arial"/>
          <w:sz w:val="18"/>
          <w:szCs w:val="18"/>
        </w:rPr>
        <w:t xml:space="preserve"> 195</w:t>
      </w:r>
    </w:p>
  </w:footnote>
  <w:footnote w:id="13">
    <w:p w:rsidR="001B35BF" w:rsidRPr="0068565F" w:rsidRDefault="001B35BF">
      <w:pPr>
        <w:pStyle w:val="FootnoteText"/>
        <w:rPr>
          <w:rFonts w:ascii="Arial" w:hAnsi="Arial" w:cs="Arial"/>
          <w:sz w:val="18"/>
          <w:szCs w:val="18"/>
          <w:lang w:val="en-GB"/>
        </w:rPr>
      </w:pPr>
      <w:r w:rsidRPr="0068565F">
        <w:rPr>
          <w:rStyle w:val="FootnoteReference"/>
          <w:rFonts w:ascii="Arial" w:hAnsi="Arial" w:cs="Arial"/>
          <w:sz w:val="18"/>
          <w:szCs w:val="18"/>
        </w:rPr>
        <w:footnoteRef/>
      </w:r>
      <w:r w:rsidRPr="0068565F">
        <w:rPr>
          <w:rFonts w:ascii="Arial" w:hAnsi="Arial" w:cs="Arial"/>
          <w:sz w:val="18"/>
          <w:szCs w:val="18"/>
        </w:rPr>
        <w:t xml:space="preserve"> Charles Pratt, “Banks’ Effectiveness at Reporting Financial Abuse of Elders: An Assessment and Recommendations for Improvements in California”, (2003) 40(1) </w:t>
      </w:r>
      <w:r w:rsidRPr="0068565F">
        <w:rPr>
          <w:rFonts w:ascii="Arial" w:hAnsi="Arial" w:cs="Arial"/>
          <w:i/>
          <w:sz w:val="18"/>
          <w:szCs w:val="18"/>
        </w:rPr>
        <w:t>California Western Law Review</w:t>
      </w:r>
      <w:r w:rsidRPr="0068565F">
        <w:rPr>
          <w:rFonts w:ascii="Arial" w:hAnsi="Arial" w:cs="Arial"/>
          <w:sz w:val="18"/>
          <w:szCs w:val="18"/>
        </w:rPr>
        <w:t xml:space="preserve"> 195</w:t>
      </w:r>
    </w:p>
  </w:footnote>
  <w:footnote w:id="14">
    <w:p w:rsidR="001B35BF" w:rsidRPr="007C377F" w:rsidRDefault="001B35BF">
      <w:pPr>
        <w:pStyle w:val="FootnoteText"/>
        <w:rPr>
          <w:lang w:val="en-GB"/>
        </w:rPr>
      </w:pPr>
      <w:r w:rsidRPr="0068565F">
        <w:rPr>
          <w:rStyle w:val="FootnoteReference"/>
          <w:rFonts w:ascii="Arial" w:hAnsi="Arial" w:cs="Arial"/>
          <w:sz w:val="18"/>
          <w:szCs w:val="18"/>
        </w:rPr>
        <w:footnoteRef/>
      </w:r>
      <w:r w:rsidRPr="0068565F">
        <w:rPr>
          <w:rFonts w:ascii="Arial" w:hAnsi="Arial" w:cs="Arial"/>
          <w:sz w:val="18"/>
          <w:szCs w:val="18"/>
        </w:rPr>
        <w:t xml:space="preserve"> Charles Pratt, “Banks’ Effectiveness at Reporting Financial Abuse of Elders: An Assessment and Recommendations for Improvements in California”, (2003) 40(1) </w:t>
      </w:r>
      <w:r w:rsidRPr="0068565F">
        <w:rPr>
          <w:rFonts w:ascii="Arial" w:hAnsi="Arial" w:cs="Arial"/>
          <w:i/>
          <w:sz w:val="18"/>
          <w:szCs w:val="18"/>
        </w:rPr>
        <w:t>California Western Law Review</w:t>
      </w:r>
      <w:r w:rsidRPr="0068565F">
        <w:rPr>
          <w:rFonts w:ascii="Arial" w:hAnsi="Arial" w:cs="Arial"/>
          <w:sz w:val="18"/>
          <w:szCs w:val="18"/>
        </w:rPr>
        <w:t xml:space="preserve"> 195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37" w:rsidRDefault="00A12037">
    <w:pPr>
      <w:pStyle w:val="Header"/>
    </w:pPr>
    <w:r w:rsidRPr="00652FB2">
      <w:rPr>
        <w:rFonts w:ascii="Arial" w:hAnsi="Arial" w:cs="Arial"/>
        <w:noProof/>
        <w:lang w:val="en-AU" w:eastAsia="en-AU"/>
      </w:rPr>
      <w:drawing>
        <wp:inline distT="0" distB="0" distL="0" distR="0">
          <wp:extent cx="1936865" cy="685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SWA Header - Copy.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6865" cy="6858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8AE"/>
    <w:multiLevelType w:val="hybridMultilevel"/>
    <w:tmpl w:val="C1AC7C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15EED"/>
    <w:multiLevelType w:val="hybridMultilevel"/>
    <w:tmpl w:val="0034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B426F"/>
    <w:multiLevelType w:val="hybridMultilevel"/>
    <w:tmpl w:val="32C62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52E96"/>
    <w:multiLevelType w:val="hybridMultilevel"/>
    <w:tmpl w:val="A2BE0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B446E"/>
    <w:multiLevelType w:val="hybridMultilevel"/>
    <w:tmpl w:val="43544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A7404"/>
    <w:multiLevelType w:val="hybridMultilevel"/>
    <w:tmpl w:val="CD1EA592"/>
    <w:lvl w:ilvl="0" w:tplc="74487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C7E65"/>
    <w:multiLevelType w:val="hybridMultilevel"/>
    <w:tmpl w:val="F44CC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D71EBE"/>
    <w:multiLevelType w:val="hybridMultilevel"/>
    <w:tmpl w:val="0DFE1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2"/>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5B34B3"/>
    <w:rsid w:val="00021D26"/>
    <w:rsid w:val="00041C65"/>
    <w:rsid w:val="00041DA5"/>
    <w:rsid w:val="00066643"/>
    <w:rsid w:val="000809EF"/>
    <w:rsid w:val="00091EC9"/>
    <w:rsid w:val="00092AD7"/>
    <w:rsid w:val="000A4F56"/>
    <w:rsid w:val="000B6042"/>
    <w:rsid w:val="000D2D8E"/>
    <w:rsid w:val="000D53DD"/>
    <w:rsid w:val="000E240C"/>
    <w:rsid w:val="00112A65"/>
    <w:rsid w:val="00122020"/>
    <w:rsid w:val="001250F5"/>
    <w:rsid w:val="00127711"/>
    <w:rsid w:val="00127BDC"/>
    <w:rsid w:val="0015449A"/>
    <w:rsid w:val="001B35BF"/>
    <w:rsid w:val="001C3201"/>
    <w:rsid w:val="001C5855"/>
    <w:rsid w:val="002349D8"/>
    <w:rsid w:val="002609C2"/>
    <w:rsid w:val="002712B3"/>
    <w:rsid w:val="00291CE8"/>
    <w:rsid w:val="00296AD5"/>
    <w:rsid w:val="0030477F"/>
    <w:rsid w:val="00306941"/>
    <w:rsid w:val="003072F5"/>
    <w:rsid w:val="003124FB"/>
    <w:rsid w:val="003541A0"/>
    <w:rsid w:val="00355F8A"/>
    <w:rsid w:val="00356D6F"/>
    <w:rsid w:val="00386E24"/>
    <w:rsid w:val="00392640"/>
    <w:rsid w:val="003A0BCE"/>
    <w:rsid w:val="003E29A3"/>
    <w:rsid w:val="00423BD2"/>
    <w:rsid w:val="00446E39"/>
    <w:rsid w:val="0045162C"/>
    <w:rsid w:val="00476BA2"/>
    <w:rsid w:val="004771B1"/>
    <w:rsid w:val="00496194"/>
    <w:rsid w:val="00502E27"/>
    <w:rsid w:val="0053161C"/>
    <w:rsid w:val="00547D0F"/>
    <w:rsid w:val="005564D0"/>
    <w:rsid w:val="00570E0E"/>
    <w:rsid w:val="00583538"/>
    <w:rsid w:val="005954CA"/>
    <w:rsid w:val="005A6D2A"/>
    <w:rsid w:val="005B34B3"/>
    <w:rsid w:val="005C4C5A"/>
    <w:rsid w:val="00600A81"/>
    <w:rsid w:val="00606EA4"/>
    <w:rsid w:val="006404F8"/>
    <w:rsid w:val="0064371C"/>
    <w:rsid w:val="00644271"/>
    <w:rsid w:val="00652FB2"/>
    <w:rsid w:val="0067065F"/>
    <w:rsid w:val="0068565F"/>
    <w:rsid w:val="00692CD4"/>
    <w:rsid w:val="00693B2C"/>
    <w:rsid w:val="006A7669"/>
    <w:rsid w:val="006B0A34"/>
    <w:rsid w:val="006C2771"/>
    <w:rsid w:val="006E4763"/>
    <w:rsid w:val="00703B8F"/>
    <w:rsid w:val="00705015"/>
    <w:rsid w:val="007240A2"/>
    <w:rsid w:val="007338D7"/>
    <w:rsid w:val="007665A1"/>
    <w:rsid w:val="0076798A"/>
    <w:rsid w:val="007871A0"/>
    <w:rsid w:val="0079365B"/>
    <w:rsid w:val="007C377F"/>
    <w:rsid w:val="007C6006"/>
    <w:rsid w:val="007D1D35"/>
    <w:rsid w:val="00810A44"/>
    <w:rsid w:val="0085109B"/>
    <w:rsid w:val="008517E4"/>
    <w:rsid w:val="00864D6B"/>
    <w:rsid w:val="0088283E"/>
    <w:rsid w:val="008905CA"/>
    <w:rsid w:val="008B1534"/>
    <w:rsid w:val="008B5977"/>
    <w:rsid w:val="008C780C"/>
    <w:rsid w:val="008D60ED"/>
    <w:rsid w:val="00932FE4"/>
    <w:rsid w:val="0094749A"/>
    <w:rsid w:val="009641AF"/>
    <w:rsid w:val="00991EC4"/>
    <w:rsid w:val="009A2FDB"/>
    <w:rsid w:val="009A64E0"/>
    <w:rsid w:val="009B7FEB"/>
    <w:rsid w:val="009C2AFE"/>
    <w:rsid w:val="00A038B1"/>
    <w:rsid w:val="00A12037"/>
    <w:rsid w:val="00A204A8"/>
    <w:rsid w:val="00A50C9C"/>
    <w:rsid w:val="00A60517"/>
    <w:rsid w:val="00A637D2"/>
    <w:rsid w:val="00A65ECB"/>
    <w:rsid w:val="00A87E0D"/>
    <w:rsid w:val="00AB3AE3"/>
    <w:rsid w:val="00AE1E44"/>
    <w:rsid w:val="00B033CE"/>
    <w:rsid w:val="00B57A63"/>
    <w:rsid w:val="00B61FBA"/>
    <w:rsid w:val="00B64BBB"/>
    <w:rsid w:val="00B8525D"/>
    <w:rsid w:val="00B9471D"/>
    <w:rsid w:val="00B95069"/>
    <w:rsid w:val="00BB09BB"/>
    <w:rsid w:val="00BD3CB0"/>
    <w:rsid w:val="00C201D4"/>
    <w:rsid w:val="00C318C9"/>
    <w:rsid w:val="00C4294F"/>
    <w:rsid w:val="00C64E40"/>
    <w:rsid w:val="00CB0CC2"/>
    <w:rsid w:val="00CB24EB"/>
    <w:rsid w:val="00CB7C95"/>
    <w:rsid w:val="00CD44B1"/>
    <w:rsid w:val="00CD4F2C"/>
    <w:rsid w:val="00CE6C95"/>
    <w:rsid w:val="00CF32C7"/>
    <w:rsid w:val="00D20761"/>
    <w:rsid w:val="00D73097"/>
    <w:rsid w:val="00D84EF8"/>
    <w:rsid w:val="00D861D0"/>
    <w:rsid w:val="00D9795D"/>
    <w:rsid w:val="00DD23BA"/>
    <w:rsid w:val="00DE740E"/>
    <w:rsid w:val="00DF5080"/>
    <w:rsid w:val="00E129FA"/>
    <w:rsid w:val="00E134D6"/>
    <w:rsid w:val="00E33D2E"/>
    <w:rsid w:val="00E4095C"/>
    <w:rsid w:val="00E57CEA"/>
    <w:rsid w:val="00E94EDE"/>
    <w:rsid w:val="00EB3A97"/>
    <w:rsid w:val="00EC22A1"/>
    <w:rsid w:val="00EC7E16"/>
    <w:rsid w:val="00F23704"/>
    <w:rsid w:val="00F3463F"/>
    <w:rsid w:val="00F52EBD"/>
    <w:rsid w:val="00F629A6"/>
    <w:rsid w:val="00F7036E"/>
    <w:rsid w:val="00FB2C64"/>
    <w:rsid w:val="00FE2A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37D2"/>
    <w:pPr>
      <w:ind w:left="720"/>
      <w:contextualSpacing/>
    </w:pPr>
    <w:rPr>
      <w:lang w:val="en-AU"/>
    </w:rPr>
  </w:style>
  <w:style w:type="paragraph" w:styleId="FootnoteText">
    <w:name w:val="footnote text"/>
    <w:basedOn w:val="Normal"/>
    <w:link w:val="FootnoteTextChar"/>
    <w:uiPriority w:val="99"/>
    <w:semiHidden/>
    <w:unhideWhenUsed/>
    <w:rsid w:val="00F346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63F"/>
    <w:rPr>
      <w:sz w:val="20"/>
      <w:szCs w:val="20"/>
    </w:rPr>
  </w:style>
  <w:style w:type="character" w:styleId="FootnoteReference">
    <w:name w:val="footnote reference"/>
    <w:basedOn w:val="DefaultParagraphFont"/>
    <w:uiPriority w:val="99"/>
    <w:semiHidden/>
    <w:unhideWhenUsed/>
    <w:rsid w:val="00F3463F"/>
    <w:rPr>
      <w:vertAlign w:val="superscript"/>
    </w:rPr>
  </w:style>
  <w:style w:type="character" w:styleId="Hyperlink">
    <w:name w:val="Hyperlink"/>
    <w:basedOn w:val="DefaultParagraphFont"/>
    <w:uiPriority w:val="99"/>
    <w:unhideWhenUsed/>
    <w:rsid w:val="00C4294F"/>
    <w:rPr>
      <w:color w:val="0000FF" w:themeColor="hyperlink"/>
      <w:u w:val="single"/>
    </w:rPr>
  </w:style>
  <w:style w:type="paragraph" w:styleId="BalloonText">
    <w:name w:val="Balloon Text"/>
    <w:basedOn w:val="Normal"/>
    <w:link w:val="BalloonTextChar"/>
    <w:uiPriority w:val="99"/>
    <w:semiHidden/>
    <w:unhideWhenUsed/>
    <w:rsid w:val="00E13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4D6"/>
    <w:rPr>
      <w:rFonts w:ascii="Tahoma" w:hAnsi="Tahoma" w:cs="Tahoma"/>
      <w:sz w:val="16"/>
      <w:szCs w:val="16"/>
    </w:rPr>
  </w:style>
  <w:style w:type="character" w:styleId="FollowedHyperlink">
    <w:name w:val="FollowedHyperlink"/>
    <w:basedOn w:val="DefaultParagraphFont"/>
    <w:uiPriority w:val="99"/>
    <w:semiHidden/>
    <w:unhideWhenUsed/>
    <w:rsid w:val="00EC7E16"/>
    <w:rPr>
      <w:color w:val="800080" w:themeColor="followedHyperlink"/>
      <w:u w:val="single"/>
    </w:rPr>
  </w:style>
  <w:style w:type="character" w:customStyle="1" w:styleId="apple-converted-space">
    <w:name w:val="apple-converted-space"/>
    <w:basedOn w:val="DefaultParagraphFont"/>
    <w:rsid w:val="0030477F"/>
  </w:style>
  <w:style w:type="character" w:styleId="CommentReference">
    <w:name w:val="annotation reference"/>
    <w:basedOn w:val="DefaultParagraphFont"/>
    <w:uiPriority w:val="99"/>
    <w:semiHidden/>
    <w:unhideWhenUsed/>
    <w:rsid w:val="00DE740E"/>
    <w:rPr>
      <w:sz w:val="16"/>
      <w:szCs w:val="16"/>
    </w:rPr>
  </w:style>
  <w:style w:type="paragraph" w:styleId="CommentText">
    <w:name w:val="annotation text"/>
    <w:basedOn w:val="Normal"/>
    <w:link w:val="CommentTextChar"/>
    <w:uiPriority w:val="99"/>
    <w:semiHidden/>
    <w:unhideWhenUsed/>
    <w:rsid w:val="00DE740E"/>
    <w:pPr>
      <w:spacing w:line="240" w:lineRule="auto"/>
    </w:pPr>
    <w:rPr>
      <w:sz w:val="20"/>
      <w:szCs w:val="20"/>
    </w:rPr>
  </w:style>
  <w:style w:type="character" w:customStyle="1" w:styleId="CommentTextChar">
    <w:name w:val="Comment Text Char"/>
    <w:basedOn w:val="DefaultParagraphFont"/>
    <w:link w:val="CommentText"/>
    <w:uiPriority w:val="99"/>
    <w:semiHidden/>
    <w:rsid w:val="00DE740E"/>
    <w:rPr>
      <w:sz w:val="20"/>
      <w:szCs w:val="20"/>
    </w:rPr>
  </w:style>
  <w:style w:type="paragraph" w:styleId="CommentSubject">
    <w:name w:val="annotation subject"/>
    <w:basedOn w:val="CommentText"/>
    <w:next w:val="CommentText"/>
    <w:link w:val="CommentSubjectChar"/>
    <w:uiPriority w:val="99"/>
    <w:semiHidden/>
    <w:unhideWhenUsed/>
    <w:rsid w:val="00DE740E"/>
    <w:rPr>
      <w:b/>
      <w:bCs/>
    </w:rPr>
  </w:style>
  <w:style w:type="character" w:customStyle="1" w:styleId="CommentSubjectChar">
    <w:name w:val="Comment Subject Char"/>
    <w:basedOn w:val="CommentTextChar"/>
    <w:link w:val="CommentSubject"/>
    <w:uiPriority w:val="99"/>
    <w:semiHidden/>
    <w:rsid w:val="00DE740E"/>
    <w:rPr>
      <w:b/>
      <w:bCs/>
      <w:sz w:val="20"/>
      <w:szCs w:val="20"/>
    </w:rPr>
  </w:style>
  <w:style w:type="paragraph" w:styleId="Revision">
    <w:name w:val="Revision"/>
    <w:hidden/>
    <w:uiPriority w:val="99"/>
    <w:semiHidden/>
    <w:rsid w:val="00DE740E"/>
    <w:pPr>
      <w:spacing w:after="0" w:line="240" w:lineRule="auto"/>
    </w:pPr>
  </w:style>
  <w:style w:type="paragraph" w:styleId="Header">
    <w:name w:val="header"/>
    <w:basedOn w:val="Normal"/>
    <w:link w:val="HeaderChar"/>
    <w:uiPriority w:val="99"/>
    <w:unhideWhenUsed/>
    <w:rsid w:val="00502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E27"/>
  </w:style>
  <w:style w:type="paragraph" w:styleId="Footer">
    <w:name w:val="footer"/>
    <w:basedOn w:val="Normal"/>
    <w:link w:val="FooterChar"/>
    <w:uiPriority w:val="99"/>
    <w:unhideWhenUsed/>
    <w:rsid w:val="00502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37D2"/>
    <w:pPr>
      <w:ind w:left="720"/>
      <w:contextualSpacing/>
    </w:pPr>
    <w:rPr>
      <w:lang w:val="en-AU"/>
    </w:rPr>
  </w:style>
  <w:style w:type="paragraph" w:styleId="FootnoteText">
    <w:name w:val="footnote text"/>
    <w:basedOn w:val="Normal"/>
    <w:link w:val="FootnoteTextChar"/>
    <w:uiPriority w:val="99"/>
    <w:semiHidden/>
    <w:unhideWhenUsed/>
    <w:rsid w:val="00F346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63F"/>
    <w:rPr>
      <w:sz w:val="20"/>
      <w:szCs w:val="20"/>
    </w:rPr>
  </w:style>
  <w:style w:type="character" w:styleId="FootnoteReference">
    <w:name w:val="footnote reference"/>
    <w:basedOn w:val="DefaultParagraphFont"/>
    <w:uiPriority w:val="99"/>
    <w:semiHidden/>
    <w:unhideWhenUsed/>
    <w:rsid w:val="00F3463F"/>
    <w:rPr>
      <w:vertAlign w:val="superscript"/>
    </w:rPr>
  </w:style>
  <w:style w:type="character" w:styleId="Hyperlink">
    <w:name w:val="Hyperlink"/>
    <w:basedOn w:val="DefaultParagraphFont"/>
    <w:uiPriority w:val="99"/>
    <w:unhideWhenUsed/>
    <w:rsid w:val="00C4294F"/>
    <w:rPr>
      <w:color w:val="0000FF" w:themeColor="hyperlink"/>
      <w:u w:val="single"/>
    </w:rPr>
  </w:style>
  <w:style w:type="paragraph" w:styleId="BalloonText">
    <w:name w:val="Balloon Text"/>
    <w:basedOn w:val="Normal"/>
    <w:link w:val="BalloonTextChar"/>
    <w:uiPriority w:val="99"/>
    <w:semiHidden/>
    <w:unhideWhenUsed/>
    <w:rsid w:val="00E13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4D6"/>
    <w:rPr>
      <w:rFonts w:ascii="Tahoma" w:hAnsi="Tahoma" w:cs="Tahoma"/>
      <w:sz w:val="16"/>
      <w:szCs w:val="16"/>
    </w:rPr>
  </w:style>
  <w:style w:type="character" w:styleId="FollowedHyperlink">
    <w:name w:val="FollowedHyperlink"/>
    <w:basedOn w:val="DefaultParagraphFont"/>
    <w:uiPriority w:val="99"/>
    <w:semiHidden/>
    <w:unhideWhenUsed/>
    <w:rsid w:val="00EC7E16"/>
    <w:rPr>
      <w:color w:val="800080" w:themeColor="followedHyperlink"/>
      <w:u w:val="single"/>
    </w:rPr>
  </w:style>
  <w:style w:type="character" w:customStyle="1" w:styleId="apple-converted-space">
    <w:name w:val="apple-converted-space"/>
    <w:basedOn w:val="DefaultParagraphFont"/>
    <w:rsid w:val="0030477F"/>
  </w:style>
  <w:style w:type="character" w:styleId="CommentReference">
    <w:name w:val="annotation reference"/>
    <w:basedOn w:val="DefaultParagraphFont"/>
    <w:uiPriority w:val="99"/>
    <w:semiHidden/>
    <w:unhideWhenUsed/>
    <w:rsid w:val="00DE740E"/>
    <w:rPr>
      <w:sz w:val="16"/>
      <w:szCs w:val="16"/>
    </w:rPr>
  </w:style>
  <w:style w:type="paragraph" w:styleId="CommentText">
    <w:name w:val="annotation text"/>
    <w:basedOn w:val="Normal"/>
    <w:link w:val="CommentTextChar"/>
    <w:uiPriority w:val="99"/>
    <w:semiHidden/>
    <w:unhideWhenUsed/>
    <w:rsid w:val="00DE740E"/>
    <w:pPr>
      <w:spacing w:line="240" w:lineRule="auto"/>
    </w:pPr>
    <w:rPr>
      <w:sz w:val="20"/>
      <w:szCs w:val="20"/>
    </w:rPr>
  </w:style>
  <w:style w:type="character" w:customStyle="1" w:styleId="CommentTextChar">
    <w:name w:val="Comment Text Char"/>
    <w:basedOn w:val="DefaultParagraphFont"/>
    <w:link w:val="CommentText"/>
    <w:uiPriority w:val="99"/>
    <w:semiHidden/>
    <w:rsid w:val="00DE740E"/>
    <w:rPr>
      <w:sz w:val="20"/>
      <w:szCs w:val="20"/>
    </w:rPr>
  </w:style>
  <w:style w:type="paragraph" w:styleId="CommentSubject">
    <w:name w:val="annotation subject"/>
    <w:basedOn w:val="CommentText"/>
    <w:next w:val="CommentText"/>
    <w:link w:val="CommentSubjectChar"/>
    <w:uiPriority w:val="99"/>
    <w:semiHidden/>
    <w:unhideWhenUsed/>
    <w:rsid w:val="00DE740E"/>
    <w:rPr>
      <w:b/>
      <w:bCs/>
    </w:rPr>
  </w:style>
  <w:style w:type="character" w:customStyle="1" w:styleId="CommentSubjectChar">
    <w:name w:val="Comment Subject Char"/>
    <w:basedOn w:val="CommentTextChar"/>
    <w:link w:val="CommentSubject"/>
    <w:uiPriority w:val="99"/>
    <w:semiHidden/>
    <w:rsid w:val="00DE740E"/>
    <w:rPr>
      <w:b/>
      <w:bCs/>
      <w:sz w:val="20"/>
      <w:szCs w:val="20"/>
    </w:rPr>
  </w:style>
  <w:style w:type="paragraph" w:styleId="Revision">
    <w:name w:val="Revision"/>
    <w:hidden/>
    <w:uiPriority w:val="99"/>
    <w:semiHidden/>
    <w:rsid w:val="00DE740E"/>
    <w:pPr>
      <w:spacing w:after="0" w:line="240" w:lineRule="auto"/>
    </w:pPr>
  </w:style>
  <w:style w:type="paragraph" w:styleId="Header">
    <w:name w:val="header"/>
    <w:basedOn w:val="Normal"/>
    <w:link w:val="HeaderChar"/>
    <w:uiPriority w:val="99"/>
    <w:unhideWhenUsed/>
    <w:rsid w:val="00502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E27"/>
  </w:style>
  <w:style w:type="paragraph" w:styleId="Footer">
    <w:name w:val="footer"/>
    <w:basedOn w:val="Normal"/>
    <w:link w:val="FooterChar"/>
    <w:uiPriority w:val="99"/>
    <w:unhideWhenUsed/>
    <w:rsid w:val="00502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E27"/>
  </w:style>
</w:styles>
</file>

<file path=word/webSettings.xml><?xml version="1.0" encoding="utf-8"?>
<w:webSettings xmlns:r="http://schemas.openxmlformats.org/officeDocument/2006/relationships" xmlns:w="http://schemas.openxmlformats.org/wordprocessingml/2006/main">
  <w:divs>
    <w:div w:id="233707597">
      <w:bodyDiv w:val="1"/>
      <w:marLeft w:val="0"/>
      <w:marRight w:val="0"/>
      <w:marTop w:val="0"/>
      <w:marBottom w:val="0"/>
      <w:divBdr>
        <w:top w:val="none" w:sz="0" w:space="0" w:color="auto"/>
        <w:left w:val="none" w:sz="0" w:space="0" w:color="auto"/>
        <w:bottom w:val="none" w:sz="0" w:space="0" w:color="auto"/>
        <w:right w:val="none" w:sz="0" w:space="0" w:color="auto"/>
      </w:divBdr>
    </w:div>
    <w:div w:id="361977526">
      <w:bodyDiv w:val="1"/>
      <w:marLeft w:val="0"/>
      <w:marRight w:val="0"/>
      <w:marTop w:val="0"/>
      <w:marBottom w:val="0"/>
      <w:divBdr>
        <w:top w:val="none" w:sz="0" w:space="0" w:color="auto"/>
        <w:left w:val="none" w:sz="0" w:space="0" w:color="auto"/>
        <w:bottom w:val="none" w:sz="0" w:space="0" w:color="auto"/>
        <w:right w:val="none" w:sz="0" w:space="0" w:color="auto"/>
      </w:divBdr>
    </w:div>
    <w:div w:id="562838852">
      <w:bodyDiv w:val="1"/>
      <w:marLeft w:val="0"/>
      <w:marRight w:val="0"/>
      <w:marTop w:val="0"/>
      <w:marBottom w:val="0"/>
      <w:divBdr>
        <w:top w:val="none" w:sz="0" w:space="0" w:color="auto"/>
        <w:left w:val="none" w:sz="0" w:space="0" w:color="auto"/>
        <w:bottom w:val="none" w:sz="0" w:space="0" w:color="auto"/>
        <w:right w:val="none" w:sz="0" w:space="0" w:color="auto"/>
      </w:divBdr>
    </w:div>
    <w:div w:id="1585719705">
      <w:bodyDiv w:val="1"/>
      <w:marLeft w:val="0"/>
      <w:marRight w:val="0"/>
      <w:marTop w:val="0"/>
      <w:marBottom w:val="0"/>
      <w:divBdr>
        <w:top w:val="none" w:sz="0" w:space="0" w:color="auto"/>
        <w:left w:val="none" w:sz="0" w:space="0" w:color="auto"/>
        <w:bottom w:val="none" w:sz="0" w:space="0" w:color="auto"/>
        <w:right w:val="none" w:sz="0" w:space="0" w:color="auto"/>
      </w:divBdr>
    </w:div>
    <w:div w:id="1693803553">
      <w:bodyDiv w:val="1"/>
      <w:marLeft w:val="0"/>
      <w:marRight w:val="0"/>
      <w:marTop w:val="0"/>
      <w:marBottom w:val="0"/>
      <w:divBdr>
        <w:top w:val="none" w:sz="0" w:space="0" w:color="auto"/>
        <w:left w:val="none" w:sz="0" w:space="0" w:color="auto"/>
        <w:bottom w:val="none" w:sz="0" w:space="0" w:color="auto"/>
        <w:right w:val="none" w:sz="0" w:space="0" w:color="auto"/>
      </w:divBdr>
    </w:div>
    <w:div w:id="200724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hyperlink" Target="http://www.cclswa.org.au" TargetMode="External"/><Relationship Id="rId1" Type="http://schemas.openxmlformats.org/officeDocument/2006/relationships/hyperlink" Target="mailto:info@cclswa.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ifs.gov.au/publications/family-matters/issue-37/abuse-and-neglect-older-people" TargetMode="External"/><Relationship Id="rId2" Type="http://schemas.openxmlformats.org/officeDocument/2006/relationships/hyperlink" Target="https://aifs.gov.au/publications/family-matters/issue-37/abuse-and-neglect-older-people" TargetMode="External"/><Relationship Id="rId1" Type="http://schemas.openxmlformats.org/officeDocument/2006/relationships/hyperlink" Target="https://aifs.gov.au/publications/family-matters/issue-37/abuse-and-neglect-older-peop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0E82-5C68-43DA-9906-8652BBCC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3417</Words>
  <Characters>19480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Paralegal 4</dc:creator>
  <cp:lastModifiedBy>marie-claire.muir</cp:lastModifiedBy>
  <cp:revision>2</cp:revision>
  <cp:lastPrinted>2016-08-18T23:06:00Z</cp:lastPrinted>
  <dcterms:created xsi:type="dcterms:W3CDTF">2016-08-29T01:45:00Z</dcterms:created>
  <dcterms:modified xsi:type="dcterms:W3CDTF">2016-08-29T01:45:00Z</dcterms:modified>
</cp:coreProperties>
</file>