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2724" w:rsidRDefault="00145670" w:rsidP="00145670">
      <w:pPr>
        <w:rPr>
          <w:sz w:val="52"/>
          <w:szCs w:val="28"/>
        </w:rPr>
      </w:pPr>
      <w:r w:rsidRPr="00145670">
        <w:rPr>
          <w:rFonts w:ascii="Tw Cen MT" w:eastAsia="MS PGothic" w:hAnsi="Tw Cen MT" w:cs="Times New Roman"/>
          <w:noProof/>
          <w:color w:val="000000"/>
          <w:szCs w:val="24"/>
          <w:lang w:eastAsia="en-AU"/>
        </w:rPr>
        <w:drawing>
          <wp:anchor distT="0" distB="0" distL="114300" distR="114300" simplePos="0" relativeHeight="251659264" behindDoc="1" locked="0" layoutInCell="1" allowOverlap="1">
            <wp:simplePos x="0" y="0"/>
            <wp:positionH relativeFrom="column">
              <wp:posOffset>495935</wp:posOffset>
            </wp:positionH>
            <wp:positionV relativeFrom="paragraph">
              <wp:posOffset>-73660</wp:posOffset>
            </wp:positionV>
            <wp:extent cx="2262505" cy="1058545"/>
            <wp:effectExtent l="0" t="0" r="0" b="8255"/>
            <wp:wrapNone/>
            <wp:docPr id="4" name="Picture 11" descr="Description: USY_MB1_RGB_1_Colour_Standard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USY_MB1_RGB_1_Colour_Standard_Logo.jp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62505" cy="1058545"/>
                    </a:xfrm>
                    <a:prstGeom prst="rect">
                      <a:avLst/>
                    </a:prstGeom>
                    <a:noFill/>
                    <a:ln>
                      <a:noFill/>
                    </a:ln>
                  </pic:spPr>
                </pic:pic>
              </a:graphicData>
            </a:graphic>
          </wp:anchor>
        </w:drawing>
      </w:r>
    </w:p>
    <w:p w:rsidR="00D02724" w:rsidRDefault="00D02724" w:rsidP="00C159F8">
      <w:pPr>
        <w:jc w:val="center"/>
        <w:rPr>
          <w:sz w:val="52"/>
          <w:szCs w:val="28"/>
        </w:rPr>
      </w:pPr>
    </w:p>
    <w:p w:rsidR="00145670" w:rsidRDefault="00145670" w:rsidP="00C159F8">
      <w:pPr>
        <w:jc w:val="center"/>
        <w:rPr>
          <w:sz w:val="52"/>
          <w:szCs w:val="28"/>
        </w:rPr>
      </w:pPr>
    </w:p>
    <w:p w:rsidR="0094443B" w:rsidRPr="0094443B" w:rsidRDefault="0094443B" w:rsidP="00C159F8">
      <w:pPr>
        <w:jc w:val="center"/>
        <w:rPr>
          <w:sz w:val="52"/>
          <w:szCs w:val="28"/>
        </w:rPr>
      </w:pPr>
      <w:r w:rsidRPr="0094443B">
        <w:rPr>
          <w:sz w:val="52"/>
          <w:szCs w:val="28"/>
        </w:rPr>
        <w:t>Traditional Rights and Freedoms – Encroachments by Commonwealth Laws</w:t>
      </w:r>
    </w:p>
    <w:p w:rsidR="0094443B" w:rsidRPr="0094443B" w:rsidRDefault="0094443B" w:rsidP="00C159F8">
      <w:pPr>
        <w:jc w:val="center"/>
        <w:rPr>
          <w:sz w:val="52"/>
          <w:szCs w:val="28"/>
        </w:rPr>
      </w:pPr>
    </w:p>
    <w:p w:rsidR="00C159F8" w:rsidRDefault="00C159F8" w:rsidP="00C159F8">
      <w:pPr>
        <w:jc w:val="center"/>
        <w:rPr>
          <w:sz w:val="52"/>
          <w:szCs w:val="28"/>
        </w:rPr>
      </w:pPr>
    </w:p>
    <w:p w:rsidR="0094443B" w:rsidRDefault="0094443B" w:rsidP="00C159F8">
      <w:pPr>
        <w:jc w:val="center"/>
        <w:rPr>
          <w:sz w:val="52"/>
          <w:szCs w:val="28"/>
        </w:rPr>
      </w:pPr>
    </w:p>
    <w:p w:rsidR="0094443B" w:rsidRDefault="00C159F8" w:rsidP="00C159F8">
      <w:pPr>
        <w:jc w:val="center"/>
        <w:rPr>
          <w:sz w:val="52"/>
          <w:szCs w:val="28"/>
        </w:rPr>
      </w:pPr>
      <w:r>
        <w:rPr>
          <w:sz w:val="52"/>
          <w:szCs w:val="28"/>
        </w:rPr>
        <w:t>Submission in r</w:t>
      </w:r>
      <w:r w:rsidRPr="00C159F8">
        <w:rPr>
          <w:sz w:val="52"/>
          <w:szCs w:val="28"/>
        </w:rPr>
        <w:t>esponse to the</w:t>
      </w:r>
      <w:r>
        <w:rPr>
          <w:sz w:val="52"/>
          <w:szCs w:val="28"/>
        </w:rPr>
        <w:t xml:space="preserve"> ALRC’s Interim Report 127</w:t>
      </w:r>
    </w:p>
    <w:p w:rsidR="0094443B" w:rsidRDefault="0094443B" w:rsidP="00C159F8">
      <w:pPr>
        <w:jc w:val="both"/>
        <w:rPr>
          <w:sz w:val="52"/>
          <w:szCs w:val="28"/>
        </w:rPr>
      </w:pPr>
    </w:p>
    <w:p w:rsidR="0094443B" w:rsidRDefault="0094443B" w:rsidP="00C159F8">
      <w:pPr>
        <w:jc w:val="both"/>
        <w:rPr>
          <w:sz w:val="52"/>
          <w:szCs w:val="28"/>
        </w:rPr>
      </w:pPr>
    </w:p>
    <w:p w:rsidR="00912A1D" w:rsidRPr="00912A1D" w:rsidRDefault="00912A1D" w:rsidP="00145670">
      <w:pPr>
        <w:jc w:val="center"/>
        <w:rPr>
          <w:sz w:val="32"/>
        </w:rPr>
      </w:pPr>
      <w:r w:rsidRPr="00912A1D">
        <w:rPr>
          <w:sz w:val="32"/>
        </w:rPr>
        <w:t>Ellen Moore, Musood Darwish and Dr Alison Pert</w:t>
      </w:r>
      <w:r w:rsidRPr="00912A1D">
        <w:rPr>
          <w:rStyle w:val="FootnoteReference"/>
          <w:sz w:val="32"/>
        </w:rPr>
        <w:footnoteReference w:id="1"/>
      </w:r>
    </w:p>
    <w:p w:rsidR="00C159F8" w:rsidRDefault="00C159F8" w:rsidP="00C159F8">
      <w:pPr>
        <w:jc w:val="both"/>
        <w:rPr>
          <w:b/>
          <w:sz w:val="28"/>
          <w:szCs w:val="24"/>
        </w:rPr>
      </w:pPr>
      <w:r>
        <w:rPr>
          <w:b/>
          <w:sz w:val="28"/>
          <w:szCs w:val="24"/>
        </w:rPr>
        <w:br w:type="page"/>
      </w:r>
    </w:p>
    <w:p w:rsidR="0094443B" w:rsidRPr="005065F7" w:rsidRDefault="009F44E4" w:rsidP="00C159F8">
      <w:pPr>
        <w:jc w:val="both"/>
        <w:rPr>
          <w:b/>
          <w:sz w:val="28"/>
          <w:szCs w:val="24"/>
        </w:rPr>
      </w:pPr>
      <w:r>
        <w:rPr>
          <w:b/>
          <w:sz w:val="28"/>
          <w:szCs w:val="24"/>
        </w:rPr>
        <w:lastRenderedPageBreak/>
        <w:t>Introduction</w:t>
      </w:r>
    </w:p>
    <w:p w:rsidR="005065F7" w:rsidRDefault="005065F7" w:rsidP="00C159F8">
      <w:pPr>
        <w:jc w:val="both"/>
        <w:rPr>
          <w:sz w:val="24"/>
          <w:szCs w:val="24"/>
        </w:rPr>
      </w:pPr>
      <w:r>
        <w:rPr>
          <w:sz w:val="24"/>
          <w:szCs w:val="24"/>
        </w:rPr>
        <w:t>This submission does not</w:t>
      </w:r>
      <w:r w:rsidR="00952498">
        <w:rPr>
          <w:sz w:val="24"/>
          <w:szCs w:val="24"/>
        </w:rPr>
        <w:t xml:space="preserve"> address each section of the </w:t>
      </w:r>
      <w:r w:rsidR="002870F9">
        <w:rPr>
          <w:sz w:val="24"/>
          <w:szCs w:val="24"/>
        </w:rPr>
        <w:t>Australian Law Reform Commission’s Interim Report 127 (“the Interim Report”)</w:t>
      </w:r>
      <w:r w:rsidR="00966D75">
        <w:rPr>
          <w:sz w:val="24"/>
          <w:szCs w:val="24"/>
        </w:rPr>
        <w:t>, but express</w:t>
      </w:r>
      <w:r w:rsidR="00C159F8">
        <w:rPr>
          <w:sz w:val="24"/>
          <w:szCs w:val="24"/>
        </w:rPr>
        <w:t>es</w:t>
      </w:r>
      <w:r w:rsidR="00966D75">
        <w:rPr>
          <w:sz w:val="24"/>
          <w:szCs w:val="24"/>
        </w:rPr>
        <w:t xml:space="preserve"> </w:t>
      </w:r>
      <w:r>
        <w:rPr>
          <w:sz w:val="24"/>
          <w:szCs w:val="24"/>
        </w:rPr>
        <w:t>concerns regarding one Commonwealth Act in particular</w:t>
      </w:r>
      <w:r w:rsidR="00952498">
        <w:rPr>
          <w:sz w:val="24"/>
          <w:szCs w:val="24"/>
        </w:rPr>
        <w:t xml:space="preserve"> </w:t>
      </w:r>
      <w:r>
        <w:rPr>
          <w:sz w:val="24"/>
          <w:szCs w:val="24"/>
        </w:rPr>
        <w:t xml:space="preserve">– the </w:t>
      </w:r>
      <w:r>
        <w:rPr>
          <w:i/>
          <w:sz w:val="24"/>
          <w:szCs w:val="24"/>
        </w:rPr>
        <w:t xml:space="preserve">Australian Border Force Act 2015 </w:t>
      </w:r>
      <w:r>
        <w:rPr>
          <w:sz w:val="24"/>
          <w:szCs w:val="24"/>
        </w:rPr>
        <w:t xml:space="preserve">(Cth) </w:t>
      </w:r>
      <w:r w:rsidR="00B21B57">
        <w:rPr>
          <w:sz w:val="24"/>
          <w:szCs w:val="24"/>
        </w:rPr>
        <w:t>(“</w:t>
      </w:r>
      <w:r>
        <w:rPr>
          <w:sz w:val="24"/>
          <w:szCs w:val="24"/>
        </w:rPr>
        <w:t>the Act</w:t>
      </w:r>
      <w:r w:rsidR="00B21B57">
        <w:rPr>
          <w:sz w:val="24"/>
          <w:szCs w:val="24"/>
        </w:rPr>
        <w:t>”)</w:t>
      </w:r>
      <w:r>
        <w:rPr>
          <w:sz w:val="24"/>
          <w:szCs w:val="24"/>
        </w:rPr>
        <w:t xml:space="preserve">. </w:t>
      </w:r>
      <w:r w:rsidR="002870F9">
        <w:rPr>
          <w:sz w:val="24"/>
          <w:szCs w:val="24"/>
        </w:rPr>
        <w:t>We</w:t>
      </w:r>
      <w:r w:rsidR="00B21B57" w:rsidRPr="00B21B57">
        <w:rPr>
          <w:sz w:val="24"/>
          <w:szCs w:val="24"/>
        </w:rPr>
        <w:t xml:space="preserve"> </w:t>
      </w:r>
      <w:r>
        <w:rPr>
          <w:sz w:val="24"/>
          <w:szCs w:val="24"/>
        </w:rPr>
        <w:t xml:space="preserve">consider </w:t>
      </w:r>
      <w:r w:rsidR="00B21B57">
        <w:rPr>
          <w:sz w:val="24"/>
          <w:szCs w:val="24"/>
        </w:rPr>
        <w:t>that</w:t>
      </w:r>
      <w:r>
        <w:rPr>
          <w:sz w:val="24"/>
          <w:szCs w:val="24"/>
        </w:rPr>
        <w:t xml:space="preserve"> the strict secrecy provisions in th</w:t>
      </w:r>
      <w:r w:rsidR="00C35C91">
        <w:rPr>
          <w:sz w:val="24"/>
          <w:szCs w:val="24"/>
        </w:rPr>
        <w:t xml:space="preserve">e </w:t>
      </w:r>
      <w:r>
        <w:rPr>
          <w:sz w:val="24"/>
          <w:szCs w:val="24"/>
        </w:rPr>
        <w:t xml:space="preserve">Act </w:t>
      </w:r>
      <w:r w:rsidR="00C35C91">
        <w:rPr>
          <w:sz w:val="24"/>
          <w:szCs w:val="24"/>
        </w:rPr>
        <w:t>encroach on traditional rights and freedoms</w:t>
      </w:r>
      <w:r w:rsidR="00B21B57">
        <w:rPr>
          <w:sz w:val="24"/>
          <w:szCs w:val="24"/>
        </w:rPr>
        <w:t xml:space="preserve">, and </w:t>
      </w:r>
      <w:r w:rsidR="00C35C91">
        <w:rPr>
          <w:sz w:val="24"/>
          <w:szCs w:val="24"/>
        </w:rPr>
        <w:t xml:space="preserve">in particular, </w:t>
      </w:r>
      <w:r w:rsidR="00B21B57">
        <w:rPr>
          <w:sz w:val="24"/>
          <w:szCs w:val="24"/>
        </w:rPr>
        <w:t>the freedom of speech</w:t>
      </w:r>
      <w:r w:rsidR="00B37D13">
        <w:rPr>
          <w:sz w:val="24"/>
          <w:szCs w:val="24"/>
        </w:rPr>
        <w:t>.</w:t>
      </w:r>
      <w:r w:rsidR="00C35C91">
        <w:rPr>
          <w:sz w:val="24"/>
          <w:szCs w:val="24"/>
        </w:rPr>
        <w:t xml:space="preserve"> </w:t>
      </w:r>
    </w:p>
    <w:p w:rsidR="00C35C91" w:rsidRDefault="00BF4CC7" w:rsidP="00C159F8">
      <w:pPr>
        <w:jc w:val="both"/>
        <w:rPr>
          <w:b/>
          <w:sz w:val="28"/>
          <w:szCs w:val="24"/>
        </w:rPr>
      </w:pPr>
      <w:r>
        <w:rPr>
          <w:b/>
          <w:sz w:val="28"/>
          <w:szCs w:val="24"/>
        </w:rPr>
        <w:t>Freedom of s</w:t>
      </w:r>
      <w:r w:rsidR="009F44E4">
        <w:rPr>
          <w:b/>
          <w:sz w:val="28"/>
          <w:szCs w:val="24"/>
        </w:rPr>
        <w:t>peech</w:t>
      </w:r>
    </w:p>
    <w:p w:rsidR="009F44E4" w:rsidRPr="009F44E4" w:rsidRDefault="009F44E4" w:rsidP="00C159F8">
      <w:pPr>
        <w:jc w:val="both"/>
        <w:rPr>
          <w:b/>
          <w:sz w:val="24"/>
          <w:szCs w:val="24"/>
        </w:rPr>
      </w:pPr>
      <w:r w:rsidRPr="009F44E4">
        <w:rPr>
          <w:b/>
          <w:sz w:val="24"/>
          <w:szCs w:val="24"/>
        </w:rPr>
        <w:t>International Law</w:t>
      </w:r>
    </w:p>
    <w:p w:rsidR="009F44E4" w:rsidRDefault="009F44E4" w:rsidP="00C159F8">
      <w:pPr>
        <w:jc w:val="both"/>
        <w:rPr>
          <w:sz w:val="24"/>
          <w:szCs w:val="24"/>
        </w:rPr>
      </w:pPr>
      <w:r w:rsidRPr="00B2300F">
        <w:rPr>
          <w:sz w:val="24"/>
          <w:szCs w:val="24"/>
        </w:rPr>
        <w:t>Freedom of expression is protected under international law.</w:t>
      </w:r>
      <w:r w:rsidR="00B21B57">
        <w:rPr>
          <w:sz w:val="24"/>
          <w:szCs w:val="24"/>
        </w:rPr>
        <w:t xml:space="preserve"> U</w:t>
      </w:r>
      <w:r w:rsidR="00FE0425">
        <w:rPr>
          <w:sz w:val="24"/>
          <w:szCs w:val="24"/>
        </w:rPr>
        <w:t>nder A</w:t>
      </w:r>
      <w:r w:rsidRPr="00B2300F">
        <w:rPr>
          <w:sz w:val="24"/>
          <w:szCs w:val="24"/>
        </w:rPr>
        <w:t xml:space="preserve">rticle 19 of the </w:t>
      </w:r>
      <w:r w:rsidRPr="00B2300F">
        <w:rPr>
          <w:i/>
          <w:sz w:val="24"/>
          <w:szCs w:val="24"/>
        </w:rPr>
        <w:t xml:space="preserve">International Covenant on Civil and Political Rights </w:t>
      </w:r>
      <w:r w:rsidRPr="00B2300F">
        <w:rPr>
          <w:sz w:val="24"/>
          <w:szCs w:val="24"/>
        </w:rPr>
        <w:t>(ICCPR),</w:t>
      </w:r>
      <w:r w:rsidR="00B21B57">
        <w:rPr>
          <w:sz w:val="24"/>
          <w:szCs w:val="24"/>
        </w:rPr>
        <w:t xml:space="preserve"> “</w:t>
      </w:r>
      <w:r w:rsidRPr="00B2300F">
        <w:rPr>
          <w:sz w:val="24"/>
          <w:szCs w:val="24"/>
        </w:rPr>
        <w:t>[e]veryone shall have the right to fre</w:t>
      </w:r>
      <w:r>
        <w:rPr>
          <w:sz w:val="24"/>
          <w:szCs w:val="24"/>
        </w:rPr>
        <w:t>edom of expression</w:t>
      </w:r>
      <w:r w:rsidR="00B21B57">
        <w:rPr>
          <w:sz w:val="24"/>
          <w:szCs w:val="24"/>
        </w:rPr>
        <w:t xml:space="preserve">” </w:t>
      </w:r>
      <w:r>
        <w:rPr>
          <w:sz w:val="24"/>
          <w:szCs w:val="24"/>
        </w:rPr>
        <w:t>including</w:t>
      </w:r>
      <w:r w:rsidR="00B21B57">
        <w:rPr>
          <w:sz w:val="24"/>
          <w:szCs w:val="24"/>
        </w:rPr>
        <w:t xml:space="preserve"> “</w:t>
      </w:r>
      <w:r w:rsidRPr="00B2300F">
        <w:rPr>
          <w:sz w:val="24"/>
          <w:szCs w:val="24"/>
        </w:rPr>
        <w:t>freedom to seek, receive and impart information and ideas of all kinds, regardless of frontiers</w:t>
      </w:r>
      <w:r w:rsidR="00B21B57">
        <w:rPr>
          <w:sz w:val="24"/>
          <w:szCs w:val="24"/>
        </w:rPr>
        <w:t>”.</w:t>
      </w:r>
      <w:r w:rsidRPr="00B2300F">
        <w:rPr>
          <w:rStyle w:val="FootnoteReference"/>
          <w:sz w:val="24"/>
          <w:szCs w:val="24"/>
        </w:rPr>
        <w:footnoteReference w:id="2"/>
      </w:r>
      <w:r w:rsidRPr="00B2300F">
        <w:rPr>
          <w:sz w:val="24"/>
          <w:szCs w:val="24"/>
        </w:rPr>
        <w:t xml:space="preserve"> However, this right may be subject to certain restrictions </w:t>
      </w:r>
      <w:r w:rsidR="00B21B57">
        <w:rPr>
          <w:sz w:val="24"/>
          <w:szCs w:val="24"/>
        </w:rPr>
        <w:t>– those that</w:t>
      </w:r>
      <w:r w:rsidRPr="00B2300F">
        <w:rPr>
          <w:sz w:val="24"/>
          <w:szCs w:val="24"/>
        </w:rPr>
        <w:t xml:space="preserve"> are provided by law and a</w:t>
      </w:r>
      <w:r w:rsidR="00B21B57">
        <w:rPr>
          <w:sz w:val="24"/>
          <w:szCs w:val="24"/>
        </w:rPr>
        <w:t>re</w:t>
      </w:r>
      <w:r w:rsidRPr="00B2300F">
        <w:rPr>
          <w:sz w:val="24"/>
          <w:szCs w:val="24"/>
        </w:rPr>
        <w:t xml:space="preserve"> necessary for the</w:t>
      </w:r>
      <w:r w:rsidR="00B21B57">
        <w:rPr>
          <w:sz w:val="24"/>
          <w:szCs w:val="24"/>
        </w:rPr>
        <w:t xml:space="preserve"> “</w:t>
      </w:r>
      <w:r w:rsidRPr="00B2300F">
        <w:rPr>
          <w:sz w:val="24"/>
          <w:szCs w:val="24"/>
        </w:rPr>
        <w:t xml:space="preserve">protection of national security or of public order </w:t>
      </w:r>
      <w:r w:rsidR="00B21B57">
        <w:rPr>
          <w:sz w:val="24"/>
          <w:szCs w:val="24"/>
        </w:rPr>
        <w:t>…</w:t>
      </w:r>
      <w:r w:rsidRPr="00B2300F">
        <w:rPr>
          <w:sz w:val="24"/>
          <w:szCs w:val="24"/>
        </w:rPr>
        <w:t xml:space="preserve"> public health or morals.</w:t>
      </w:r>
      <w:r w:rsidR="00B21B57">
        <w:rPr>
          <w:sz w:val="24"/>
          <w:szCs w:val="24"/>
        </w:rPr>
        <w:t>”</w:t>
      </w:r>
      <w:r w:rsidRPr="00B2300F">
        <w:rPr>
          <w:rStyle w:val="FootnoteReference"/>
          <w:sz w:val="24"/>
          <w:szCs w:val="24"/>
        </w:rPr>
        <w:footnoteReference w:id="3"/>
      </w:r>
    </w:p>
    <w:p w:rsidR="009F44E4" w:rsidRDefault="009F44E4" w:rsidP="00C159F8">
      <w:pPr>
        <w:jc w:val="both"/>
        <w:rPr>
          <w:sz w:val="24"/>
          <w:szCs w:val="24"/>
        </w:rPr>
      </w:pPr>
      <w:r>
        <w:rPr>
          <w:sz w:val="24"/>
          <w:szCs w:val="24"/>
        </w:rPr>
        <w:t xml:space="preserve">Australia is a party to the ICCPR, </w:t>
      </w:r>
      <w:r w:rsidR="00B21B57">
        <w:rPr>
          <w:sz w:val="24"/>
          <w:szCs w:val="24"/>
        </w:rPr>
        <w:t>but</w:t>
      </w:r>
      <w:r>
        <w:rPr>
          <w:sz w:val="24"/>
          <w:szCs w:val="24"/>
        </w:rPr>
        <w:t xml:space="preserve"> the ICCPR is not directly incorporated into Australian law.</w:t>
      </w:r>
      <w:r>
        <w:rPr>
          <w:rStyle w:val="FootnoteReference"/>
          <w:sz w:val="24"/>
          <w:szCs w:val="24"/>
        </w:rPr>
        <w:footnoteReference w:id="4"/>
      </w:r>
      <w:r>
        <w:rPr>
          <w:sz w:val="24"/>
          <w:szCs w:val="24"/>
        </w:rPr>
        <w:t xml:space="preserve">  Although international instruments cannot be invoked to</w:t>
      </w:r>
      <w:r w:rsidR="00B21B57">
        <w:rPr>
          <w:sz w:val="24"/>
          <w:szCs w:val="24"/>
        </w:rPr>
        <w:t xml:space="preserve"> “</w:t>
      </w:r>
      <w:r>
        <w:rPr>
          <w:sz w:val="24"/>
          <w:szCs w:val="24"/>
        </w:rPr>
        <w:t>override clear and valid provisions of Australian national law</w:t>
      </w:r>
      <w:r w:rsidR="00B21B57">
        <w:rPr>
          <w:sz w:val="24"/>
          <w:szCs w:val="24"/>
        </w:rPr>
        <w:t>”,</w:t>
      </w:r>
      <w:r>
        <w:rPr>
          <w:rStyle w:val="FootnoteReference"/>
          <w:sz w:val="24"/>
          <w:szCs w:val="24"/>
        </w:rPr>
        <w:footnoteReference w:id="5"/>
      </w:r>
      <w:r>
        <w:rPr>
          <w:sz w:val="24"/>
          <w:szCs w:val="24"/>
        </w:rPr>
        <w:t xml:space="preserve"> Australia still has a commitment to upholding freedom of expression, and </w:t>
      </w:r>
      <w:r w:rsidR="00CA5DAC">
        <w:rPr>
          <w:sz w:val="24"/>
          <w:szCs w:val="24"/>
        </w:rPr>
        <w:t xml:space="preserve">it is well established that </w:t>
      </w:r>
      <w:r>
        <w:rPr>
          <w:sz w:val="24"/>
          <w:szCs w:val="24"/>
        </w:rPr>
        <w:t>where statutes are ambiguous the courts should favour a construction which accords with Australia’s international obligations.</w:t>
      </w:r>
      <w:r>
        <w:rPr>
          <w:rStyle w:val="FootnoteReference"/>
          <w:sz w:val="24"/>
          <w:szCs w:val="24"/>
        </w:rPr>
        <w:footnoteReference w:id="6"/>
      </w:r>
      <w:r>
        <w:rPr>
          <w:sz w:val="24"/>
          <w:szCs w:val="24"/>
        </w:rPr>
        <w:t xml:space="preserve"> </w:t>
      </w:r>
    </w:p>
    <w:p w:rsidR="009F44E4" w:rsidRDefault="002870F9" w:rsidP="00C159F8">
      <w:pPr>
        <w:jc w:val="both"/>
        <w:rPr>
          <w:sz w:val="24"/>
          <w:szCs w:val="24"/>
        </w:rPr>
      </w:pPr>
      <w:r>
        <w:rPr>
          <w:sz w:val="24"/>
          <w:szCs w:val="24"/>
        </w:rPr>
        <w:t>We submit</w:t>
      </w:r>
      <w:r w:rsidR="00B21B57">
        <w:rPr>
          <w:sz w:val="24"/>
          <w:szCs w:val="24"/>
        </w:rPr>
        <w:t xml:space="preserve"> that</w:t>
      </w:r>
      <w:r w:rsidR="009F44E4">
        <w:rPr>
          <w:sz w:val="24"/>
          <w:szCs w:val="24"/>
        </w:rPr>
        <w:t xml:space="preserve"> the Act goes beyond</w:t>
      </w:r>
      <w:r w:rsidR="005B506E">
        <w:rPr>
          <w:sz w:val="24"/>
          <w:szCs w:val="24"/>
        </w:rPr>
        <w:t xml:space="preserve"> any exceptions to Article 19</w:t>
      </w:r>
      <w:r w:rsidR="009F44E4">
        <w:rPr>
          <w:sz w:val="24"/>
          <w:szCs w:val="24"/>
        </w:rPr>
        <w:t xml:space="preserve"> of the ICCPR and thus unjustifiably limits free speech</w:t>
      </w:r>
      <w:r w:rsidR="00B21B57">
        <w:rPr>
          <w:sz w:val="24"/>
          <w:szCs w:val="24"/>
        </w:rPr>
        <w:t>,</w:t>
      </w:r>
      <w:r w:rsidR="009F44E4">
        <w:rPr>
          <w:sz w:val="24"/>
          <w:szCs w:val="24"/>
        </w:rPr>
        <w:t xml:space="preserve"> in violation of international law</w:t>
      </w:r>
      <w:r w:rsidR="00B21B57">
        <w:rPr>
          <w:sz w:val="24"/>
          <w:szCs w:val="24"/>
        </w:rPr>
        <w:t xml:space="preserve"> and the traditional right of freedom of expression in Australia</w:t>
      </w:r>
      <w:r w:rsidR="009F44E4">
        <w:rPr>
          <w:sz w:val="24"/>
          <w:szCs w:val="24"/>
        </w:rPr>
        <w:t xml:space="preserve">. </w:t>
      </w:r>
      <w:r>
        <w:rPr>
          <w:sz w:val="24"/>
          <w:szCs w:val="24"/>
        </w:rPr>
        <w:t>We</w:t>
      </w:r>
      <w:r w:rsidR="009F44E4">
        <w:rPr>
          <w:sz w:val="24"/>
          <w:szCs w:val="24"/>
        </w:rPr>
        <w:t xml:space="preserve"> also </w:t>
      </w:r>
      <w:r w:rsidR="00B21B57">
        <w:rPr>
          <w:sz w:val="24"/>
          <w:szCs w:val="24"/>
        </w:rPr>
        <w:t>consider</w:t>
      </w:r>
      <w:r w:rsidR="009F44E4">
        <w:rPr>
          <w:sz w:val="24"/>
          <w:szCs w:val="24"/>
        </w:rPr>
        <w:t xml:space="preserve"> </w:t>
      </w:r>
      <w:r w:rsidR="00B21B57">
        <w:rPr>
          <w:sz w:val="24"/>
          <w:szCs w:val="24"/>
        </w:rPr>
        <w:t>that</w:t>
      </w:r>
      <w:r w:rsidR="009F44E4">
        <w:rPr>
          <w:sz w:val="24"/>
          <w:szCs w:val="24"/>
        </w:rPr>
        <w:t xml:space="preserve"> the Act breaches other int</w:t>
      </w:r>
      <w:r w:rsidR="00CA5DAC">
        <w:rPr>
          <w:sz w:val="24"/>
          <w:szCs w:val="24"/>
        </w:rPr>
        <w:t xml:space="preserve">ernational rights and freedoms </w:t>
      </w:r>
      <w:r w:rsidR="004907D7">
        <w:rPr>
          <w:sz w:val="24"/>
          <w:szCs w:val="24"/>
        </w:rPr>
        <w:t xml:space="preserve">such as those </w:t>
      </w:r>
      <w:r w:rsidR="009F44E4">
        <w:rPr>
          <w:sz w:val="24"/>
          <w:szCs w:val="24"/>
        </w:rPr>
        <w:t xml:space="preserve">under the </w:t>
      </w:r>
      <w:r w:rsidR="009F44E4" w:rsidRPr="009F18FF">
        <w:rPr>
          <w:i/>
          <w:sz w:val="24"/>
          <w:szCs w:val="24"/>
        </w:rPr>
        <w:t>Conven</w:t>
      </w:r>
      <w:r w:rsidR="009F44E4">
        <w:rPr>
          <w:i/>
          <w:sz w:val="24"/>
          <w:szCs w:val="24"/>
        </w:rPr>
        <w:t>tion on the Rights of the Child</w:t>
      </w:r>
      <w:r w:rsidR="009F44E4">
        <w:rPr>
          <w:sz w:val="24"/>
          <w:szCs w:val="24"/>
        </w:rPr>
        <w:t>.</w:t>
      </w:r>
    </w:p>
    <w:p w:rsidR="009F18FF" w:rsidRDefault="009F18FF" w:rsidP="00C159F8">
      <w:pPr>
        <w:jc w:val="both"/>
        <w:rPr>
          <w:b/>
          <w:sz w:val="28"/>
          <w:szCs w:val="24"/>
        </w:rPr>
      </w:pPr>
      <w:r w:rsidRPr="009F18FF">
        <w:rPr>
          <w:b/>
          <w:i/>
          <w:sz w:val="28"/>
          <w:szCs w:val="24"/>
        </w:rPr>
        <w:t xml:space="preserve">Australian Border Force Act 2015 </w:t>
      </w:r>
      <w:r w:rsidRPr="009F18FF">
        <w:rPr>
          <w:b/>
          <w:sz w:val="28"/>
          <w:szCs w:val="24"/>
        </w:rPr>
        <w:t>(Cth)</w:t>
      </w:r>
    </w:p>
    <w:p w:rsidR="009F18FF" w:rsidRDefault="00CD612D" w:rsidP="00C159F8">
      <w:pPr>
        <w:jc w:val="both"/>
        <w:rPr>
          <w:sz w:val="24"/>
          <w:szCs w:val="24"/>
        </w:rPr>
      </w:pPr>
      <w:r>
        <w:rPr>
          <w:sz w:val="24"/>
          <w:szCs w:val="24"/>
        </w:rPr>
        <w:t xml:space="preserve">The Act came into force on 1 July 2015, and contains strict secrecy provisions. As outlined in the Interim Report, </w:t>
      </w:r>
      <w:r w:rsidR="005B506E">
        <w:rPr>
          <w:sz w:val="24"/>
          <w:szCs w:val="24"/>
        </w:rPr>
        <w:t>s.</w:t>
      </w:r>
      <w:r>
        <w:rPr>
          <w:sz w:val="24"/>
          <w:szCs w:val="24"/>
        </w:rPr>
        <w:t xml:space="preserve">42 </w:t>
      </w:r>
      <w:r w:rsidR="00912A1D">
        <w:rPr>
          <w:sz w:val="24"/>
          <w:szCs w:val="24"/>
        </w:rPr>
        <w:t xml:space="preserve">of the Act </w:t>
      </w:r>
      <w:r>
        <w:rPr>
          <w:sz w:val="24"/>
          <w:szCs w:val="24"/>
        </w:rPr>
        <w:t xml:space="preserve">makes it an offence </w:t>
      </w:r>
      <w:r w:rsidR="00D02724">
        <w:rPr>
          <w:sz w:val="24"/>
          <w:szCs w:val="24"/>
        </w:rPr>
        <w:t>for an</w:t>
      </w:r>
      <w:r w:rsidR="00B21B57">
        <w:rPr>
          <w:sz w:val="24"/>
          <w:szCs w:val="24"/>
        </w:rPr>
        <w:t xml:space="preserve"> “</w:t>
      </w:r>
      <w:r w:rsidR="00D02724">
        <w:rPr>
          <w:sz w:val="24"/>
          <w:szCs w:val="24"/>
        </w:rPr>
        <w:t>entrusted person</w:t>
      </w:r>
      <w:r w:rsidR="00B21B57">
        <w:rPr>
          <w:sz w:val="24"/>
          <w:szCs w:val="24"/>
        </w:rPr>
        <w:t xml:space="preserve">” </w:t>
      </w:r>
      <w:r>
        <w:rPr>
          <w:sz w:val="24"/>
          <w:szCs w:val="24"/>
        </w:rPr>
        <w:t xml:space="preserve">to </w:t>
      </w:r>
      <w:r w:rsidR="00D02724">
        <w:rPr>
          <w:sz w:val="24"/>
          <w:szCs w:val="24"/>
        </w:rPr>
        <w:t>make a record of</w:t>
      </w:r>
      <w:r w:rsidR="005B506E">
        <w:rPr>
          <w:sz w:val="24"/>
          <w:szCs w:val="24"/>
        </w:rPr>
        <w:t>,</w:t>
      </w:r>
      <w:r w:rsidR="00D02724">
        <w:rPr>
          <w:sz w:val="24"/>
          <w:szCs w:val="24"/>
        </w:rPr>
        <w:t xml:space="preserve"> or disclose</w:t>
      </w:r>
      <w:r w:rsidR="005B506E">
        <w:rPr>
          <w:sz w:val="24"/>
          <w:szCs w:val="24"/>
        </w:rPr>
        <w:t>,</w:t>
      </w:r>
      <w:r w:rsidR="00D02724">
        <w:rPr>
          <w:sz w:val="24"/>
          <w:szCs w:val="24"/>
        </w:rPr>
        <w:t xml:space="preserve"> any</w:t>
      </w:r>
      <w:r w:rsidR="00B21B57">
        <w:rPr>
          <w:sz w:val="24"/>
          <w:szCs w:val="24"/>
        </w:rPr>
        <w:t xml:space="preserve"> “</w:t>
      </w:r>
      <w:r w:rsidR="00D02724">
        <w:rPr>
          <w:sz w:val="24"/>
          <w:szCs w:val="24"/>
        </w:rPr>
        <w:t>protected information</w:t>
      </w:r>
      <w:r w:rsidR="00B21B57">
        <w:rPr>
          <w:sz w:val="24"/>
          <w:szCs w:val="24"/>
        </w:rPr>
        <w:t>”,</w:t>
      </w:r>
      <w:r w:rsidR="00D02724" w:rsidRPr="00D02724">
        <w:rPr>
          <w:sz w:val="24"/>
          <w:szCs w:val="24"/>
        </w:rPr>
        <w:t xml:space="preserve"> </w:t>
      </w:r>
      <w:r w:rsidR="00D02724">
        <w:rPr>
          <w:sz w:val="24"/>
          <w:szCs w:val="24"/>
        </w:rPr>
        <w:t>punishable by up to 2 years</w:t>
      </w:r>
      <w:r w:rsidR="00912A1D">
        <w:rPr>
          <w:sz w:val="24"/>
          <w:szCs w:val="24"/>
        </w:rPr>
        <w:t>’</w:t>
      </w:r>
      <w:r w:rsidR="00D02724">
        <w:rPr>
          <w:sz w:val="24"/>
          <w:szCs w:val="24"/>
        </w:rPr>
        <w:t xml:space="preserve"> </w:t>
      </w:r>
      <w:r w:rsidR="00D02724">
        <w:rPr>
          <w:sz w:val="24"/>
          <w:szCs w:val="24"/>
        </w:rPr>
        <w:lastRenderedPageBreak/>
        <w:t>imprisonment.</w:t>
      </w:r>
      <w:r w:rsidR="00D02724">
        <w:rPr>
          <w:rStyle w:val="FootnoteReference"/>
          <w:sz w:val="24"/>
          <w:szCs w:val="24"/>
        </w:rPr>
        <w:footnoteReference w:id="7"/>
      </w:r>
      <w:r w:rsidR="00D02724">
        <w:rPr>
          <w:sz w:val="24"/>
          <w:szCs w:val="24"/>
        </w:rPr>
        <w:t xml:space="preserve"> </w:t>
      </w:r>
      <w:r w:rsidR="0029441D">
        <w:rPr>
          <w:sz w:val="24"/>
          <w:szCs w:val="24"/>
        </w:rPr>
        <w:t>An entrusted person is defined to mean the Secretary</w:t>
      </w:r>
      <w:r w:rsidR="005B506E">
        <w:rPr>
          <w:sz w:val="24"/>
          <w:szCs w:val="24"/>
        </w:rPr>
        <w:t xml:space="preserve"> of the Department</w:t>
      </w:r>
      <w:r w:rsidR="0029441D">
        <w:rPr>
          <w:sz w:val="24"/>
          <w:szCs w:val="24"/>
        </w:rPr>
        <w:t>, the Australian Border Force Commissioner</w:t>
      </w:r>
      <w:r w:rsidR="005B506E">
        <w:rPr>
          <w:sz w:val="24"/>
          <w:szCs w:val="24"/>
        </w:rPr>
        <w:t>,</w:t>
      </w:r>
      <w:r w:rsidR="0029441D">
        <w:rPr>
          <w:sz w:val="24"/>
          <w:szCs w:val="24"/>
        </w:rPr>
        <w:t xml:space="preserve"> or an Immigration and Border Protection worker</w:t>
      </w:r>
      <w:r w:rsidR="005B506E">
        <w:rPr>
          <w:sz w:val="24"/>
          <w:szCs w:val="24"/>
        </w:rPr>
        <w:t>.</w:t>
      </w:r>
      <w:r w:rsidR="005B506E">
        <w:rPr>
          <w:rStyle w:val="FootnoteReference"/>
          <w:sz w:val="24"/>
          <w:szCs w:val="24"/>
        </w:rPr>
        <w:footnoteReference w:id="8"/>
      </w:r>
      <w:r w:rsidR="005B506E">
        <w:rPr>
          <w:sz w:val="24"/>
          <w:szCs w:val="24"/>
        </w:rPr>
        <w:t xml:space="preserve"> A</w:t>
      </w:r>
      <w:r w:rsidR="005B506E" w:rsidRPr="005B506E">
        <w:rPr>
          <w:sz w:val="24"/>
          <w:szCs w:val="24"/>
        </w:rPr>
        <w:t>n Immigration and Border Protection worker (“IBP worker”)</w:t>
      </w:r>
      <w:r w:rsidR="005B506E">
        <w:rPr>
          <w:sz w:val="24"/>
          <w:szCs w:val="24"/>
        </w:rPr>
        <w:t xml:space="preserve"> </w:t>
      </w:r>
      <w:r w:rsidR="0029441D">
        <w:rPr>
          <w:sz w:val="24"/>
          <w:szCs w:val="24"/>
        </w:rPr>
        <w:t>is in turn defined broadly</w:t>
      </w:r>
      <w:r w:rsidR="00087F86">
        <w:rPr>
          <w:sz w:val="24"/>
          <w:szCs w:val="24"/>
        </w:rPr>
        <w:t xml:space="preserve"> to include</w:t>
      </w:r>
      <w:r w:rsidR="0029441D">
        <w:rPr>
          <w:sz w:val="24"/>
          <w:szCs w:val="24"/>
        </w:rPr>
        <w:t xml:space="preserve"> employee</w:t>
      </w:r>
      <w:r w:rsidR="00087F86">
        <w:rPr>
          <w:sz w:val="24"/>
          <w:szCs w:val="24"/>
        </w:rPr>
        <w:t>s</w:t>
      </w:r>
      <w:r w:rsidR="0029441D">
        <w:rPr>
          <w:sz w:val="24"/>
          <w:szCs w:val="24"/>
        </w:rPr>
        <w:t xml:space="preserve"> of the Department, specified contractors and consultants of the D</w:t>
      </w:r>
      <w:r w:rsidR="00087F86">
        <w:rPr>
          <w:sz w:val="24"/>
          <w:szCs w:val="24"/>
        </w:rPr>
        <w:t>epartment</w:t>
      </w:r>
      <w:r w:rsidR="005B506E">
        <w:rPr>
          <w:sz w:val="24"/>
          <w:szCs w:val="24"/>
        </w:rPr>
        <w:t>,</w:t>
      </w:r>
      <w:r w:rsidR="00087F86">
        <w:rPr>
          <w:sz w:val="24"/>
          <w:szCs w:val="24"/>
        </w:rPr>
        <w:t xml:space="preserve"> and public servants who make their services available to the Department</w:t>
      </w:r>
      <w:r w:rsidR="0029441D">
        <w:rPr>
          <w:sz w:val="24"/>
          <w:szCs w:val="24"/>
        </w:rPr>
        <w:t>.</w:t>
      </w:r>
      <w:r w:rsidR="0029441D">
        <w:rPr>
          <w:rStyle w:val="FootnoteReference"/>
          <w:sz w:val="24"/>
          <w:szCs w:val="24"/>
        </w:rPr>
        <w:footnoteReference w:id="9"/>
      </w:r>
      <w:r w:rsidR="0029441D">
        <w:rPr>
          <w:sz w:val="24"/>
          <w:szCs w:val="24"/>
        </w:rPr>
        <w:t xml:space="preserve"> </w:t>
      </w:r>
      <w:r w:rsidR="00B21B57">
        <w:rPr>
          <w:sz w:val="24"/>
          <w:szCs w:val="24"/>
        </w:rPr>
        <w:t xml:space="preserve"> “</w:t>
      </w:r>
      <w:r w:rsidR="00D02724">
        <w:rPr>
          <w:sz w:val="24"/>
          <w:szCs w:val="24"/>
        </w:rPr>
        <w:t>Protected information</w:t>
      </w:r>
      <w:r w:rsidR="00B21B57">
        <w:rPr>
          <w:sz w:val="24"/>
          <w:szCs w:val="24"/>
        </w:rPr>
        <w:t xml:space="preserve">” </w:t>
      </w:r>
      <w:r w:rsidR="00D02724">
        <w:rPr>
          <w:sz w:val="24"/>
          <w:szCs w:val="24"/>
        </w:rPr>
        <w:t>is defined to m</w:t>
      </w:r>
      <w:r w:rsidR="0029441D">
        <w:rPr>
          <w:sz w:val="24"/>
          <w:szCs w:val="24"/>
        </w:rPr>
        <w:t>ean information obtained by an entrusted person</w:t>
      </w:r>
      <w:r w:rsidR="00D02724">
        <w:rPr>
          <w:sz w:val="24"/>
          <w:szCs w:val="24"/>
        </w:rPr>
        <w:t xml:space="preserve"> in their capacity as an entrusted person, and includes information obtained in the course of performing duties, functions or exercising powers under a law of the Commonwealth in any capacity.</w:t>
      </w:r>
      <w:r w:rsidR="00D02724">
        <w:rPr>
          <w:rStyle w:val="FootnoteReference"/>
          <w:sz w:val="24"/>
          <w:szCs w:val="24"/>
        </w:rPr>
        <w:footnoteReference w:id="10"/>
      </w:r>
      <w:r w:rsidR="00D02724">
        <w:rPr>
          <w:sz w:val="24"/>
          <w:szCs w:val="24"/>
        </w:rPr>
        <w:t xml:space="preserve"> </w:t>
      </w:r>
    </w:p>
    <w:p w:rsidR="00CA5DAC" w:rsidRDefault="002870F9" w:rsidP="00C159F8">
      <w:pPr>
        <w:jc w:val="both"/>
        <w:rPr>
          <w:sz w:val="24"/>
          <w:szCs w:val="24"/>
        </w:rPr>
      </w:pPr>
      <w:r>
        <w:rPr>
          <w:sz w:val="24"/>
          <w:szCs w:val="24"/>
        </w:rPr>
        <w:t>We</w:t>
      </w:r>
      <w:r w:rsidR="00CA5DAC" w:rsidRPr="001C6410">
        <w:rPr>
          <w:sz w:val="24"/>
          <w:szCs w:val="24"/>
        </w:rPr>
        <w:t xml:space="preserve"> submit that Part 6 of the Act unjustifiably encroaches on free speech, violating both international law and the Constitutionally implied freedom of political communication. </w:t>
      </w:r>
      <w:r w:rsidR="00BD120E" w:rsidRPr="001C6410">
        <w:rPr>
          <w:sz w:val="24"/>
          <w:szCs w:val="24"/>
        </w:rPr>
        <w:t xml:space="preserve">This submission will focus primarily on the effect of the Act on disclosure of information relating to </w:t>
      </w:r>
      <w:r w:rsidR="001C6410" w:rsidRPr="001C6410">
        <w:rPr>
          <w:sz w:val="24"/>
          <w:szCs w:val="24"/>
        </w:rPr>
        <w:t>im</w:t>
      </w:r>
      <w:r w:rsidR="00BD120E" w:rsidRPr="001C6410">
        <w:rPr>
          <w:sz w:val="24"/>
          <w:szCs w:val="24"/>
        </w:rPr>
        <w:t>migration detention centres.</w:t>
      </w:r>
    </w:p>
    <w:p w:rsidR="00087F86" w:rsidRPr="00087F86" w:rsidRDefault="006A21A6" w:rsidP="00C159F8">
      <w:pPr>
        <w:jc w:val="both"/>
        <w:rPr>
          <w:b/>
          <w:sz w:val="28"/>
          <w:szCs w:val="24"/>
        </w:rPr>
      </w:pPr>
      <w:r>
        <w:rPr>
          <w:b/>
          <w:sz w:val="28"/>
          <w:szCs w:val="24"/>
        </w:rPr>
        <w:t>Breach of i</w:t>
      </w:r>
      <w:r w:rsidR="00087F86" w:rsidRPr="00087F86">
        <w:rPr>
          <w:b/>
          <w:sz w:val="28"/>
          <w:szCs w:val="24"/>
        </w:rPr>
        <w:t xml:space="preserve">nternational </w:t>
      </w:r>
      <w:r>
        <w:rPr>
          <w:b/>
          <w:sz w:val="28"/>
          <w:szCs w:val="24"/>
        </w:rPr>
        <w:t>l</w:t>
      </w:r>
      <w:r w:rsidR="00087F86" w:rsidRPr="00087F86">
        <w:rPr>
          <w:b/>
          <w:sz w:val="28"/>
          <w:szCs w:val="24"/>
        </w:rPr>
        <w:t>aw</w:t>
      </w:r>
      <w:r w:rsidR="00831E10">
        <w:rPr>
          <w:b/>
          <w:sz w:val="28"/>
          <w:szCs w:val="24"/>
        </w:rPr>
        <w:t xml:space="preserve"> – ICCPR </w:t>
      </w:r>
    </w:p>
    <w:p w:rsidR="00B1356E" w:rsidRDefault="00222336" w:rsidP="00C159F8">
      <w:pPr>
        <w:jc w:val="both"/>
        <w:rPr>
          <w:sz w:val="24"/>
          <w:szCs w:val="24"/>
        </w:rPr>
      </w:pPr>
      <w:r>
        <w:rPr>
          <w:sz w:val="24"/>
          <w:szCs w:val="24"/>
        </w:rPr>
        <w:t xml:space="preserve">It is clear that </w:t>
      </w:r>
      <w:r w:rsidR="00B1356E">
        <w:rPr>
          <w:sz w:val="24"/>
          <w:szCs w:val="24"/>
        </w:rPr>
        <w:t xml:space="preserve">by imposing criminal sanctions on entrusted persons who record or disclose </w:t>
      </w:r>
      <w:r w:rsidR="009F44E4">
        <w:rPr>
          <w:sz w:val="24"/>
          <w:szCs w:val="24"/>
        </w:rPr>
        <w:t>certain information obtained in their capacity as entrusted person</w:t>
      </w:r>
      <w:r w:rsidR="00CA5DAC">
        <w:rPr>
          <w:sz w:val="24"/>
          <w:szCs w:val="24"/>
        </w:rPr>
        <w:t>s</w:t>
      </w:r>
      <w:r w:rsidR="00B1356E">
        <w:rPr>
          <w:sz w:val="24"/>
          <w:szCs w:val="24"/>
        </w:rPr>
        <w:t xml:space="preserve">, </w:t>
      </w:r>
      <w:r>
        <w:rPr>
          <w:sz w:val="24"/>
          <w:szCs w:val="24"/>
        </w:rPr>
        <w:t xml:space="preserve">the Act interferes with </w:t>
      </w:r>
      <w:r w:rsidR="00B1356E">
        <w:rPr>
          <w:sz w:val="24"/>
          <w:szCs w:val="24"/>
        </w:rPr>
        <w:t xml:space="preserve">the freedom to </w:t>
      </w:r>
      <w:r w:rsidR="00B1356E" w:rsidRPr="00B1356E">
        <w:rPr>
          <w:sz w:val="24"/>
          <w:szCs w:val="24"/>
        </w:rPr>
        <w:t>seek, receive and impart information</w:t>
      </w:r>
      <w:r w:rsidR="00B1356E">
        <w:rPr>
          <w:sz w:val="24"/>
          <w:szCs w:val="24"/>
        </w:rPr>
        <w:t xml:space="preserve"> as protected by the ICCP</w:t>
      </w:r>
      <w:r w:rsidR="0025372A">
        <w:rPr>
          <w:sz w:val="24"/>
          <w:szCs w:val="24"/>
        </w:rPr>
        <w:t>R. However as explained in the Interim R</w:t>
      </w:r>
      <w:r w:rsidR="00B1356E">
        <w:rPr>
          <w:sz w:val="24"/>
          <w:szCs w:val="24"/>
        </w:rPr>
        <w:t xml:space="preserve">eport, this freedom is not absolute, and </w:t>
      </w:r>
      <w:r w:rsidR="0025372A">
        <w:rPr>
          <w:sz w:val="24"/>
          <w:szCs w:val="24"/>
        </w:rPr>
        <w:t>must</w:t>
      </w:r>
      <w:r w:rsidR="00B1356E">
        <w:rPr>
          <w:sz w:val="24"/>
          <w:szCs w:val="24"/>
        </w:rPr>
        <w:t xml:space="preserve"> be balanced against legitimate objectives. </w:t>
      </w:r>
      <w:r w:rsidR="003C2186">
        <w:rPr>
          <w:sz w:val="24"/>
          <w:szCs w:val="24"/>
        </w:rPr>
        <w:t>The</w:t>
      </w:r>
      <w:r w:rsidR="00560344">
        <w:rPr>
          <w:sz w:val="24"/>
          <w:szCs w:val="24"/>
        </w:rPr>
        <w:t xml:space="preserve"> ICCPR permits certain restrictions on freedom of speech</w:t>
      </w:r>
      <w:r w:rsidR="004C56D3">
        <w:rPr>
          <w:sz w:val="24"/>
          <w:szCs w:val="24"/>
        </w:rPr>
        <w:t>, including</w:t>
      </w:r>
      <w:r w:rsidR="00560344">
        <w:rPr>
          <w:sz w:val="24"/>
          <w:szCs w:val="24"/>
        </w:rPr>
        <w:t xml:space="preserve"> any restrictions that are </w:t>
      </w:r>
      <w:r w:rsidR="00560344" w:rsidRPr="00E16E50">
        <w:rPr>
          <w:sz w:val="24"/>
          <w:szCs w:val="24"/>
        </w:rPr>
        <w:t>necessary</w:t>
      </w:r>
      <w:r w:rsidR="00560344">
        <w:rPr>
          <w:sz w:val="24"/>
          <w:szCs w:val="24"/>
        </w:rPr>
        <w:t xml:space="preserve"> and </w:t>
      </w:r>
      <w:r w:rsidR="00560344" w:rsidRPr="00E16E50">
        <w:rPr>
          <w:sz w:val="24"/>
          <w:szCs w:val="24"/>
        </w:rPr>
        <w:t>proportionate</w:t>
      </w:r>
      <w:r w:rsidR="00560344">
        <w:rPr>
          <w:sz w:val="24"/>
          <w:szCs w:val="24"/>
        </w:rPr>
        <w:t xml:space="preserve"> for</w:t>
      </w:r>
      <w:r w:rsidR="004C56D3">
        <w:rPr>
          <w:sz w:val="24"/>
          <w:szCs w:val="24"/>
        </w:rPr>
        <w:t xml:space="preserve"> respect of the rights or reputations of others, or for</w:t>
      </w:r>
      <w:r w:rsidR="00560344">
        <w:rPr>
          <w:sz w:val="24"/>
          <w:szCs w:val="24"/>
        </w:rPr>
        <w:t xml:space="preserve"> the protection of national security or public order.</w:t>
      </w:r>
      <w:r w:rsidR="0025372A">
        <w:rPr>
          <w:rStyle w:val="FootnoteReference"/>
          <w:sz w:val="24"/>
          <w:szCs w:val="24"/>
        </w:rPr>
        <w:footnoteReference w:id="11"/>
      </w:r>
      <w:r w:rsidR="00560344">
        <w:rPr>
          <w:sz w:val="24"/>
          <w:szCs w:val="24"/>
        </w:rPr>
        <w:t xml:space="preserve"> </w:t>
      </w:r>
      <w:r w:rsidR="00B1356E">
        <w:rPr>
          <w:sz w:val="24"/>
          <w:szCs w:val="24"/>
        </w:rPr>
        <w:t>Th</w:t>
      </w:r>
      <w:r w:rsidR="00831E10">
        <w:rPr>
          <w:sz w:val="24"/>
          <w:szCs w:val="24"/>
        </w:rPr>
        <w:t>us, the</w:t>
      </w:r>
      <w:r w:rsidR="00E16E50">
        <w:rPr>
          <w:sz w:val="24"/>
          <w:szCs w:val="24"/>
        </w:rPr>
        <w:t xml:space="preserve"> question </w:t>
      </w:r>
      <w:r w:rsidR="0025372A">
        <w:rPr>
          <w:sz w:val="24"/>
          <w:szCs w:val="24"/>
        </w:rPr>
        <w:t>is</w:t>
      </w:r>
      <w:r w:rsidR="00E16E50">
        <w:rPr>
          <w:sz w:val="24"/>
          <w:szCs w:val="24"/>
        </w:rPr>
        <w:t xml:space="preserve"> whether the </w:t>
      </w:r>
      <w:r w:rsidR="00B1356E">
        <w:rPr>
          <w:sz w:val="24"/>
          <w:szCs w:val="24"/>
        </w:rPr>
        <w:t xml:space="preserve">interference with freedom of speech </w:t>
      </w:r>
      <w:r w:rsidR="00E16E50">
        <w:rPr>
          <w:sz w:val="24"/>
          <w:szCs w:val="24"/>
        </w:rPr>
        <w:t xml:space="preserve">established by the Act </w:t>
      </w:r>
      <w:r w:rsidR="00B1356E">
        <w:rPr>
          <w:sz w:val="24"/>
          <w:szCs w:val="24"/>
        </w:rPr>
        <w:t>i</w:t>
      </w:r>
      <w:r w:rsidR="0025372A">
        <w:rPr>
          <w:sz w:val="24"/>
          <w:szCs w:val="24"/>
        </w:rPr>
        <w:t xml:space="preserve">s </w:t>
      </w:r>
      <w:r w:rsidR="00B1356E">
        <w:rPr>
          <w:sz w:val="24"/>
          <w:szCs w:val="24"/>
        </w:rPr>
        <w:t>justified</w:t>
      </w:r>
      <w:r w:rsidR="006D3A95">
        <w:rPr>
          <w:sz w:val="24"/>
          <w:szCs w:val="24"/>
        </w:rPr>
        <w:t xml:space="preserve"> as being</w:t>
      </w:r>
      <w:r w:rsidR="006D3A95" w:rsidRPr="006D3A95">
        <w:rPr>
          <w:sz w:val="24"/>
          <w:szCs w:val="24"/>
        </w:rPr>
        <w:t xml:space="preserve"> necessary and proportionate for achieving a legitimate objective.</w:t>
      </w:r>
    </w:p>
    <w:p w:rsidR="001C0829" w:rsidRDefault="00831E10" w:rsidP="00C159F8">
      <w:pPr>
        <w:jc w:val="both"/>
        <w:rPr>
          <w:b/>
          <w:sz w:val="24"/>
          <w:szCs w:val="24"/>
        </w:rPr>
      </w:pPr>
      <w:r>
        <w:rPr>
          <w:b/>
          <w:sz w:val="24"/>
          <w:szCs w:val="24"/>
        </w:rPr>
        <w:t xml:space="preserve">Necessary and </w:t>
      </w:r>
      <w:r w:rsidR="006A21A6">
        <w:rPr>
          <w:b/>
          <w:sz w:val="24"/>
          <w:szCs w:val="24"/>
        </w:rPr>
        <w:t>p</w:t>
      </w:r>
      <w:r>
        <w:rPr>
          <w:b/>
          <w:sz w:val="24"/>
          <w:szCs w:val="24"/>
        </w:rPr>
        <w:t>roportionate?</w:t>
      </w:r>
    </w:p>
    <w:p w:rsidR="000715B6" w:rsidRPr="006D3A95" w:rsidRDefault="000715B6" w:rsidP="006D3A95">
      <w:pPr>
        <w:jc w:val="both"/>
      </w:pPr>
      <w:r>
        <w:rPr>
          <w:sz w:val="24"/>
          <w:szCs w:val="24"/>
        </w:rPr>
        <w:t xml:space="preserve">It is arguable that </w:t>
      </w:r>
      <w:r w:rsidR="004C56D3">
        <w:rPr>
          <w:sz w:val="24"/>
          <w:szCs w:val="24"/>
        </w:rPr>
        <w:t xml:space="preserve">the </w:t>
      </w:r>
      <w:r>
        <w:rPr>
          <w:sz w:val="24"/>
          <w:szCs w:val="24"/>
        </w:rPr>
        <w:t>secrecy provisions of the Act are not necessary for the protection of national security or public order</w:t>
      </w:r>
      <w:r w:rsidR="004C56D3">
        <w:rPr>
          <w:sz w:val="24"/>
          <w:szCs w:val="24"/>
        </w:rPr>
        <w:t>, or for protecting rights and reputations</w:t>
      </w:r>
      <w:r>
        <w:rPr>
          <w:sz w:val="24"/>
          <w:szCs w:val="24"/>
        </w:rPr>
        <w:t xml:space="preserve">. The Act broadly prohibits the disclosure and recording of </w:t>
      </w:r>
      <w:r w:rsidRPr="004C56D3">
        <w:rPr>
          <w:i/>
          <w:sz w:val="24"/>
          <w:szCs w:val="24"/>
        </w:rPr>
        <w:t>any</w:t>
      </w:r>
      <w:r>
        <w:rPr>
          <w:sz w:val="24"/>
          <w:szCs w:val="24"/>
        </w:rPr>
        <w:t xml:space="preserve"> information an employee of the Department or other entrusted person obtains during the course of performing duties or functions under </w:t>
      </w:r>
      <w:r w:rsidRPr="004C56D3">
        <w:rPr>
          <w:i/>
          <w:sz w:val="24"/>
          <w:szCs w:val="24"/>
        </w:rPr>
        <w:t>any</w:t>
      </w:r>
      <w:r>
        <w:rPr>
          <w:sz w:val="24"/>
          <w:szCs w:val="24"/>
        </w:rPr>
        <w:t xml:space="preserve"> </w:t>
      </w:r>
      <w:r w:rsidR="004C56D3">
        <w:rPr>
          <w:sz w:val="24"/>
          <w:szCs w:val="24"/>
        </w:rPr>
        <w:t xml:space="preserve">Commonwealth </w:t>
      </w:r>
      <w:r>
        <w:rPr>
          <w:sz w:val="24"/>
          <w:szCs w:val="24"/>
        </w:rPr>
        <w:t xml:space="preserve">law in </w:t>
      </w:r>
      <w:r w:rsidRPr="004C56D3">
        <w:rPr>
          <w:i/>
          <w:sz w:val="24"/>
          <w:szCs w:val="24"/>
        </w:rPr>
        <w:t>any</w:t>
      </w:r>
      <w:r>
        <w:rPr>
          <w:sz w:val="24"/>
          <w:szCs w:val="24"/>
        </w:rPr>
        <w:t xml:space="preserve"> capacity, unless the disclosure falls within one of the limited e</w:t>
      </w:r>
      <w:r w:rsidR="0025372A">
        <w:rPr>
          <w:sz w:val="24"/>
          <w:szCs w:val="24"/>
        </w:rPr>
        <w:t>xceptions. This means that the A</w:t>
      </w:r>
      <w:r>
        <w:rPr>
          <w:sz w:val="24"/>
          <w:szCs w:val="24"/>
        </w:rPr>
        <w:t xml:space="preserve">ct catches </w:t>
      </w:r>
      <w:r w:rsidR="006D3A95">
        <w:rPr>
          <w:sz w:val="24"/>
          <w:szCs w:val="24"/>
        </w:rPr>
        <w:t xml:space="preserve">not just </w:t>
      </w:r>
      <w:r>
        <w:rPr>
          <w:sz w:val="24"/>
          <w:szCs w:val="24"/>
        </w:rPr>
        <w:t xml:space="preserve">a wide range of information obtained </w:t>
      </w:r>
      <w:r w:rsidR="004C56D3">
        <w:rPr>
          <w:sz w:val="24"/>
          <w:szCs w:val="24"/>
        </w:rPr>
        <w:t xml:space="preserve">by IBP </w:t>
      </w:r>
      <w:r w:rsidR="0025372A">
        <w:rPr>
          <w:sz w:val="24"/>
          <w:szCs w:val="24"/>
        </w:rPr>
        <w:t>workers</w:t>
      </w:r>
      <w:r w:rsidR="004C56D3">
        <w:rPr>
          <w:sz w:val="24"/>
          <w:szCs w:val="24"/>
        </w:rPr>
        <w:t xml:space="preserve"> </w:t>
      </w:r>
      <w:r w:rsidR="00831E10">
        <w:rPr>
          <w:sz w:val="24"/>
          <w:szCs w:val="24"/>
        </w:rPr>
        <w:t>during the course of their work</w:t>
      </w:r>
      <w:r w:rsidR="006D3A95">
        <w:rPr>
          <w:sz w:val="24"/>
          <w:szCs w:val="24"/>
        </w:rPr>
        <w:t xml:space="preserve">, but </w:t>
      </w:r>
      <w:r w:rsidR="006D3A95" w:rsidRPr="006D3A95">
        <w:rPr>
          <w:i/>
          <w:sz w:val="24"/>
          <w:szCs w:val="24"/>
        </w:rPr>
        <w:t>any</w:t>
      </w:r>
      <w:r w:rsidR="006D3A95">
        <w:rPr>
          <w:sz w:val="24"/>
          <w:szCs w:val="24"/>
        </w:rPr>
        <w:t xml:space="preserve"> information</w:t>
      </w:r>
      <w:r w:rsidR="00F7470D">
        <w:rPr>
          <w:sz w:val="24"/>
          <w:szCs w:val="24"/>
        </w:rPr>
        <w:t xml:space="preserve"> at all</w:t>
      </w:r>
      <w:r w:rsidR="004C56D3">
        <w:rPr>
          <w:sz w:val="24"/>
          <w:szCs w:val="24"/>
        </w:rPr>
        <w:t>.</w:t>
      </w:r>
    </w:p>
    <w:p w:rsidR="003A0110" w:rsidRDefault="00E16E50" w:rsidP="00C159F8">
      <w:pPr>
        <w:jc w:val="both"/>
        <w:rPr>
          <w:sz w:val="24"/>
          <w:szCs w:val="24"/>
        </w:rPr>
      </w:pPr>
      <w:r>
        <w:rPr>
          <w:sz w:val="24"/>
          <w:szCs w:val="24"/>
        </w:rPr>
        <w:t xml:space="preserve">It is difficult to </w:t>
      </w:r>
      <w:r w:rsidR="0037305D">
        <w:rPr>
          <w:sz w:val="24"/>
          <w:szCs w:val="24"/>
        </w:rPr>
        <w:t>see how</w:t>
      </w:r>
      <w:r>
        <w:rPr>
          <w:sz w:val="24"/>
          <w:szCs w:val="24"/>
        </w:rPr>
        <w:t xml:space="preserve"> </w:t>
      </w:r>
      <w:r w:rsidR="00F72781">
        <w:rPr>
          <w:sz w:val="24"/>
          <w:szCs w:val="24"/>
        </w:rPr>
        <w:t>all</w:t>
      </w:r>
      <w:r w:rsidR="00B21B57">
        <w:rPr>
          <w:sz w:val="24"/>
          <w:szCs w:val="24"/>
        </w:rPr>
        <w:t xml:space="preserve"> “</w:t>
      </w:r>
      <w:r>
        <w:rPr>
          <w:sz w:val="24"/>
          <w:szCs w:val="24"/>
        </w:rPr>
        <w:t>protected information</w:t>
      </w:r>
      <w:r w:rsidR="00B21B57">
        <w:rPr>
          <w:sz w:val="24"/>
          <w:szCs w:val="24"/>
        </w:rPr>
        <w:t xml:space="preserve">” </w:t>
      </w:r>
      <w:r w:rsidR="00F7470D">
        <w:rPr>
          <w:sz w:val="24"/>
          <w:szCs w:val="24"/>
        </w:rPr>
        <w:t>as defined by the Ac</w:t>
      </w:r>
      <w:r>
        <w:rPr>
          <w:sz w:val="24"/>
          <w:szCs w:val="24"/>
        </w:rPr>
        <w:t xml:space="preserve">t </w:t>
      </w:r>
      <w:r w:rsidR="00F7470D">
        <w:rPr>
          <w:sz w:val="24"/>
          <w:szCs w:val="24"/>
        </w:rPr>
        <w:t>– that is, including any information at all, obtained by an IBP worker</w:t>
      </w:r>
      <w:r w:rsidR="00BD120E">
        <w:rPr>
          <w:sz w:val="24"/>
          <w:szCs w:val="24"/>
        </w:rPr>
        <w:t xml:space="preserve"> in the course of his or her work</w:t>
      </w:r>
      <w:r w:rsidR="00F7470D">
        <w:rPr>
          <w:sz w:val="24"/>
          <w:szCs w:val="24"/>
        </w:rPr>
        <w:t xml:space="preserve"> – </w:t>
      </w:r>
      <w:r>
        <w:rPr>
          <w:sz w:val="24"/>
          <w:szCs w:val="24"/>
        </w:rPr>
        <w:t xml:space="preserve">has the </w:t>
      </w:r>
      <w:r>
        <w:rPr>
          <w:sz w:val="24"/>
          <w:szCs w:val="24"/>
        </w:rPr>
        <w:lastRenderedPageBreak/>
        <w:t>potent</w:t>
      </w:r>
      <w:r w:rsidR="001C0829">
        <w:rPr>
          <w:sz w:val="24"/>
          <w:szCs w:val="24"/>
        </w:rPr>
        <w:t>ial to damage national security or public order</w:t>
      </w:r>
      <w:r w:rsidR="009F44E4">
        <w:rPr>
          <w:sz w:val="24"/>
          <w:szCs w:val="24"/>
        </w:rPr>
        <w:t>, and thus why such a broad restriction is</w:t>
      </w:r>
      <w:r w:rsidR="00B21B57">
        <w:rPr>
          <w:sz w:val="24"/>
          <w:szCs w:val="24"/>
        </w:rPr>
        <w:t xml:space="preserve"> “</w:t>
      </w:r>
      <w:r w:rsidR="009F44E4">
        <w:rPr>
          <w:sz w:val="24"/>
          <w:szCs w:val="24"/>
        </w:rPr>
        <w:t>necessary</w:t>
      </w:r>
      <w:r w:rsidR="00B21B57">
        <w:rPr>
          <w:sz w:val="24"/>
          <w:szCs w:val="24"/>
        </w:rPr>
        <w:t>”.</w:t>
      </w:r>
      <w:r w:rsidR="00EC55B0">
        <w:rPr>
          <w:sz w:val="24"/>
          <w:szCs w:val="24"/>
        </w:rPr>
        <w:t xml:space="preserve"> </w:t>
      </w:r>
      <w:r w:rsidR="000715B6">
        <w:rPr>
          <w:sz w:val="24"/>
          <w:szCs w:val="24"/>
        </w:rPr>
        <w:t xml:space="preserve"> </w:t>
      </w:r>
      <w:r w:rsidR="00EC55B0">
        <w:rPr>
          <w:sz w:val="24"/>
          <w:szCs w:val="24"/>
        </w:rPr>
        <w:t xml:space="preserve">The </w:t>
      </w:r>
      <w:r w:rsidR="00EC55B0" w:rsidRPr="00EC55B0">
        <w:rPr>
          <w:sz w:val="24"/>
          <w:szCs w:val="24"/>
        </w:rPr>
        <w:t>United Nations Econo</w:t>
      </w:r>
      <w:r w:rsidR="00EC55B0">
        <w:rPr>
          <w:sz w:val="24"/>
          <w:szCs w:val="24"/>
        </w:rPr>
        <w:t>mic and So</w:t>
      </w:r>
      <w:r w:rsidR="006779FD">
        <w:rPr>
          <w:sz w:val="24"/>
          <w:szCs w:val="24"/>
        </w:rPr>
        <w:t>cial Council (ECOSOC) has stated that national security may be invoked to justify limitations to ICCPR rights only when</w:t>
      </w:r>
      <w:r w:rsidR="00B21B57">
        <w:rPr>
          <w:sz w:val="24"/>
          <w:szCs w:val="24"/>
        </w:rPr>
        <w:t xml:space="preserve"> “</w:t>
      </w:r>
      <w:r w:rsidR="006779FD">
        <w:rPr>
          <w:sz w:val="24"/>
          <w:szCs w:val="24"/>
        </w:rPr>
        <w:t>ta</w:t>
      </w:r>
      <w:r w:rsidR="006779FD" w:rsidRPr="006779FD">
        <w:rPr>
          <w:sz w:val="24"/>
          <w:szCs w:val="24"/>
        </w:rPr>
        <w:t>ken to protect the existence of the nation or its territorial integrity or political independence a</w:t>
      </w:r>
      <w:r w:rsidR="006779FD">
        <w:rPr>
          <w:sz w:val="24"/>
          <w:szCs w:val="24"/>
        </w:rPr>
        <w:t>gainst force or threat of force</w:t>
      </w:r>
      <w:r w:rsidR="003A0110">
        <w:rPr>
          <w:sz w:val="24"/>
          <w:szCs w:val="24"/>
        </w:rPr>
        <w:t>”.</w:t>
      </w:r>
      <w:r w:rsidR="006779FD">
        <w:rPr>
          <w:rStyle w:val="FootnoteReference"/>
          <w:sz w:val="24"/>
          <w:szCs w:val="24"/>
        </w:rPr>
        <w:footnoteReference w:id="12"/>
      </w:r>
      <w:r w:rsidR="003A0110">
        <w:rPr>
          <w:sz w:val="24"/>
          <w:szCs w:val="24"/>
        </w:rPr>
        <w:t xml:space="preserve"> </w:t>
      </w:r>
      <w:r w:rsidR="004E3288">
        <w:rPr>
          <w:sz w:val="24"/>
          <w:szCs w:val="24"/>
        </w:rPr>
        <w:t xml:space="preserve">It should be noted that the criterion is damage to national security, not to the national interest – despite a tendency in political discourse to conflate the two. </w:t>
      </w:r>
      <w:r w:rsidR="003A0110">
        <w:rPr>
          <w:sz w:val="24"/>
          <w:szCs w:val="24"/>
        </w:rPr>
        <w:t xml:space="preserve"> </w:t>
      </w:r>
      <w:r w:rsidR="006779FD">
        <w:rPr>
          <w:sz w:val="24"/>
          <w:szCs w:val="24"/>
        </w:rPr>
        <w:t xml:space="preserve"> </w:t>
      </w:r>
    </w:p>
    <w:p w:rsidR="006779FD" w:rsidRDefault="00EF4F7D" w:rsidP="00C159F8">
      <w:pPr>
        <w:jc w:val="both"/>
        <w:rPr>
          <w:sz w:val="24"/>
          <w:szCs w:val="24"/>
        </w:rPr>
      </w:pPr>
      <w:r>
        <w:rPr>
          <w:sz w:val="24"/>
          <w:szCs w:val="24"/>
        </w:rPr>
        <w:t>As noted</w:t>
      </w:r>
      <w:r w:rsidR="008D02FD">
        <w:rPr>
          <w:sz w:val="24"/>
          <w:szCs w:val="24"/>
        </w:rPr>
        <w:t xml:space="preserve"> in the Interim R</w:t>
      </w:r>
      <w:r w:rsidR="000715B6">
        <w:rPr>
          <w:sz w:val="24"/>
          <w:szCs w:val="24"/>
        </w:rPr>
        <w:t>eport,</w:t>
      </w:r>
      <w:r w:rsidR="00B21B57">
        <w:rPr>
          <w:sz w:val="24"/>
          <w:szCs w:val="24"/>
        </w:rPr>
        <w:t xml:space="preserve"> “</w:t>
      </w:r>
      <w:r w:rsidR="00320718">
        <w:rPr>
          <w:sz w:val="24"/>
          <w:szCs w:val="24"/>
        </w:rPr>
        <w:t>public order</w:t>
      </w:r>
      <w:r w:rsidR="00B21B57">
        <w:rPr>
          <w:sz w:val="24"/>
          <w:szCs w:val="24"/>
        </w:rPr>
        <w:t xml:space="preserve">” </w:t>
      </w:r>
      <w:r>
        <w:rPr>
          <w:sz w:val="24"/>
          <w:szCs w:val="24"/>
        </w:rPr>
        <w:t xml:space="preserve">in the ICCPR has been defined as </w:t>
      </w:r>
      <w:r>
        <w:rPr>
          <w:sz w:val="24"/>
          <w:szCs w:val="24"/>
          <w:lang w:val="en-US"/>
        </w:rPr>
        <w:t>“</w:t>
      </w:r>
      <w:r w:rsidRPr="00EF4F7D">
        <w:rPr>
          <w:sz w:val="24"/>
          <w:szCs w:val="24"/>
          <w:lang w:val="en-US"/>
        </w:rPr>
        <w:t>the sum of rules which ensure the functioning of society or the set of fundamental princip</w:t>
      </w:r>
      <w:r>
        <w:rPr>
          <w:sz w:val="24"/>
          <w:szCs w:val="24"/>
          <w:lang w:val="en-US"/>
        </w:rPr>
        <w:t xml:space="preserve">les on which society is founded”, </w:t>
      </w:r>
      <w:r w:rsidR="006A21A6">
        <w:rPr>
          <w:sz w:val="24"/>
          <w:szCs w:val="24"/>
          <w:lang w:val="en-US"/>
        </w:rPr>
        <w:t xml:space="preserve">and </w:t>
      </w:r>
      <w:r w:rsidR="00320718">
        <w:rPr>
          <w:sz w:val="24"/>
          <w:szCs w:val="24"/>
        </w:rPr>
        <w:t>is not likely to be engaged where the purpose of the secrecy provision is</w:t>
      </w:r>
      <w:r w:rsidR="00B21B57">
        <w:rPr>
          <w:sz w:val="24"/>
          <w:szCs w:val="24"/>
        </w:rPr>
        <w:t xml:space="preserve"> “</w:t>
      </w:r>
      <w:r w:rsidR="00320718">
        <w:rPr>
          <w:sz w:val="24"/>
          <w:szCs w:val="24"/>
        </w:rPr>
        <w:t>simply to ensure the efficient conduct of government business or to enforce general duties of loyalty and fidelity on employees</w:t>
      </w:r>
      <w:r w:rsidR="00B21B57">
        <w:rPr>
          <w:sz w:val="24"/>
          <w:szCs w:val="24"/>
        </w:rPr>
        <w:t>”.</w:t>
      </w:r>
      <w:r w:rsidR="00320718">
        <w:rPr>
          <w:rStyle w:val="FootnoteReference"/>
          <w:sz w:val="24"/>
          <w:szCs w:val="24"/>
        </w:rPr>
        <w:footnoteReference w:id="13"/>
      </w:r>
      <w:r w:rsidR="009F44E4">
        <w:rPr>
          <w:sz w:val="24"/>
          <w:szCs w:val="24"/>
        </w:rPr>
        <w:t xml:space="preserve"> </w:t>
      </w:r>
      <w:r w:rsidR="006779FD">
        <w:rPr>
          <w:sz w:val="24"/>
          <w:szCs w:val="24"/>
        </w:rPr>
        <w:t>Likewise, as</w:t>
      </w:r>
      <w:r w:rsidR="00320718">
        <w:rPr>
          <w:sz w:val="24"/>
          <w:szCs w:val="24"/>
        </w:rPr>
        <w:t xml:space="preserve"> suggest</w:t>
      </w:r>
      <w:r w:rsidR="006A21A6">
        <w:rPr>
          <w:sz w:val="24"/>
          <w:szCs w:val="24"/>
        </w:rPr>
        <w:t>ed in the Interim R</w:t>
      </w:r>
      <w:r w:rsidR="00E65B55">
        <w:rPr>
          <w:sz w:val="24"/>
          <w:szCs w:val="24"/>
        </w:rPr>
        <w:t xml:space="preserve">eport, </w:t>
      </w:r>
      <w:r w:rsidR="00EC55B0">
        <w:rPr>
          <w:sz w:val="24"/>
          <w:szCs w:val="24"/>
        </w:rPr>
        <w:t>ECOSOC</w:t>
      </w:r>
      <w:r w:rsidR="00831E10">
        <w:rPr>
          <w:sz w:val="24"/>
          <w:szCs w:val="24"/>
        </w:rPr>
        <w:t xml:space="preserve"> </w:t>
      </w:r>
      <w:r w:rsidR="00C832C2">
        <w:rPr>
          <w:sz w:val="24"/>
          <w:szCs w:val="24"/>
        </w:rPr>
        <w:t>i</w:t>
      </w:r>
      <w:r w:rsidR="00E67298">
        <w:rPr>
          <w:sz w:val="24"/>
          <w:szCs w:val="24"/>
        </w:rPr>
        <w:t>nsists that a limitation to human rights</w:t>
      </w:r>
      <w:r w:rsidR="00C832C2">
        <w:rPr>
          <w:sz w:val="24"/>
          <w:szCs w:val="24"/>
        </w:rPr>
        <w:t xml:space="preserve"> grounded on protection of the</w:t>
      </w:r>
      <w:r w:rsidR="00B21B57">
        <w:rPr>
          <w:sz w:val="24"/>
          <w:szCs w:val="24"/>
        </w:rPr>
        <w:t xml:space="preserve"> “</w:t>
      </w:r>
      <w:r w:rsidR="00C832C2">
        <w:rPr>
          <w:sz w:val="24"/>
          <w:szCs w:val="24"/>
        </w:rPr>
        <w:t>reputation</w:t>
      </w:r>
      <w:r w:rsidR="00B21B57">
        <w:rPr>
          <w:sz w:val="24"/>
          <w:szCs w:val="24"/>
        </w:rPr>
        <w:t xml:space="preserve">” </w:t>
      </w:r>
      <w:r w:rsidR="00C832C2">
        <w:rPr>
          <w:sz w:val="24"/>
          <w:szCs w:val="24"/>
        </w:rPr>
        <w:t>of others should not be used to</w:t>
      </w:r>
      <w:r w:rsidR="00B21B57">
        <w:rPr>
          <w:sz w:val="24"/>
          <w:szCs w:val="24"/>
        </w:rPr>
        <w:t xml:space="preserve"> “</w:t>
      </w:r>
      <w:r w:rsidR="00C832C2">
        <w:rPr>
          <w:sz w:val="24"/>
          <w:szCs w:val="24"/>
        </w:rPr>
        <w:t>protect the state and its official</w:t>
      </w:r>
      <w:r w:rsidR="00831E10">
        <w:rPr>
          <w:sz w:val="24"/>
          <w:szCs w:val="24"/>
        </w:rPr>
        <w:t>s</w:t>
      </w:r>
      <w:r w:rsidR="00C832C2">
        <w:rPr>
          <w:sz w:val="24"/>
          <w:szCs w:val="24"/>
        </w:rPr>
        <w:t xml:space="preserve"> from public opinion or criticism</w:t>
      </w:r>
      <w:r w:rsidR="00B21B57">
        <w:rPr>
          <w:sz w:val="24"/>
          <w:szCs w:val="24"/>
        </w:rPr>
        <w:t>”.</w:t>
      </w:r>
      <w:r w:rsidR="00C832C2">
        <w:rPr>
          <w:rStyle w:val="FootnoteReference"/>
          <w:sz w:val="24"/>
          <w:szCs w:val="24"/>
        </w:rPr>
        <w:footnoteReference w:id="14"/>
      </w:r>
      <w:r w:rsidR="00C832C2">
        <w:rPr>
          <w:sz w:val="24"/>
          <w:szCs w:val="24"/>
        </w:rPr>
        <w:t xml:space="preserve"> </w:t>
      </w:r>
    </w:p>
    <w:p w:rsidR="00831E10" w:rsidRDefault="00C832C2" w:rsidP="00C159F8">
      <w:pPr>
        <w:jc w:val="both"/>
        <w:rPr>
          <w:sz w:val="24"/>
          <w:szCs w:val="24"/>
        </w:rPr>
      </w:pPr>
      <w:r>
        <w:rPr>
          <w:sz w:val="24"/>
          <w:szCs w:val="24"/>
        </w:rPr>
        <w:t xml:space="preserve">Although the Explanatory Memorandum to the </w:t>
      </w:r>
      <w:r>
        <w:rPr>
          <w:i/>
          <w:sz w:val="24"/>
          <w:szCs w:val="24"/>
        </w:rPr>
        <w:t xml:space="preserve">Australian Border Force Bill 2015 </w:t>
      </w:r>
      <w:r>
        <w:rPr>
          <w:sz w:val="24"/>
          <w:szCs w:val="24"/>
        </w:rPr>
        <w:t>(Cth) suggested the provisions</w:t>
      </w:r>
      <w:r w:rsidR="00B21B57">
        <w:rPr>
          <w:sz w:val="24"/>
          <w:szCs w:val="24"/>
        </w:rPr>
        <w:t xml:space="preserve"> “</w:t>
      </w:r>
      <w:r>
        <w:rPr>
          <w:sz w:val="24"/>
          <w:szCs w:val="24"/>
        </w:rPr>
        <w:t>are necessary to provide assurances … that information provided to the</w:t>
      </w:r>
      <w:r w:rsidR="00F7470D">
        <w:rPr>
          <w:sz w:val="24"/>
          <w:szCs w:val="24"/>
        </w:rPr>
        <w:t xml:space="preserve"> Department will be appropriately</w:t>
      </w:r>
      <w:r>
        <w:rPr>
          <w:sz w:val="24"/>
          <w:szCs w:val="24"/>
        </w:rPr>
        <w:t xml:space="preserve"> protected</w:t>
      </w:r>
      <w:r w:rsidR="00B21B57">
        <w:rPr>
          <w:sz w:val="24"/>
          <w:szCs w:val="24"/>
        </w:rPr>
        <w:t>”,</w:t>
      </w:r>
      <w:r>
        <w:rPr>
          <w:rStyle w:val="FootnoteReference"/>
          <w:sz w:val="24"/>
          <w:szCs w:val="24"/>
        </w:rPr>
        <w:footnoteReference w:id="15"/>
      </w:r>
      <w:r>
        <w:rPr>
          <w:sz w:val="24"/>
          <w:szCs w:val="24"/>
        </w:rPr>
        <w:t xml:space="preserve"> </w:t>
      </w:r>
      <w:r w:rsidR="001C6410">
        <w:rPr>
          <w:sz w:val="24"/>
          <w:szCs w:val="24"/>
        </w:rPr>
        <w:t>the</w:t>
      </w:r>
      <w:r w:rsidR="00831E10">
        <w:rPr>
          <w:sz w:val="24"/>
          <w:szCs w:val="24"/>
        </w:rPr>
        <w:t xml:space="preserve"> blanket restriction on the disclosure of information is not linked to any specified</w:t>
      </w:r>
      <w:r w:rsidR="00B21B57">
        <w:rPr>
          <w:sz w:val="24"/>
          <w:szCs w:val="24"/>
        </w:rPr>
        <w:t xml:space="preserve"> “</w:t>
      </w:r>
      <w:r w:rsidR="00831E10">
        <w:rPr>
          <w:sz w:val="24"/>
          <w:szCs w:val="24"/>
        </w:rPr>
        <w:t>harm</w:t>
      </w:r>
      <w:r w:rsidR="00B21B57">
        <w:rPr>
          <w:sz w:val="24"/>
          <w:szCs w:val="24"/>
        </w:rPr>
        <w:t xml:space="preserve">” </w:t>
      </w:r>
      <w:r w:rsidR="00E67298">
        <w:rPr>
          <w:sz w:val="24"/>
          <w:szCs w:val="24"/>
        </w:rPr>
        <w:t>to an identified essential public interest.</w:t>
      </w:r>
      <w:r w:rsidR="00831E10">
        <w:rPr>
          <w:rStyle w:val="FootnoteReference"/>
          <w:sz w:val="24"/>
          <w:szCs w:val="24"/>
        </w:rPr>
        <w:footnoteReference w:id="16"/>
      </w:r>
      <w:r w:rsidR="00E67298">
        <w:rPr>
          <w:sz w:val="24"/>
          <w:szCs w:val="24"/>
        </w:rPr>
        <w:t xml:space="preserve"> </w:t>
      </w:r>
      <w:r w:rsidR="00F72781">
        <w:rPr>
          <w:sz w:val="24"/>
          <w:szCs w:val="24"/>
        </w:rPr>
        <w:t xml:space="preserve">Arguably, disclosures relating to circumstances in immigration detention centres have nothing to do with national security, and a blanket ban such as in Part 6 of the Act is not necessary other than to protect illegitimate interests such as shielding the Australian government from criticism regarding its treatment of </w:t>
      </w:r>
      <w:r w:rsidR="001C6410">
        <w:rPr>
          <w:sz w:val="24"/>
          <w:szCs w:val="24"/>
        </w:rPr>
        <w:t>asylum-seekers</w:t>
      </w:r>
      <w:r w:rsidR="00BD576E">
        <w:rPr>
          <w:sz w:val="24"/>
          <w:szCs w:val="24"/>
        </w:rPr>
        <w:t>.</w:t>
      </w:r>
      <w:r w:rsidR="006779FD">
        <w:rPr>
          <w:sz w:val="24"/>
          <w:szCs w:val="24"/>
        </w:rPr>
        <w:t xml:space="preserve"> As stated by ECOSOC, a</w:t>
      </w:r>
      <w:r w:rsidR="001C6410">
        <w:rPr>
          <w:sz w:val="24"/>
          <w:szCs w:val="24"/>
        </w:rPr>
        <w:t xml:space="preserve"> S</w:t>
      </w:r>
      <w:r w:rsidR="006779FD" w:rsidRPr="006779FD">
        <w:rPr>
          <w:sz w:val="24"/>
          <w:szCs w:val="24"/>
        </w:rPr>
        <w:t xml:space="preserve">tate responsible </w:t>
      </w:r>
      <w:r w:rsidR="006779FD">
        <w:rPr>
          <w:sz w:val="24"/>
          <w:szCs w:val="24"/>
        </w:rPr>
        <w:t>for systematic violation of human rights (as is arguably occurring in Australian immigration detention centres)</w:t>
      </w:r>
      <w:r w:rsidR="00B21B57">
        <w:rPr>
          <w:sz w:val="24"/>
          <w:szCs w:val="24"/>
        </w:rPr>
        <w:t xml:space="preserve"> “</w:t>
      </w:r>
      <w:r w:rsidR="006779FD">
        <w:rPr>
          <w:sz w:val="24"/>
          <w:szCs w:val="24"/>
        </w:rPr>
        <w:t>s</w:t>
      </w:r>
      <w:r w:rsidR="006779FD" w:rsidRPr="006779FD">
        <w:rPr>
          <w:sz w:val="24"/>
          <w:szCs w:val="24"/>
        </w:rPr>
        <w:t>hall not invoke national security as a justification for measures aimed at suppressi</w:t>
      </w:r>
      <w:r w:rsidR="006779FD">
        <w:rPr>
          <w:sz w:val="24"/>
          <w:szCs w:val="24"/>
        </w:rPr>
        <w:t>ng opposition to such violation</w:t>
      </w:r>
      <w:r w:rsidR="00B21B57">
        <w:rPr>
          <w:sz w:val="24"/>
          <w:szCs w:val="24"/>
        </w:rPr>
        <w:t>”.</w:t>
      </w:r>
      <w:r w:rsidR="006779FD">
        <w:rPr>
          <w:rStyle w:val="FootnoteReference"/>
          <w:sz w:val="24"/>
          <w:szCs w:val="24"/>
        </w:rPr>
        <w:footnoteReference w:id="17"/>
      </w:r>
    </w:p>
    <w:p w:rsidR="00E67298" w:rsidRPr="00E67298" w:rsidRDefault="0075781B" w:rsidP="00C159F8">
      <w:pPr>
        <w:jc w:val="both"/>
        <w:rPr>
          <w:b/>
          <w:sz w:val="24"/>
          <w:szCs w:val="24"/>
        </w:rPr>
      </w:pPr>
      <w:r>
        <w:rPr>
          <w:b/>
          <w:sz w:val="24"/>
          <w:szCs w:val="24"/>
        </w:rPr>
        <w:t>Criminal s</w:t>
      </w:r>
      <w:r w:rsidR="0066704D">
        <w:rPr>
          <w:b/>
          <w:sz w:val="24"/>
          <w:szCs w:val="24"/>
        </w:rPr>
        <w:t>anctions withou</w:t>
      </w:r>
      <w:r>
        <w:rPr>
          <w:b/>
          <w:sz w:val="24"/>
          <w:szCs w:val="24"/>
        </w:rPr>
        <w:t>t a public interest disclosure e</w:t>
      </w:r>
      <w:r w:rsidR="0066704D">
        <w:rPr>
          <w:b/>
          <w:sz w:val="24"/>
          <w:szCs w:val="24"/>
        </w:rPr>
        <w:t>xception</w:t>
      </w:r>
    </w:p>
    <w:p w:rsidR="00E67298" w:rsidRDefault="00CD6657" w:rsidP="00C159F8">
      <w:pPr>
        <w:jc w:val="both"/>
        <w:rPr>
          <w:sz w:val="24"/>
          <w:szCs w:val="24"/>
        </w:rPr>
      </w:pPr>
      <w:r>
        <w:rPr>
          <w:sz w:val="24"/>
          <w:szCs w:val="24"/>
        </w:rPr>
        <w:t>Even i</w:t>
      </w:r>
      <w:r w:rsidR="008A32C7">
        <w:rPr>
          <w:sz w:val="24"/>
          <w:szCs w:val="24"/>
        </w:rPr>
        <w:t xml:space="preserve">f it is accepted that the Act is protecting </w:t>
      </w:r>
      <w:r w:rsidR="00E65B55">
        <w:rPr>
          <w:sz w:val="24"/>
          <w:szCs w:val="24"/>
        </w:rPr>
        <w:t xml:space="preserve">legitimate </w:t>
      </w:r>
      <w:r w:rsidR="008A32C7">
        <w:rPr>
          <w:sz w:val="24"/>
          <w:szCs w:val="24"/>
        </w:rPr>
        <w:t>national security</w:t>
      </w:r>
      <w:r w:rsidR="00E65B55">
        <w:rPr>
          <w:sz w:val="24"/>
          <w:szCs w:val="24"/>
        </w:rPr>
        <w:t xml:space="preserve"> or public order</w:t>
      </w:r>
      <w:r w:rsidR="008A32C7">
        <w:rPr>
          <w:sz w:val="24"/>
          <w:szCs w:val="24"/>
        </w:rPr>
        <w:t xml:space="preserve"> interests, t</w:t>
      </w:r>
      <w:r w:rsidR="00E67298">
        <w:rPr>
          <w:sz w:val="24"/>
          <w:szCs w:val="24"/>
        </w:rPr>
        <w:t xml:space="preserve">he imposition of criminal sanctions </w:t>
      </w:r>
      <w:r w:rsidR="008A32C7">
        <w:rPr>
          <w:sz w:val="24"/>
          <w:szCs w:val="24"/>
        </w:rPr>
        <w:t>(</w:t>
      </w:r>
      <w:r w:rsidR="001C6410">
        <w:rPr>
          <w:sz w:val="24"/>
          <w:szCs w:val="24"/>
        </w:rPr>
        <w:t>of</w:t>
      </w:r>
      <w:r w:rsidR="00BF4CC7">
        <w:rPr>
          <w:sz w:val="24"/>
          <w:szCs w:val="24"/>
        </w:rPr>
        <w:t xml:space="preserve"> to up to two</w:t>
      </w:r>
      <w:r w:rsidR="008A32C7">
        <w:rPr>
          <w:sz w:val="24"/>
          <w:szCs w:val="24"/>
        </w:rPr>
        <w:t xml:space="preserve"> years</w:t>
      </w:r>
      <w:r w:rsidR="001C6410">
        <w:rPr>
          <w:sz w:val="24"/>
          <w:szCs w:val="24"/>
        </w:rPr>
        <w:t>’</w:t>
      </w:r>
      <w:r w:rsidR="008A32C7">
        <w:rPr>
          <w:sz w:val="24"/>
          <w:szCs w:val="24"/>
        </w:rPr>
        <w:t xml:space="preserve"> imprisonment) </w:t>
      </w:r>
      <w:r w:rsidR="00E67298">
        <w:rPr>
          <w:sz w:val="24"/>
          <w:szCs w:val="24"/>
        </w:rPr>
        <w:t xml:space="preserve">is arguably </w:t>
      </w:r>
      <w:r w:rsidR="009F44E4">
        <w:rPr>
          <w:sz w:val="24"/>
          <w:szCs w:val="24"/>
        </w:rPr>
        <w:t xml:space="preserve">unnecessary and </w:t>
      </w:r>
      <w:r w:rsidR="00E67298">
        <w:rPr>
          <w:sz w:val="24"/>
          <w:szCs w:val="24"/>
        </w:rPr>
        <w:t xml:space="preserve">disproportionate to protecting any potential legitimate objective. To avoid attracting criminal sanction for an unauthorised disclosure under the Act, an </w:t>
      </w:r>
      <w:r w:rsidR="00E67298">
        <w:rPr>
          <w:sz w:val="24"/>
          <w:szCs w:val="24"/>
        </w:rPr>
        <w:lastRenderedPageBreak/>
        <w:t>entrusted person must point to one of the limited exceptions</w:t>
      </w:r>
      <w:r w:rsidR="0075781B">
        <w:rPr>
          <w:sz w:val="24"/>
          <w:szCs w:val="24"/>
        </w:rPr>
        <w:t xml:space="preserve"> in s.42</w:t>
      </w:r>
      <w:r w:rsidR="00E67298">
        <w:rPr>
          <w:sz w:val="24"/>
          <w:szCs w:val="24"/>
        </w:rPr>
        <w:t>. These exceptions include where the disclosure is a</w:t>
      </w:r>
      <w:r w:rsidR="0075781B">
        <w:rPr>
          <w:sz w:val="24"/>
          <w:szCs w:val="24"/>
        </w:rPr>
        <w:t>uthorised or required by law (s.</w:t>
      </w:r>
      <w:r w:rsidR="00E67298">
        <w:rPr>
          <w:sz w:val="24"/>
          <w:szCs w:val="24"/>
        </w:rPr>
        <w:t>42(2)(c)), made in the course of the entrusted person’s employment (s</w:t>
      </w:r>
      <w:r w:rsidR="0075781B">
        <w:rPr>
          <w:sz w:val="24"/>
          <w:szCs w:val="24"/>
        </w:rPr>
        <w:t>.</w:t>
      </w:r>
      <w:r w:rsidR="00E67298">
        <w:rPr>
          <w:sz w:val="24"/>
          <w:szCs w:val="24"/>
        </w:rPr>
        <w:t>42(2)(b)),</w:t>
      </w:r>
      <w:r w:rsidR="00E67298" w:rsidRPr="00A05678">
        <w:rPr>
          <w:rStyle w:val="FootnoteReference"/>
          <w:sz w:val="24"/>
          <w:szCs w:val="24"/>
        </w:rPr>
        <w:t xml:space="preserve"> </w:t>
      </w:r>
      <w:r w:rsidR="00E67298">
        <w:rPr>
          <w:sz w:val="24"/>
          <w:szCs w:val="24"/>
        </w:rPr>
        <w:t xml:space="preserve">where the information has already been </w:t>
      </w:r>
      <w:r w:rsidR="0075781B">
        <w:rPr>
          <w:sz w:val="24"/>
          <w:szCs w:val="24"/>
        </w:rPr>
        <w:t>made available to the public (s.</w:t>
      </w:r>
      <w:r w:rsidR="00E67298">
        <w:rPr>
          <w:sz w:val="24"/>
          <w:szCs w:val="24"/>
        </w:rPr>
        <w:t xml:space="preserve">49) or where the disclosure is </w:t>
      </w:r>
      <w:r w:rsidR="00E67298" w:rsidRPr="000715B6">
        <w:rPr>
          <w:sz w:val="24"/>
          <w:szCs w:val="24"/>
        </w:rPr>
        <w:t>necessary</w:t>
      </w:r>
      <w:r w:rsidR="00E67298">
        <w:rPr>
          <w:sz w:val="24"/>
          <w:szCs w:val="24"/>
        </w:rPr>
        <w:t xml:space="preserve"> to prevent or lessen a serious threat to the life or health of an individual and the purpose of the disclosure is to prevent or lessen that threat (</w:t>
      </w:r>
      <w:r w:rsidR="0075781B">
        <w:rPr>
          <w:sz w:val="24"/>
          <w:szCs w:val="24"/>
        </w:rPr>
        <w:t>s.4</w:t>
      </w:r>
      <w:r w:rsidR="00E67298">
        <w:rPr>
          <w:sz w:val="24"/>
          <w:szCs w:val="24"/>
        </w:rPr>
        <w:t>8).</w:t>
      </w:r>
      <w:r w:rsidR="0066704D">
        <w:rPr>
          <w:sz w:val="24"/>
          <w:szCs w:val="24"/>
        </w:rPr>
        <w:t xml:space="preserve"> There is no public interest disclosure exception.</w:t>
      </w:r>
    </w:p>
    <w:p w:rsidR="0066704D" w:rsidRDefault="00E67298" w:rsidP="00C159F8">
      <w:pPr>
        <w:jc w:val="both"/>
        <w:rPr>
          <w:sz w:val="24"/>
          <w:szCs w:val="24"/>
        </w:rPr>
      </w:pPr>
      <w:r>
        <w:rPr>
          <w:sz w:val="24"/>
          <w:szCs w:val="24"/>
        </w:rPr>
        <w:t xml:space="preserve">Although medical staff may be protected under the </w:t>
      </w:r>
      <w:r w:rsidR="0075781B">
        <w:rPr>
          <w:sz w:val="24"/>
          <w:szCs w:val="24"/>
        </w:rPr>
        <w:t>s.4</w:t>
      </w:r>
      <w:r>
        <w:rPr>
          <w:sz w:val="24"/>
          <w:szCs w:val="24"/>
        </w:rPr>
        <w:t xml:space="preserve">8 exception, the onus of proof is on the entrusted person to show </w:t>
      </w:r>
      <w:r w:rsidR="000516F7">
        <w:rPr>
          <w:sz w:val="24"/>
          <w:szCs w:val="24"/>
        </w:rPr>
        <w:t xml:space="preserve">not only </w:t>
      </w:r>
      <w:r>
        <w:rPr>
          <w:sz w:val="24"/>
          <w:szCs w:val="24"/>
        </w:rPr>
        <w:t xml:space="preserve">that the </w:t>
      </w:r>
      <w:r w:rsidR="000516F7">
        <w:rPr>
          <w:sz w:val="24"/>
          <w:szCs w:val="24"/>
        </w:rPr>
        <w:t xml:space="preserve">threat to the life or health of an individual is serious, but also that </w:t>
      </w:r>
      <w:r>
        <w:rPr>
          <w:sz w:val="24"/>
          <w:szCs w:val="24"/>
        </w:rPr>
        <w:t xml:space="preserve">disclosure is </w:t>
      </w:r>
      <w:r w:rsidRPr="0020008A">
        <w:rPr>
          <w:sz w:val="24"/>
          <w:szCs w:val="24"/>
        </w:rPr>
        <w:t>necessary</w:t>
      </w:r>
      <w:r>
        <w:rPr>
          <w:i/>
          <w:sz w:val="24"/>
          <w:szCs w:val="24"/>
        </w:rPr>
        <w:t xml:space="preserve"> </w:t>
      </w:r>
      <w:r>
        <w:rPr>
          <w:sz w:val="24"/>
          <w:szCs w:val="24"/>
        </w:rPr>
        <w:t xml:space="preserve">to prevent or lessen </w:t>
      </w:r>
      <w:r w:rsidR="000516F7">
        <w:rPr>
          <w:sz w:val="24"/>
          <w:szCs w:val="24"/>
        </w:rPr>
        <w:t>that serious threat</w:t>
      </w:r>
      <w:r>
        <w:rPr>
          <w:sz w:val="24"/>
          <w:szCs w:val="24"/>
        </w:rPr>
        <w:t xml:space="preserve">. </w:t>
      </w:r>
      <w:r w:rsidR="00CD6657">
        <w:rPr>
          <w:sz w:val="24"/>
          <w:szCs w:val="24"/>
        </w:rPr>
        <w:t xml:space="preserve">These provisions have </w:t>
      </w:r>
      <w:r w:rsidR="0066704D">
        <w:rPr>
          <w:sz w:val="24"/>
          <w:szCs w:val="24"/>
        </w:rPr>
        <w:t>attracted substantial criticism from medical staff and legal advocates who fear that the</w:t>
      </w:r>
      <w:r w:rsidR="000516F7">
        <w:rPr>
          <w:sz w:val="24"/>
          <w:szCs w:val="24"/>
        </w:rPr>
        <w:t>se onerous</w:t>
      </w:r>
      <w:r w:rsidR="0066704D">
        <w:rPr>
          <w:sz w:val="24"/>
          <w:szCs w:val="24"/>
        </w:rPr>
        <w:t xml:space="preserve"> secrecy provisions, along with broader powers of dismissal,</w:t>
      </w:r>
      <w:r w:rsidR="00B21B57">
        <w:rPr>
          <w:sz w:val="24"/>
          <w:szCs w:val="24"/>
        </w:rPr>
        <w:t xml:space="preserve"> “</w:t>
      </w:r>
      <w:r w:rsidR="0066704D">
        <w:rPr>
          <w:sz w:val="24"/>
          <w:szCs w:val="24"/>
        </w:rPr>
        <w:t>may discourage legitimate whistle-blo</w:t>
      </w:r>
      <w:r w:rsidR="0075781B">
        <w:rPr>
          <w:sz w:val="24"/>
          <w:szCs w:val="24"/>
        </w:rPr>
        <w:t>wers from speaking out publicly”.</w:t>
      </w:r>
      <w:r w:rsidR="0066704D">
        <w:rPr>
          <w:rStyle w:val="FootnoteReference"/>
          <w:sz w:val="24"/>
          <w:szCs w:val="24"/>
        </w:rPr>
        <w:footnoteReference w:id="18"/>
      </w:r>
      <w:r w:rsidR="0066704D">
        <w:rPr>
          <w:sz w:val="24"/>
          <w:szCs w:val="24"/>
        </w:rPr>
        <w:t xml:space="preserve"> </w:t>
      </w:r>
    </w:p>
    <w:p w:rsidR="0066704D" w:rsidRPr="00CD6657" w:rsidRDefault="00CD6657" w:rsidP="00C159F8">
      <w:pPr>
        <w:jc w:val="both"/>
        <w:rPr>
          <w:b/>
          <w:i/>
          <w:sz w:val="24"/>
          <w:szCs w:val="24"/>
        </w:rPr>
      </w:pPr>
      <w:r w:rsidRPr="00CD6657">
        <w:rPr>
          <w:b/>
          <w:sz w:val="24"/>
          <w:szCs w:val="24"/>
        </w:rPr>
        <w:t xml:space="preserve">Uncertain protection under the </w:t>
      </w:r>
      <w:r w:rsidRPr="00CD6657">
        <w:rPr>
          <w:b/>
          <w:i/>
          <w:sz w:val="24"/>
          <w:szCs w:val="24"/>
        </w:rPr>
        <w:t>Public Interest Disclosure Act 2013</w:t>
      </w:r>
    </w:p>
    <w:p w:rsidR="00CD6657" w:rsidRPr="00CD6657" w:rsidRDefault="0075781B" w:rsidP="00C159F8">
      <w:pPr>
        <w:jc w:val="both"/>
        <w:rPr>
          <w:sz w:val="24"/>
          <w:szCs w:val="24"/>
        </w:rPr>
      </w:pPr>
      <w:r>
        <w:rPr>
          <w:sz w:val="24"/>
          <w:szCs w:val="24"/>
        </w:rPr>
        <w:t>A</w:t>
      </w:r>
      <w:r w:rsidR="0086305E">
        <w:rPr>
          <w:sz w:val="24"/>
          <w:szCs w:val="24"/>
        </w:rPr>
        <w:t>lthough the</w:t>
      </w:r>
      <w:r w:rsidR="00B21B57">
        <w:rPr>
          <w:sz w:val="24"/>
          <w:szCs w:val="24"/>
        </w:rPr>
        <w:t xml:space="preserve"> “</w:t>
      </w:r>
      <w:r w:rsidR="0086305E">
        <w:rPr>
          <w:sz w:val="24"/>
          <w:szCs w:val="24"/>
        </w:rPr>
        <w:t>authorised by law</w:t>
      </w:r>
      <w:r w:rsidR="00B21B57">
        <w:rPr>
          <w:sz w:val="24"/>
          <w:szCs w:val="24"/>
        </w:rPr>
        <w:t xml:space="preserve">” </w:t>
      </w:r>
      <w:r w:rsidR="0086305E">
        <w:rPr>
          <w:sz w:val="24"/>
          <w:szCs w:val="24"/>
        </w:rPr>
        <w:t xml:space="preserve">exception in </w:t>
      </w:r>
      <w:r>
        <w:rPr>
          <w:sz w:val="24"/>
          <w:szCs w:val="24"/>
        </w:rPr>
        <w:t>s.4</w:t>
      </w:r>
      <w:r w:rsidR="0086305E">
        <w:rPr>
          <w:sz w:val="24"/>
          <w:szCs w:val="24"/>
        </w:rPr>
        <w:t xml:space="preserve">2(2)(c) may allow whistleblowers to make disclosures under the </w:t>
      </w:r>
      <w:r w:rsidR="0086305E" w:rsidRPr="0086305E">
        <w:rPr>
          <w:i/>
          <w:sz w:val="24"/>
          <w:szCs w:val="24"/>
        </w:rPr>
        <w:t>Public Interest Disclosure Act 2013</w:t>
      </w:r>
      <w:r w:rsidR="0086305E" w:rsidRPr="0086305E">
        <w:rPr>
          <w:sz w:val="24"/>
          <w:szCs w:val="24"/>
        </w:rPr>
        <w:t xml:space="preserve"> (Cth) </w:t>
      </w:r>
      <w:r w:rsidR="00B21B57">
        <w:rPr>
          <w:sz w:val="24"/>
          <w:szCs w:val="24"/>
        </w:rPr>
        <w:t>(“</w:t>
      </w:r>
      <w:r w:rsidR="0086305E">
        <w:rPr>
          <w:sz w:val="24"/>
          <w:szCs w:val="24"/>
        </w:rPr>
        <w:t>PIDA</w:t>
      </w:r>
      <w:r w:rsidR="00B21B57">
        <w:rPr>
          <w:sz w:val="24"/>
          <w:szCs w:val="24"/>
        </w:rPr>
        <w:t>”)</w:t>
      </w:r>
      <w:r w:rsidR="0086305E">
        <w:rPr>
          <w:sz w:val="24"/>
          <w:szCs w:val="24"/>
        </w:rPr>
        <w:t xml:space="preserve">, </w:t>
      </w:r>
      <w:r w:rsidR="00E67298">
        <w:rPr>
          <w:sz w:val="24"/>
          <w:szCs w:val="24"/>
        </w:rPr>
        <w:t xml:space="preserve">it is debatable to what extent the </w:t>
      </w:r>
      <w:r w:rsidR="00485161">
        <w:rPr>
          <w:sz w:val="24"/>
          <w:szCs w:val="24"/>
        </w:rPr>
        <w:t>PIDA</w:t>
      </w:r>
      <w:r w:rsidR="0086305E">
        <w:rPr>
          <w:i/>
          <w:sz w:val="24"/>
          <w:szCs w:val="24"/>
        </w:rPr>
        <w:t xml:space="preserve"> </w:t>
      </w:r>
      <w:r w:rsidR="0086305E">
        <w:rPr>
          <w:sz w:val="24"/>
          <w:szCs w:val="24"/>
        </w:rPr>
        <w:t>will actually</w:t>
      </w:r>
      <w:r w:rsidR="00E67298">
        <w:rPr>
          <w:sz w:val="24"/>
          <w:szCs w:val="24"/>
        </w:rPr>
        <w:t xml:space="preserve"> assist </w:t>
      </w:r>
      <w:r w:rsidR="0020008A">
        <w:rPr>
          <w:sz w:val="24"/>
          <w:szCs w:val="24"/>
        </w:rPr>
        <w:t>them</w:t>
      </w:r>
      <w:r w:rsidR="0066704D">
        <w:rPr>
          <w:sz w:val="24"/>
          <w:szCs w:val="24"/>
        </w:rPr>
        <w:t xml:space="preserve">. </w:t>
      </w:r>
      <w:r>
        <w:rPr>
          <w:sz w:val="24"/>
          <w:szCs w:val="24"/>
        </w:rPr>
        <w:t>Under s.</w:t>
      </w:r>
      <w:r w:rsidR="008A32C7">
        <w:rPr>
          <w:sz w:val="24"/>
          <w:szCs w:val="24"/>
        </w:rPr>
        <w:t>26 of the PIDA, t</w:t>
      </w:r>
      <w:r w:rsidR="0086305E">
        <w:rPr>
          <w:sz w:val="24"/>
          <w:szCs w:val="24"/>
        </w:rPr>
        <w:t xml:space="preserve">he IBP worker </w:t>
      </w:r>
      <w:r>
        <w:rPr>
          <w:sz w:val="24"/>
          <w:szCs w:val="24"/>
        </w:rPr>
        <w:t>must</w:t>
      </w:r>
      <w:r w:rsidR="0086305E">
        <w:rPr>
          <w:sz w:val="24"/>
          <w:szCs w:val="24"/>
        </w:rPr>
        <w:t xml:space="preserve"> first report their concerns internally, and can only then disclose </w:t>
      </w:r>
      <w:r w:rsidR="004907D7">
        <w:rPr>
          <w:sz w:val="24"/>
          <w:szCs w:val="24"/>
        </w:rPr>
        <w:t xml:space="preserve">them </w:t>
      </w:r>
      <w:r w:rsidR="0086305E">
        <w:rPr>
          <w:sz w:val="24"/>
          <w:szCs w:val="24"/>
        </w:rPr>
        <w:t>to outside parties if they believe</w:t>
      </w:r>
      <w:r w:rsidR="0020008A">
        <w:rPr>
          <w:sz w:val="24"/>
          <w:szCs w:val="24"/>
        </w:rPr>
        <w:t xml:space="preserve"> </w:t>
      </w:r>
      <w:r w:rsidR="0086305E">
        <w:rPr>
          <w:sz w:val="24"/>
          <w:szCs w:val="24"/>
        </w:rPr>
        <w:t>on reasonable grounds</w:t>
      </w:r>
      <w:r w:rsidR="00B21B57">
        <w:rPr>
          <w:sz w:val="24"/>
          <w:szCs w:val="24"/>
        </w:rPr>
        <w:t xml:space="preserve"> </w:t>
      </w:r>
      <w:r w:rsidR="0086305E">
        <w:rPr>
          <w:sz w:val="24"/>
          <w:szCs w:val="24"/>
        </w:rPr>
        <w:t>that the investiga</w:t>
      </w:r>
      <w:r w:rsidR="00CD6657">
        <w:rPr>
          <w:sz w:val="24"/>
          <w:szCs w:val="24"/>
        </w:rPr>
        <w:t xml:space="preserve">tion </w:t>
      </w:r>
      <w:r w:rsidR="004907D7">
        <w:rPr>
          <w:sz w:val="24"/>
          <w:szCs w:val="24"/>
        </w:rPr>
        <w:t xml:space="preserve">into </w:t>
      </w:r>
      <w:r w:rsidR="00CD6657">
        <w:rPr>
          <w:sz w:val="24"/>
          <w:szCs w:val="24"/>
        </w:rPr>
        <w:t>or response</w:t>
      </w:r>
      <w:r w:rsidR="004907D7">
        <w:rPr>
          <w:sz w:val="24"/>
          <w:szCs w:val="24"/>
        </w:rPr>
        <w:t xml:space="preserve"> to their concerns</w:t>
      </w:r>
      <w:r w:rsidR="00CD6657">
        <w:rPr>
          <w:sz w:val="24"/>
          <w:szCs w:val="24"/>
        </w:rPr>
        <w:t xml:space="preserve"> was inadequate or a required investigation was delayed.</w:t>
      </w:r>
      <w:r w:rsidR="003E2E61">
        <w:rPr>
          <w:rStyle w:val="FootnoteReference"/>
          <w:sz w:val="24"/>
          <w:szCs w:val="24"/>
        </w:rPr>
        <w:footnoteReference w:id="19"/>
      </w:r>
      <w:r w:rsidR="0086305E">
        <w:rPr>
          <w:sz w:val="24"/>
          <w:szCs w:val="24"/>
        </w:rPr>
        <w:t xml:space="preserve"> </w:t>
      </w:r>
      <w:r w:rsidR="00485161">
        <w:rPr>
          <w:sz w:val="24"/>
          <w:szCs w:val="24"/>
        </w:rPr>
        <w:t xml:space="preserve">Furthermore, the </w:t>
      </w:r>
      <w:r w:rsidR="00CD6657">
        <w:rPr>
          <w:sz w:val="24"/>
          <w:szCs w:val="24"/>
        </w:rPr>
        <w:t>disclosure must not be contrary to the</w:t>
      </w:r>
      <w:r w:rsidR="00B21B57">
        <w:rPr>
          <w:sz w:val="24"/>
          <w:szCs w:val="24"/>
        </w:rPr>
        <w:t xml:space="preserve"> “</w:t>
      </w:r>
      <w:r w:rsidR="00CD6657">
        <w:rPr>
          <w:sz w:val="24"/>
          <w:szCs w:val="24"/>
        </w:rPr>
        <w:t>public interest</w:t>
      </w:r>
      <w:r w:rsidR="00B21B57">
        <w:rPr>
          <w:sz w:val="24"/>
          <w:szCs w:val="24"/>
        </w:rPr>
        <w:t>”,</w:t>
      </w:r>
      <w:r w:rsidR="00CD6657">
        <w:rPr>
          <w:rStyle w:val="FootnoteReference"/>
          <w:sz w:val="24"/>
          <w:szCs w:val="24"/>
        </w:rPr>
        <w:footnoteReference w:id="20"/>
      </w:r>
      <w:r w:rsidR="00D52244">
        <w:rPr>
          <w:sz w:val="24"/>
          <w:szCs w:val="24"/>
        </w:rPr>
        <w:t xml:space="preserve"> a term not </w:t>
      </w:r>
      <w:r w:rsidR="004907D7">
        <w:rPr>
          <w:sz w:val="24"/>
          <w:szCs w:val="24"/>
        </w:rPr>
        <w:t xml:space="preserve">directly </w:t>
      </w:r>
      <w:r w:rsidR="00D52244">
        <w:rPr>
          <w:sz w:val="24"/>
          <w:szCs w:val="24"/>
        </w:rPr>
        <w:t>defined in the PIDA,</w:t>
      </w:r>
      <w:r w:rsidR="00CD6657">
        <w:rPr>
          <w:sz w:val="24"/>
          <w:szCs w:val="24"/>
        </w:rPr>
        <w:t xml:space="preserve"> and must not disclose more information than is reasonably necessary to identify instances of disclosable conduct.</w:t>
      </w:r>
      <w:r w:rsidR="00CD6657">
        <w:rPr>
          <w:rStyle w:val="FootnoteReference"/>
          <w:sz w:val="24"/>
          <w:szCs w:val="24"/>
        </w:rPr>
        <w:footnoteReference w:id="21"/>
      </w:r>
      <w:r w:rsidR="00CD6657">
        <w:rPr>
          <w:sz w:val="24"/>
          <w:szCs w:val="24"/>
        </w:rPr>
        <w:t xml:space="preserve"> </w:t>
      </w:r>
      <w:r w:rsidR="00D52244">
        <w:rPr>
          <w:sz w:val="24"/>
          <w:szCs w:val="24"/>
        </w:rPr>
        <w:t>Even</w:t>
      </w:r>
      <w:r w:rsidR="002A7E10">
        <w:rPr>
          <w:sz w:val="24"/>
          <w:szCs w:val="24"/>
        </w:rPr>
        <w:t xml:space="preserve"> for emergency disclosures, the discloser must show reasonable grounds for believing there is a</w:t>
      </w:r>
      <w:r w:rsidR="00B21B57">
        <w:rPr>
          <w:sz w:val="24"/>
          <w:szCs w:val="24"/>
        </w:rPr>
        <w:t xml:space="preserve"> “</w:t>
      </w:r>
      <w:r w:rsidR="002A7E10">
        <w:rPr>
          <w:sz w:val="24"/>
          <w:szCs w:val="24"/>
        </w:rPr>
        <w:t>substantial and imminent danger to health or safety</w:t>
      </w:r>
      <w:r w:rsidR="00B21B57">
        <w:rPr>
          <w:sz w:val="24"/>
          <w:szCs w:val="24"/>
        </w:rPr>
        <w:t>”,</w:t>
      </w:r>
      <w:r w:rsidR="002A7E10">
        <w:rPr>
          <w:sz w:val="24"/>
          <w:szCs w:val="24"/>
        </w:rPr>
        <w:t xml:space="preserve"> show</w:t>
      </w:r>
      <w:r w:rsidR="00B21B57">
        <w:rPr>
          <w:sz w:val="24"/>
          <w:szCs w:val="24"/>
        </w:rPr>
        <w:t xml:space="preserve"> “</w:t>
      </w:r>
      <w:r w:rsidR="002A7E10">
        <w:rPr>
          <w:sz w:val="24"/>
          <w:szCs w:val="24"/>
        </w:rPr>
        <w:t>exceptional circumstances</w:t>
      </w:r>
      <w:r w:rsidR="00B21B57">
        <w:rPr>
          <w:sz w:val="24"/>
          <w:szCs w:val="24"/>
        </w:rPr>
        <w:t xml:space="preserve">” </w:t>
      </w:r>
      <w:r w:rsidR="002A7E10">
        <w:rPr>
          <w:sz w:val="24"/>
          <w:szCs w:val="24"/>
        </w:rPr>
        <w:t>justifying failure to make an internal disclosure, a</w:t>
      </w:r>
      <w:r w:rsidR="00485161">
        <w:rPr>
          <w:sz w:val="24"/>
          <w:szCs w:val="24"/>
        </w:rPr>
        <w:t>nd must still be confident the</w:t>
      </w:r>
      <w:r w:rsidR="002A7E10">
        <w:rPr>
          <w:sz w:val="24"/>
          <w:szCs w:val="24"/>
        </w:rPr>
        <w:t xml:space="preserve"> disclosure is no greater than </w:t>
      </w:r>
      <w:r w:rsidR="0020008A">
        <w:rPr>
          <w:sz w:val="24"/>
          <w:szCs w:val="24"/>
        </w:rPr>
        <w:t xml:space="preserve">is </w:t>
      </w:r>
      <w:r w:rsidR="002A7E10">
        <w:rPr>
          <w:sz w:val="24"/>
          <w:szCs w:val="24"/>
        </w:rPr>
        <w:t>necessary.</w:t>
      </w:r>
      <w:r w:rsidR="002A7E10">
        <w:rPr>
          <w:rStyle w:val="FootnoteReference"/>
          <w:sz w:val="24"/>
          <w:szCs w:val="24"/>
        </w:rPr>
        <w:footnoteReference w:id="22"/>
      </w:r>
      <w:r w:rsidR="002A7E10">
        <w:rPr>
          <w:sz w:val="24"/>
          <w:szCs w:val="24"/>
        </w:rPr>
        <w:t xml:space="preserve"> Such limitations may act as strong disincentives for IBP workers to make disclosures relating to breaches of human rights in detention centres, for fear of </w:t>
      </w:r>
      <w:r w:rsidR="004907D7">
        <w:rPr>
          <w:sz w:val="24"/>
          <w:szCs w:val="24"/>
        </w:rPr>
        <w:t>conviction and</w:t>
      </w:r>
      <w:r w:rsidR="002A7E10">
        <w:rPr>
          <w:sz w:val="24"/>
          <w:szCs w:val="24"/>
        </w:rPr>
        <w:t xml:space="preserve"> imprisonment if unprotected by the </w:t>
      </w:r>
      <w:r w:rsidR="002A7E10" w:rsidRPr="006173D0">
        <w:rPr>
          <w:sz w:val="24"/>
          <w:szCs w:val="24"/>
        </w:rPr>
        <w:t>PIDA</w:t>
      </w:r>
      <w:r w:rsidR="002A7E10">
        <w:rPr>
          <w:sz w:val="24"/>
          <w:szCs w:val="24"/>
        </w:rPr>
        <w:t>.</w:t>
      </w:r>
    </w:p>
    <w:p w:rsidR="00485161" w:rsidRDefault="00485161" w:rsidP="00C159F8">
      <w:pPr>
        <w:jc w:val="both"/>
        <w:rPr>
          <w:sz w:val="24"/>
          <w:szCs w:val="24"/>
        </w:rPr>
      </w:pPr>
      <w:r>
        <w:rPr>
          <w:sz w:val="24"/>
          <w:szCs w:val="24"/>
        </w:rPr>
        <w:t>T</w:t>
      </w:r>
      <w:r w:rsidR="0086305E">
        <w:rPr>
          <w:sz w:val="24"/>
          <w:szCs w:val="24"/>
        </w:rPr>
        <w:t>he</w:t>
      </w:r>
      <w:r w:rsidR="003E2E61">
        <w:rPr>
          <w:sz w:val="24"/>
          <w:szCs w:val="24"/>
        </w:rPr>
        <w:t xml:space="preserve">re are </w:t>
      </w:r>
      <w:r w:rsidR="008A32C7">
        <w:rPr>
          <w:sz w:val="24"/>
          <w:szCs w:val="24"/>
        </w:rPr>
        <w:t>other</w:t>
      </w:r>
      <w:r w:rsidR="003E2E61">
        <w:rPr>
          <w:sz w:val="24"/>
          <w:szCs w:val="24"/>
        </w:rPr>
        <w:t xml:space="preserve"> qualifications that may act as barriers to whistleblowers disclosing information regarding detention </w:t>
      </w:r>
      <w:r w:rsidR="008A32C7">
        <w:rPr>
          <w:sz w:val="24"/>
          <w:szCs w:val="24"/>
        </w:rPr>
        <w:t>centres</w:t>
      </w:r>
      <w:r w:rsidR="003E2E61">
        <w:rPr>
          <w:sz w:val="24"/>
          <w:szCs w:val="24"/>
        </w:rPr>
        <w:t xml:space="preserve">. </w:t>
      </w:r>
      <w:r w:rsidR="002A7E10">
        <w:rPr>
          <w:sz w:val="24"/>
          <w:szCs w:val="24"/>
        </w:rPr>
        <w:t xml:space="preserve">Under the </w:t>
      </w:r>
      <w:r w:rsidR="002A7E10" w:rsidRPr="006173D0">
        <w:rPr>
          <w:sz w:val="24"/>
          <w:szCs w:val="24"/>
        </w:rPr>
        <w:t>PIDA</w:t>
      </w:r>
      <w:r w:rsidR="002A7E10">
        <w:rPr>
          <w:sz w:val="24"/>
          <w:szCs w:val="24"/>
        </w:rPr>
        <w:t>, disclosers</w:t>
      </w:r>
      <w:r w:rsidR="00CD6657">
        <w:rPr>
          <w:sz w:val="24"/>
          <w:szCs w:val="24"/>
        </w:rPr>
        <w:t xml:space="preserve"> must not</w:t>
      </w:r>
      <w:r w:rsidR="002A7E10">
        <w:rPr>
          <w:sz w:val="24"/>
          <w:szCs w:val="24"/>
        </w:rPr>
        <w:t xml:space="preserve"> </w:t>
      </w:r>
      <w:r w:rsidR="00CD6657">
        <w:rPr>
          <w:sz w:val="24"/>
          <w:szCs w:val="24"/>
        </w:rPr>
        <w:t>make</w:t>
      </w:r>
      <w:r w:rsidR="00B21B57">
        <w:rPr>
          <w:sz w:val="24"/>
          <w:szCs w:val="24"/>
        </w:rPr>
        <w:t xml:space="preserve"> </w:t>
      </w:r>
      <w:r>
        <w:rPr>
          <w:sz w:val="24"/>
          <w:szCs w:val="24"/>
        </w:rPr>
        <w:t xml:space="preserve">public any </w:t>
      </w:r>
      <w:r w:rsidR="00B21B57">
        <w:rPr>
          <w:sz w:val="24"/>
          <w:szCs w:val="24"/>
        </w:rPr>
        <w:t>“</w:t>
      </w:r>
      <w:r w:rsidR="0086305E">
        <w:rPr>
          <w:sz w:val="24"/>
          <w:szCs w:val="24"/>
        </w:rPr>
        <w:t>sensitive law enforcement</w:t>
      </w:r>
      <w:r w:rsidR="0078336D" w:rsidRPr="0078336D">
        <w:rPr>
          <w:sz w:val="24"/>
          <w:szCs w:val="24"/>
        </w:rPr>
        <w:t xml:space="preserve"> </w:t>
      </w:r>
      <w:r w:rsidR="0078336D">
        <w:rPr>
          <w:sz w:val="24"/>
          <w:szCs w:val="24"/>
        </w:rPr>
        <w:t>information</w:t>
      </w:r>
      <w:r w:rsidR="00B21B57">
        <w:rPr>
          <w:sz w:val="24"/>
          <w:szCs w:val="24"/>
        </w:rPr>
        <w:t>”</w:t>
      </w:r>
      <w:r w:rsidR="002A7E10">
        <w:rPr>
          <w:sz w:val="24"/>
          <w:szCs w:val="24"/>
        </w:rPr>
        <w:t>, and this</w:t>
      </w:r>
      <w:r w:rsidR="003E2E61">
        <w:rPr>
          <w:sz w:val="24"/>
          <w:szCs w:val="24"/>
        </w:rPr>
        <w:t xml:space="preserve"> </w:t>
      </w:r>
      <w:r w:rsidR="0078336D">
        <w:rPr>
          <w:sz w:val="24"/>
          <w:szCs w:val="24"/>
        </w:rPr>
        <w:t xml:space="preserve">is </w:t>
      </w:r>
      <w:r w:rsidR="003E2E61">
        <w:rPr>
          <w:sz w:val="24"/>
          <w:szCs w:val="24"/>
        </w:rPr>
        <w:t>defined to include information that is</w:t>
      </w:r>
      <w:r w:rsidR="00B21B57">
        <w:rPr>
          <w:sz w:val="24"/>
          <w:szCs w:val="24"/>
        </w:rPr>
        <w:t xml:space="preserve"> “</w:t>
      </w:r>
      <w:r w:rsidR="003E2E61">
        <w:rPr>
          <w:sz w:val="24"/>
          <w:szCs w:val="24"/>
        </w:rPr>
        <w:t>reasonably likely to prejudice Australia’s law enforcement interests</w:t>
      </w:r>
      <w:r w:rsidR="00B21B57">
        <w:rPr>
          <w:sz w:val="24"/>
          <w:szCs w:val="24"/>
        </w:rPr>
        <w:t xml:space="preserve">” </w:t>
      </w:r>
      <w:r w:rsidR="006173D0">
        <w:rPr>
          <w:sz w:val="24"/>
          <w:szCs w:val="24"/>
        </w:rPr>
        <w:t xml:space="preserve">including Australia’s </w:t>
      </w:r>
      <w:r w:rsidR="006173D0">
        <w:rPr>
          <w:sz w:val="24"/>
          <w:szCs w:val="24"/>
        </w:rPr>
        <w:lastRenderedPageBreak/>
        <w:t>interest in</w:t>
      </w:r>
      <w:r w:rsidR="00B21B57">
        <w:rPr>
          <w:sz w:val="24"/>
          <w:szCs w:val="24"/>
        </w:rPr>
        <w:t xml:space="preserve"> “</w:t>
      </w:r>
      <w:r w:rsidR="006173D0">
        <w:rPr>
          <w:sz w:val="24"/>
          <w:szCs w:val="24"/>
        </w:rPr>
        <w:t>avoiding disruption to national and international efforts relating to law enforcement</w:t>
      </w:r>
      <w:r w:rsidR="00B21B57">
        <w:rPr>
          <w:sz w:val="24"/>
          <w:szCs w:val="24"/>
        </w:rPr>
        <w:t>”.</w:t>
      </w:r>
      <w:r w:rsidR="003E2E61">
        <w:rPr>
          <w:rStyle w:val="FootnoteReference"/>
          <w:sz w:val="24"/>
          <w:szCs w:val="24"/>
        </w:rPr>
        <w:footnoteReference w:id="23"/>
      </w:r>
      <w:r>
        <w:rPr>
          <w:sz w:val="24"/>
          <w:szCs w:val="24"/>
        </w:rPr>
        <w:t xml:space="preserve"> With the current focus on international cooperation in preventing people-smuggling, the government could argue that these provisions apply to </w:t>
      </w:r>
      <w:r w:rsidR="003517EF">
        <w:rPr>
          <w:sz w:val="24"/>
          <w:szCs w:val="24"/>
        </w:rPr>
        <w:t>preclude the disclosure of</w:t>
      </w:r>
      <w:r w:rsidR="0078336D">
        <w:rPr>
          <w:sz w:val="24"/>
          <w:szCs w:val="24"/>
        </w:rPr>
        <w:t xml:space="preserve"> any</w:t>
      </w:r>
      <w:r w:rsidR="003517EF">
        <w:rPr>
          <w:sz w:val="24"/>
          <w:szCs w:val="24"/>
        </w:rPr>
        <w:t xml:space="preserve"> information relating to detention conditions.</w:t>
      </w:r>
    </w:p>
    <w:p w:rsidR="001B10B2" w:rsidRDefault="008A32C7" w:rsidP="00C159F8">
      <w:pPr>
        <w:jc w:val="both"/>
        <w:rPr>
          <w:sz w:val="24"/>
          <w:szCs w:val="24"/>
        </w:rPr>
      </w:pPr>
      <w:r>
        <w:rPr>
          <w:sz w:val="24"/>
          <w:szCs w:val="24"/>
        </w:rPr>
        <w:t xml:space="preserve">Additionally, </w:t>
      </w:r>
      <w:r w:rsidR="002A7E10">
        <w:rPr>
          <w:sz w:val="24"/>
          <w:szCs w:val="24"/>
        </w:rPr>
        <w:t>u</w:t>
      </w:r>
      <w:r w:rsidR="002A7E10" w:rsidRPr="002A7E10">
        <w:rPr>
          <w:sz w:val="24"/>
          <w:szCs w:val="24"/>
        </w:rPr>
        <w:t>nder the PIDA</w:t>
      </w:r>
      <w:r w:rsidR="002A7E10">
        <w:rPr>
          <w:sz w:val="24"/>
          <w:szCs w:val="24"/>
        </w:rPr>
        <w:t xml:space="preserve"> s</w:t>
      </w:r>
      <w:r w:rsidR="0078336D">
        <w:rPr>
          <w:sz w:val="24"/>
          <w:szCs w:val="24"/>
        </w:rPr>
        <w:t>.</w:t>
      </w:r>
      <w:r w:rsidR="002A7E10">
        <w:rPr>
          <w:sz w:val="24"/>
          <w:szCs w:val="24"/>
        </w:rPr>
        <w:t>26(2A)</w:t>
      </w:r>
      <w:r w:rsidR="002A7E10" w:rsidRPr="002A7E10">
        <w:rPr>
          <w:sz w:val="24"/>
          <w:szCs w:val="24"/>
        </w:rPr>
        <w:t xml:space="preserve">, a response to a disclosure investigation is not to be </w:t>
      </w:r>
      <w:r w:rsidR="001B10B2">
        <w:rPr>
          <w:sz w:val="24"/>
          <w:szCs w:val="24"/>
        </w:rPr>
        <w:t xml:space="preserve">regarded as </w:t>
      </w:r>
      <w:r w:rsidR="002A7E10" w:rsidRPr="002A7E10">
        <w:rPr>
          <w:sz w:val="24"/>
          <w:szCs w:val="24"/>
        </w:rPr>
        <w:t>inadequate to the extent that the response involves action that has been, is being or</w:t>
      </w:r>
      <w:r w:rsidR="001B10B2">
        <w:rPr>
          <w:sz w:val="24"/>
          <w:szCs w:val="24"/>
        </w:rPr>
        <w:t xml:space="preserve"> is to be taken by a Minister. </w:t>
      </w:r>
      <w:r w:rsidR="006173D0">
        <w:rPr>
          <w:sz w:val="24"/>
          <w:szCs w:val="24"/>
        </w:rPr>
        <w:t>Thus</w:t>
      </w:r>
      <w:r w:rsidR="007D4106">
        <w:rPr>
          <w:sz w:val="24"/>
          <w:szCs w:val="24"/>
        </w:rPr>
        <w:t>,</w:t>
      </w:r>
      <w:r w:rsidR="001B10B2">
        <w:rPr>
          <w:sz w:val="24"/>
          <w:szCs w:val="24"/>
        </w:rPr>
        <w:t xml:space="preserve"> however effective or ineffective such Ministerial   action is likely to be in </w:t>
      </w:r>
      <w:r w:rsidR="004907D7">
        <w:rPr>
          <w:sz w:val="24"/>
          <w:szCs w:val="24"/>
        </w:rPr>
        <w:t>responding to</w:t>
      </w:r>
      <w:r w:rsidR="001B10B2">
        <w:rPr>
          <w:sz w:val="24"/>
          <w:szCs w:val="24"/>
        </w:rPr>
        <w:t xml:space="preserve"> the </w:t>
      </w:r>
      <w:r w:rsidR="004907D7">
        <w:rPr>
          <w:sz w:val="24"/>
          <w:szCs w:val="24"/>
        </w:rPr>
        <w:t>concerns</w:t>
      </w:r>
      <w:r w:rsidR="001B10B2">
        <w:rPr>
          <w:sz w:val="24"/>
          <w:szCs w:val="24"/>
        </w:rPr>
        <w:t xml:space="preserve"> that </w:t>
      </w:r>
      <w:r w:rsidR="004907D7">
        <w:rPr>
          <w:sz w:val="24"/>
          <w:szCs w:val="24"/>
        </w:rPr>
        <w:t>were</w:t>
      </w:r>
      <w:r w:rsidR="001B10B2">
        <w:rPr>
          <w:sz w:val="24"/>
          <w:szCs w:val="24"/>
        </w:rPr>
        <w:t xml:space="preserve"> disclosed</w:t>
      </w:r>
      <w:r w:rsidR="007D4106">
        <w:rPr>
          <w:sz w:val="24"/>
          <w:szCs w:val="24"/>
        </w:rPr>
        <w:t xml:space="preserve"> internally</w:t>
      </w:r>
      <w:r w:rsidR="001B10B2">
        <w:rPr>
          <w:sz w:val="24"/>
          <w:szCs w:val="24"/>
        </w:rPr>
        <w:t xml:space="preserve">, </w:t>
      </w:r>
      <w:r w:rsidR="007D4106">
        <w:rPr>
          <w:sz w:val="24"/>
          <w:szCs w:val="24"/>
        </w:rPr>
        <w:t>external</w:t>
      </w:r>
      <w:r w:rsidR="001B10B2">
        <w:rPr>
          <w:sz w:val="24"/>
          <w:szCs w:val="24"/>
        </w:rPr>
        <w:t xml:space="preserve"> disclosure is prohibited.</w:t>
      </w:r>
      <w:r w:rsidR="001B10B2">
        <w:rPr>
          <w:rStyle w:val="FootnoteReference"/>
          <w:sz w:val="24"/>
          <w:szCs w:val="24"/>
        </w:rPr>
        <w:footnoteReference w:id="24"/>
      </w:r>
    </w:p>
    <w:p w:rsidR="00E67298" w:rsidRPr="0037305D" w:rsidRDefault="007D4106" w:rsidP="00C159F8">
      <w:pPr>
        <w:jc w:val="both"/>
        <w:rPr>
          <w:sz w:val="24"/>
          <w:szCs w:val="24"/>
        </w:rPr>
      </w:pPr>
      <w:r>
        <w:rPr>
          <w:sz w:val="24"/>
          <w:szCs w:val="24"/>
        </w:rPr>
        <w:t>G</w:t>
      </w:r>
      <w:r w:rsidR="006173D0">
        <w:rPr>
          <w:sz w:val="24"/>
          <w:szCs w:val="24"/>
        </w:rPr>
        <w:t xml:space="preserve">iven the limited scope of the PIDA in protecting whistleblowers, it could be argued that there are no sufficient public interest exceptions that would justify a blanket restriction on free speech under the Act. Even </w:t>
      </w:r>
      <w:r w:rsidR="00E67298">
        <w:rPr>
          <w:sz w:val="24"/>
          <w:szCs w:val="24"/>
        </w:rPr>
        <w:t>if disclosure may not</w:t>
      </w:r>
      <w:r>
        <w:rPr>
          <w:sz w:val="24"/>
          <w:szCs w:val="24"/>
        </w:rPr>
        <w:t xml:space="preserve"> inevitably</w:t>
      </w:r>
      <w:r w:rsidR="00B21B57">
        <w:rPr>
          <w:sz w:val="24"/>
          <w:szCs w:val="24"/>
        </w:rPr>
        <w:t xml:space="preserve"> </w:t>
      </w:r>
      <w:r w:rsidR="00E67298">
        <w:rPr>
          <w:sz w:val="24"/>
          <w:szCs w:val="24"/>
        </w:rPr>
        <w:t>result in imprisonment, whistle</w:t>
      </w:r>
      <w:r w:rsidR="0052536D">
        <w:rPr>
          <w:sz w:val="24"/>
          <w:szCs w:val="24"/>
        </w:rPr>
        <w:t>b</w:t>
      </w:r>
      <w:r w:rsidR="00E67298">
        <w:rPr>
          <w:sz w:val="24"/>
          <w:szCs w:val="24"/>
        </w:rPr>
        <w:t xml:space="preserve">lowers </w:t>
      </w:r>
      <w:r w:rsidR="006173D0">
        <w:rPr>
          <w:sz w:val="24"/>
          <w:szCs w:val="24"/>
        </w:rPr>
        <w:t xml:space="preserve">may refrain from making disclosures for fear of not meeting the relevant tests </w:t>
      </w:r>
      <w:r w:rsidR="004907D7">
        <w:rPr>
          <w:sz w:val="24"/>
          <w:szCs w:val="24"/>
        </w:rPr>
        <w:t>for</w:t>
      </w:r>
      <w:r w:rsidR="006173D0">
        <w:rPr>
          <w:sz w:val="24"/>
          <w:szCs w:val="24"/>
        </w:rPr>
        <w:t xml:space="preserve"> an exception or protection under the PIDA. </w:t>
      </w:r>
    </w:p>
    <w:p w:rsidR="006173D0" w:rsidRPr="004711FE" w:rsidRDefault="007D4106" w:rsidP="00C159F8">
      <w:pPr>
        <w:jc w:val="both"/>
        <w:rPr>
          <w:b/>
          <w:sz w:val="24"/>
          <w:szCs w:val="24"/>
        </w:rPr>
      </w:pPr>
      <w:r>
        <w:rPr>
          <w:b/>
          <w:sz w:val="24"/>
          <w:szCs w:val="24"/>
        </w:rPr>
        <w:t>Unjustifiable b</w:t>
      </w:r>
      <w:r w:rsidR="006173D0">
        <w:rPr>
          <w:b/>
          <w:sz w:val="24"/>
          <w:szCs w:val="24"/>
        </w:rPr>
        <w:t xml:space="preserve">reach of ICCPR </w:t>
      </w:r>
      <w:r>
        <w:rPr>
          <w:b/>
          <w:sz w:val="24"/>
          <w:szCs w:val="24"/>
        </w:rPr>
        <w:t>f</w:t>
      </w:r>
      <w:r w:rsidR="006173D0">
        <w:rPr>
          <w:b/>
          <w:sz w:val="24"/>
          <w:szCs w:val="24"/>
        </w:rPr>
        <w:t xml:space="preserve">reedom of </w:t>
      </w:r>
      <w:r>
        <w:rPr>
          <w:b/>
          <w:sz w:val="24"/>
          <w:szCs w:val="24"/>
        </w:rPr>
        <w:t>s</w:t>
      </w:r>
      <w:r w:rsidR="006173D0">
        <w:rPr>
          <w:b/>
          <w:sz w:val="24"/>
          <w:szCs w:val="24"/>
        </w:rPr>
        <w:t>peech</w:t>
      </w:r>
    </w:p>
    <w:p w:rsidR="00E67298" w:rsidRDefault="00BD576E" w:rsidP="00C159F8">
      <w:pPr>
        <w:jc w:val="both"/>
        <w:rPr>
          <w:sz w:val="24"/>
          <w:szCs w:val="24"/>
        </w:rPr>
      </w:pPr>
      <w:r>
        <w:rPr>
          <w:sz w:val="24"/>
          <w:szCs w:val="24"/>
        </w:rPr>
        <w:t xml:space="preserve">Given these concerns, </w:t>
      </w:r>
      <w:r w:rsidR="007D4106">
        <w:rPr>
          <w:sz w:val="24"/>
          <w:szCs w:val="24"/>
        </w:rPr>
        <w:t>we submit</w:t>
      </w:r>
      <w:r>
        <w:rPr>
          <w:sz w:val="24"/>
          <w:szCs w:val="24"/>
        </w:rPr>
        <w:t xml:space="preserve"> that Part 6 of the Australian Border Force Act is not justified by any exceptions to Article 19(2) of the ICCPR, leaving Australia in breach of its international obligation to</w:t>
      </w:r>
      <w:r w:rsidR="002C610A">
        <w:rPr>
          <w:sz w:val="24"/>
          <w:szCs w:val="24"/>
        </w:rPr>
        <w:t xml:space="preserve"> protect freedom of expression. As shown, t</w:t>
      </w:r>
      <w:r w:rsidR="00931259">
        <w:rPr>
          <w:sz w:val="24"/>
          <w:szCs w:val="24"/>
        </w:rPr>
        <w:t>he</w:t>
      </w:r>
      <w:r w:rsidR="00B21B57">
        <w:rPr>
          <w:sz w:val="24"/>
          <w:szCs w:val="24"/>
        </w:rPr>
        <w:t xml:space="preserve"> “</w:t>
      </w:r>
      <w:r w:rsidR="00931259">
        <w:rPr>
          <w:sz w:val="24"/>
          <w:szCs w:val="24"/>
        </w:rPr>
        <w:t>protected information</w:t>
      </w:r>
      <w:r w:rsidR="00B21B57">
        <w:rPr>
          <w:sz w:val="24"/>
          <w:szCs w:val="24"/>
        </w:rPr>
        <w:t xml:space="preserve">” </w:t>
      </w:r>
      <w:r w:rsidR="00931259">
        <w:rPr>
          <w:sz w:val="24"/>
          <w:szCs w:val="24"/>
        </w:rPr>
        <w:t>is not linked to any</w:t>
      </w:r>
      <w:r w:rsidR="00B21B57">
        <w:rPr>
          <w:sz w:val="24"/>
          <w:szCs w:val="24"/>
        </w:rPr>
        <w:t xml:space="preserve"> “</w:t>
      </w:r>
      <w:r w:rsidR="00931259">
        <w:rPr>
          <w:sz w:val="24"/>
          <w:szCs w:val="24"/>
        </w:rPr>
        <w:t>harm</w:t>
      </w:r>
      <w:r w:rsidR="00B21B57">
        <w:rPr>
          <w:sz w:val="24"/>
          <w:szCs w:val="24"/>
        </w:rPr>
        <w:t xml:space="preserve">” </w:t>
      </w:r>
      <w:r w:rsidR="00931259">
        <w:rPr>
          <w:sz w:val="24"/>
          <w:szCs w:val="24"/>
        </w:rPr>
        <w:t xml:space="preserve">to an </w:t>
      </w:r>
      <w:r w:rsidR="00931259" w:rsidRPr="00931259">
        <w:rPr>
          <w:sz w:val="24"/>
          <w:szCs w:val="24"/>
        </w:rPr>
        <w:t>identified essential public interest</w:t>
      </w:r>
      <w:r w:rsidR="00931259">
        <w:rPr>
          <w:sz w:val="24"/>
          <w:szCs w:val="24"/>
        </w:rPr>
        <w:t>, and the absence of a public interest exception leaves whistleblowers vulnerable to the imposition of criminal sanctions</w:t>
      </w:r>
      <w:r w:rsidR="00FE0425">
        <w:rPr>
          <w:sz w:val="24"/>
          <w:szCs w:val="24"/>
        </w:rPr>
        <w:t xml:space="preserve"> for speaking out against conditions in immigration detention centres</w:t>
      </w:r>
      <w:r w:rsidR="00931259">
        <w:rPr>
          <w:sz w:val="24"/>
          <w:szCs w:val="24"/>
        </w:rPr>
        <w:t>.</w:t>
      </w:r>
      <w:r w:rsidR="00FE0425" w:rsidRPr="00FE0425">
        <w:t xml:space="preserve"> </w:t>
      </w:r>
      <w:r w:rsidR="00FE0425" w:rsidRPr="00FE0425">
        <w:rPr>
          <w:sz w:val="24"/>
          <w:szCs w:val="24"/>
        </w:rPr>
        <w:t>As stated in the Preamble to the Universal Declaration of Human Rights,</w:t>
      </w:r>
      <w:r w:rsidR="00B21B57">
        <w:rPr>
          <w:sz w:val="24"/>
          <w:szCs w:val="24"/>
        </w:rPr>
        <w:t xml:space="preserve"> “</w:t>
      </w:r>
      <w:r w:rsidR="00FE0425" w:rsidRPr="00FE0425">
        <w:rPr>
          <w:sz w:val="24"/>
          <w:szCs w:val="24"/>
        </w:rPr>
        <w:t>the advent of a world in which human beings shall enjoy freedom of speech and belief and freedom from fear and want has been proclaimed as the highest aspiration of the common people</w:t>
      </w:r>
      <w:r w:rsidR="00B21B57">
        <w:rPr>
          <w:sz w:val="24"/>
          <w:szCs w:val="24"/>
        </w:rPr>
        <w:t>”.</w:t>
      </w:r>
      <w:r w:rsidR="00FE0425">
        <w:rPr>
          <w:sz w:val="24"/>
          <w:szCs w:val="24"/>
        </w:rPr>
        <w:t xml:space="preserve"> If Australia is to ensure its legislation remains in line with </w:t>
      </w:r>
      <w:r w:rsidR="002C610A">
        <w:rPr>
          <w:sz w:val="24"/>
          <w:szCs w:val="24"/>
        </w:rPr>
        <w:t xml:space="preserve">international standards, this Act should be amended </w:t>
      </w:r>
      <w:r w:rsidR="002C610A" w:rsidRPr="006744F7">
        <w:rPr>
          <w:sz w:val="24"/>
          <w:szCs w:val="24"/>
        </w:rPr>
        <w:t>to define the scope</w:t>
      </w:r>
      <w:r w:rsidR="002C610A">
        <w:rPr>
          <w:sz w:val="24"/>
          <w:szCs w:val="24"/>
        </w:rPr>
        <w:t xml:space="preserve"> of unlawful disclosures and ensure </w:t>
      </w:r>
      <w:r w:rsidR="004907D7">
        <w:rPr>
          <w:sz w:val="24"/>
          <w:szCs w:val="24"/>
        </w:rPr>
        <w:t xml:space="preserve">that </w:t>
      </w:r>
      <w:r w:rsidR="002C610A">
        <w:rPr>
          <w:sz w:val="24"/>
          <w:szCs w:val="24"/>
        </w:rPr>
        <w:t>adequate protective measures are afforded to those who seek to shine a light on potential instances of abuse or human rights violations in immigration detention centres.</w:t>
      </w:r>
    </w:p>
    <w:p w:rsidR="003A74C9" w:rsidRDefault="003A74C9" w:rsidP="00C159F8">
      <w:pPr>
        <w:spacing w:after="0"/>
        <w:jc w:val="both"/>
        <w:rPr>
          <w:rFonts w:cs="Times New Roman"/>
          <w:b/>
          <w:sz w:val="28"/>
          <w:szCs w:val="24"/>
          <w:lang w:val="en-US"/>
        </w:rPr>
      </w:pPr>
    </w:p>
    <w:p w:rsidR="00306131" w:rsidRPr="003A74C9" w:rsidRDefault="002A416C" w:rsidP="00C159F8">
      <w:pPr>
        <w:spacing w:after="0"/>
        <w:jc w:val="both"/>
        <w:rPr>
          <w:rFonts w:cs="Times New Roman"/>
          <w:b/>
          <w:sz w:val="28"/>
          <w:szCs w:val="24"/>
          <w:lang w:val="en-US"/>
        </w:rPr>
      </w:pPr>
      <w:r w:rsidRPr="003A74C9">
        <w:rPr>
          <w:rFonts w:cs="Times New Roman"/>
          <w:b/>
          <w:sz w:val="28"/>
          <w:szCs w:val="24"/>
          <w:lang w:val="en-US"/>
        </w:rPr>
        <w:t>Convention on the Rights of the Child</w:t>
      </w:r>
    </w:p>
    <w:p w:rsidR="003A74C9" w:rsidRDefault="003A74C9" w:rsidP="00C159F8">
      <w:pPr>
        <w:spacing w:after="0"/>
        <w:jc w:val="both"/>
        <w:rPr>
          <w:rFonts w:cs="Times New Roman"/>
          <w:sz w:val="24"/>
          <w:szCs w:val="24"/>
          <w:lang w:val="en-US"/>
        </w:rPr>
      </w:pPr>
    </w:p>
    <w:p w:rsidR="00306131" w:rsidRPr="00306131" w:rsidRDefault="00306131" w:rsidP="00C159F8">
      <w:pPr>
        <w:spacing w:after="0"/>
        <w:jc w:val="both"/>
        <w:rPr>
          <w:rFonts w:cs="Times New Roman"/>
          <w:sz w:val="24"/>
          <w:szCs w:val="24"/>
          <w:lang w:val="en-US"/>
        </w:rPr>
      </w:pPr>
      <w:r w:rsidRPr="00306131">
        <w:rPr>
          <w:rFonts w:cs="Times New Roman"/>
          <w:sz w:val="24"/>
          <w:szCs w:val="24"/>
          <w:lang w:val="en-US"/>
        </w:rPr>
        <w:t xml:space="preserve">The </w:t>
      </w:r>
      <w:r w:rsidR="006744F7">
        <w:rPr>
          <w:rFonts w:cs="Times New Roman"/>
          <w:sz w:val="24"/>
          <w:szCs w:val="24"/>
          <w:lang w:val="en-US"/>
        </w:rPr>
        <w:t>potential</w:t>
      </w:r>
      <w:r w:rsidRPr="00306131">
        <w:rPr>
          <w:rFonts w:cs="Times New Roman"/>
          <w:sz w:val="24"/>
          <w:szCs w:val="24"/>
          <w:lang w:val="en-US"/>
        </w:rPr>
        <w:t xml:space="preserve"> degradation of the freedom of expression enshrined </w:t>
      </w:r>
      <w:r w:rsidR="006744F7">
        <w:rPr>
          <w:rFonts w:cs="Times New Roman"/>
          <w:sz w:val="24"/>
          <w:szCs w:val="24"/>
          <w:lang w:val="en-US"/>
        </w:rPr>
        <w:t>in</w:t>
      </w:r>
      <w:r w:rsidRPr="00306131">
        <w:rPr>
          <w:rFonts w:cs="Times New Roman"/>
          <w:sz w:val="24"/>
          <w:szCs w:val="24"/>
          <w:lang w:val="en-US"/>
        </w:rPr>
        <w:t xml:space="preserve"> the ICCPR resulting from the operation of the Act has further implications for Australia’s obligations under the </w:t>
      </w:r>
      <w:r w:rsidRPr="00306131">
        <w:rPr>
          <w:rFonts w:cs="Times New Roman"/>
          <w:i/>
          <w:sz w:val="24"/>
          <w:szCs w:val="24"/>
          <w:lang w:val="en-US"/>
        </w:rPr>
        <w:t>Convention on the</w:t>
      </w:r>
      <w:r w:rsidR="006744F7">
        <w:rPr>
          <w:rFonts w:cs="Times New Roman"/>
          <w:i/>
          <w:sz w:val="24"/>
          <w:szCs w:val="24"/>
          <w:lang w:val="en-US"/>
        </w:rPr>
        <w:t xml:space="preserve"> Rights of the</w:t>
      </w:r>
      <w:r w:rsidRPr="00306131">
        <w:rPr>
          <w:rFonts w:cs="Times New Roman"/>
          <w:i/>
          <w:sz w:val="24"/>
          <w:szCs w:val="24"/>
          <w:lang w:val="en-US"/>
        </w:rPr>
        <w:t xml:space="preserve"> Child</w:t>
      </w:r>
      <w:r w:rsidRPr="00306131">
        <w:rPr>
          <w:rFonts w:cs="Times New Roman"/>
          <w:sz w:val="24"/>
          <w:szCs w:val="24"/>
          <w:vertAlign w:val="superscript"/>
          <w:lang w:val="en-US"/>
        </w:rPr>
        <w:footnoteReference w:id="25"/>
      </w:r>
      <w:r w:rsidRPr="00306131">
        <w:rPr>
          <w:rFonts w:cs="Times New Roman"/>
          <w:sz w:val="24"/>
          <w:szCs w:val="24"/>
          <w:lang w:val="en-US"/>
        </w:rPr>
        <w:t xml:space="preserve"> (CROC). </w:t>
      </w:r>
      <w:r>
        <w:rPr>
          <w:rFonts w:cs="Times New Roman"/>
          <w:sz w:val="24"/>
          <w:szCs w:val="24"/>
          <w:lang w:val="en-US"/>
        </w:rPr>
        <w:t xml:space="preserve">As outlined above, </w:t>
      </w:r>
      <w:r w:rsidRPr="00306131">
        <w:rPr>
          <w:rFonts w:cs="Times New Roman"/>
          <w:sz w:val="24"/>
          <w:szCs w:val="24"/>
          <w:lang w:val="en-US"/>
        </w:rPr>
        <w:t xml:space="preserve">without domestic </w:t>
      </w:r>
      <w:r w:rsidRPr="00306131">
        <w:rPr>
          <w:rFonts w:cs="Times New Roman"/>
          <w:sz w:val="24"/>
          <w:szCs w:val="24"/>
          <w:lang w:val="en-US"/>
        </w:rPr>
        <w:lastRenderedPageBreak/>
        <w:t>incorporation</w:t>
      </w:r>
      <w:r w:rsidR="004907D7">
        <w:rPr>
          <w:rFonts w:cs="Times New Roman"/>
          <w:sz w:val="24"/>
          <w:szCs w:val="24"/>
          <w:lang w:val="en-US"/>
        </w:rPr>
        <w:t>,</w:t>
      </w:r>
      <w:r w:rsidRPr="00306131">
        <w:rPr>
          <w:rFonts w:cs="Times New Roman"/>
          <w:sz w:val="24"/>
          <w:szCs w:val="24"/>
          <w:lang w:val="en-US"/>
        </w:rPr>
        <w:t xml:space="preserve"> international obligations cannot be </w:t>
      </w:r>
      <w:r w:rsidR="006744F7">
        <w:rPr>
          <w:rFonts w:cs="Times New Roman"/>
          <w:sz w:val="24"/>
          <w:szCs w:val="24"/>
          <w:lang w:val="en-US"/>
        </w:rPr>
        <w:t>a direct</w:t>
      </w:r>
      <w:r w:rsidRPr="00306131">
        <w:rPr>
          <w:rFonts w:cs="Times New Roman"/>
          <w:sz w:val="24"/>
          <w:szCs w:val="24"/>
          <w:lang w:val="en-US"/>
        </w:rPr>
        <w:t xml:space="preserve"> source of legal obligation</w:t>
      </w:r>
      <w:r w:rsidR="006744F7">
        <w:rPr>
          <w:rFonts w:cs="Times New Roman"/>
          <w:sz w:val="24"/>
          <w:szCs w:val="24"/>
          <w:lang w:val="en-US"/>
        </w:rPr>
        <w:t xml:space="preserve"> under Australian law</w:t>
      </w:r>
      <w:r w:rsidRPr="00306131">
        <w:rPr>
          <w:rFonts w:cs="Times New Roman"/>
          <w:sz w:val="24"/>
          <w:szCs w:val="24"/>
          <w:lang w:val="en-US"/>
        </w:rPr>
        <w:t>.</w:t>
      </w:r>
      <w:r w:rsidRPr="00306131">
        <w:rPr>
          <w:rFonts w:cs="Times New Roman"/>
          <w:sz w:val="24"/>
          <w:szCs w:val="24"/>
          <w:vertAlign w:val="superscript"/>
          <w:lang w:val="en-US"/>
        </w:rPr>
        <w:footnoteReference w:id="26"/>
      </w:r>
      <w:r w:rsidRPr="00306131">
        <w:rPr>
          <w:rFonts w:cs="Times New Roman"/>
          <w:sz w:val="24"/>
          <w:szCs w:val="24"/>
          <w:lang w:val="en-US"/>
        </w:rPr>
        <w:t xml:space="preserve"> However</w:t>
      </w:r>
      <w:r w:rsidR="006744F7">
        <w:rPr>
          <w:rFonts w:cs="Times New Roman"/>
          <w:sz w:val="24"/>
          <w:szCs w:val="24"/>
          <w:lang w:val="en-US"/>
        </w:rPr>
        <w:t>, the</w:t>
      </w:r>
      <w:r w:rsidRPr="00306131">
        <w:rPr>
          <w:rFonts w:cs="Times New Roman"/>
          <w:sz w:val="24"/>
          <w:szCs w:val="24"/>
          <w:lang w:val="en-US"/>
        </w:rPr>
        <w:t xml:space="preserve"> ratification of </w:t>
      </w:r>
      <w:r w:rsidR="006744F7">
        <w:rPr>
          <w:rFonts w:cs="Times New Roman"/>
          <w:sz w:val="24"/>
          <w:szCs w:val="24"/>
          <w:lang w:val="en-US"/>
        </w:rPr>
        <w:t>treaties may</w:t>
      </w:r>
      <w:r w:rsidRPr="00306131">
        <w:rPr>
          <w:rFonts w:cs="Times New Roman"/>
          <w:sz w:val="24"/>
          <w:szCs w:val="24"/>
          <w:lang w:val="en-US"/>
        </w:rPr>
        <w:t xml:space="preserve"> signify a</w:t>
      </w:r>
      <w:r w:rsidR="00B21B57">
        <w:rPr>
          <w:rFonts w:cs="Times New Roman"/>
          <w:sz w:val="24"/>
          <w:szCs w:val="24"/>
          <w:lang w:val="en-US"/>
        </w:rPr>
        <w:t xml:space="preserve"> “</w:t>
      </w:r>
      <w:r w:rsidRPr="00306131">
        <w:rPr>
          <w:rFonts w:cs="Times New Roman"/>
          <w:sz w:val="24"/>
          <w:szCs w:val="24"/>
          <w:lang w:val="en-US"/>
        </w:rPr>
        <w:t>positive statement by the executive government of the country</w:t>
      </w:r>
      <w:r w:rsidR="00B21B57">
        <w:rPr>
          <w:rFonts w:cs="Times New Roman"/>
          <w:sz w:val="24"/>
          <w:szCs w:val="24"/>
          <w:lang w:val="en-US"/>
        </w:rPr>
        <w:t xml:space="preserve">” </w:t>
      </w:r>
      <w:r w:rsidRPr="00306131">
        <w:rPr>
          <w:rFonts w:cs="Times New Roman"/>
          <w:sz w:val="24"/>
          <w:szCs w:val="24"/>
          <w:lang w:val="en-US"/>
        </w:rPr>
        <w:t>that it will</w:t>
      </w:r>
      <w:r w:rsidR="00B21B57">
        <w:rPr>
          <w:rFonts w:cs="Times New Roman"/>
          <w:sz w:val="24"/>
          <w:szCs w:val="24"/>
          <w:lang w:val="en-US"/>
        </w:rPr>
        <w:t xml:space="preserve"> “</w:t>
      </w:r>
      <w:r w:rsidRPr="00306131">
        <w:rPr>
          <w:rFonts w:cs="Times New Roman"/>
          <w:sz w:val="24"/>
          <w:szCs w:val="24"/>
          <w:lang w:val="en-US"/>
        </w:rPr>
        <w:t>act in accordance with the Convention</w:t>
      </w:r>
      <w:r w:rsidR="00B21B57">
        <w:rPr>
          <w:rFonts w:cs="Times New Roman"/>
          <w:sz w:val="24"/>
          <w:szCs w:val="24"/>
          <w:lang w:val="en-US"/>
        </w:rPr>
        <w:t xml:space="preserve">” </w:t>
      </w:r>
      <w:r w:rsidRPr="00306131">
        <w:rPr>
          <w:rFonts w:cs="Times New Roman"/>
          <w:sz w:val="24"/>
          <w:szCs w:val="24"/>
          <w:lang w:val="en-US"/>
        </w:rPr>
        <w:t>and may create a</w:t>
      </w:r>
      <w:r w:rsidR="00B21B57">
        <w:rPr>
          <w:rFonts w:cs="Times New Roman"/>
          <w:sz w:val="24"/>
          <w:szCs w:val="24"/>
          <w:lang w:val="en-US"/>
        </w:rPr>
        <w:t xml:space="preserve"> “</w:t>
      </w:r>
      <w:r w:rsidRPr="00306131">
        <w:rPr>
          <w:rFonts w:cs="Times New Roman"/>
          <w:sz w:val="24"/>
          <w:szCs w:val="24"/>
          <w:lang w:val="en-US"/>
        </w:rPr>
        <w:t xml:space="preserve">legitimate expectation that administrative-decision makers will act in </w:t>
      </w:r>
      <w:r w:rsidR="006744F7">
        <w:rPr>
          <w:rFonts w:cs="Times New Roman"/>
          <w:sz w:val="24"/>
          <w:szCs w:val="24"/>
          <w:lang w:val="en-US"/>
        </w:rPr>
        <w:t>conformity with the convention.”</w:t>
      </w:r>
      <w:r w:rsidRPr="00306131">
        <w:rPr>
          <w:rFonts w:cs="Times New Roman"/>
          <w:sz w:val="24"/>
          <w:szCs w:val="24"/>
          <w:vertAlign w:val="superscript"/>
          <w:lang w:val="en-US"/>
        </w:rPr>
        <w:footnoteReference w:id="27"/>
      </w:r>
    </w:p>
    <w:p w:rsidR="00306131" w:rsidRPr="00306131" w:rsidRDefault="00306131" w:rsidP="00C159F8">
      <w:pPr>
        <w:spacing w:after="0"/>
        <w:jc w:val="both"/>
        <w:rPr>
          <w:rFonts w:cs="Times New Roman"/>
          <w:sz w:val="24"/>
          <w:szCs w:val="24"/>
          <w:lang w:val="en-US"/>
        </w:rPr>
      </w:pPr>
    </w:p>
    <w:p w:rsidR="00306131" w:rsidRDefault="00306131" w:rsidP="00C159F8">
      <w:pPr>
        <w:spacing w:after="0"/>
        <w:jc w:val="both"/>
        <w:rPr>
          <w:rFonts w:cs="Times New Roman"/>
          <w:sz w:val="24"/>
          <w:szCs w:val="24"/>
          <w:lang w:val="en-US"/>
        </w:rPr>
      </w:pPr>
      <w:r w:rsidRPr="00306131">
        <w:rPr>
          <w:rFonts w:cs="Times New Roman"/>
          <w:sz w:val="24"/>
          <w:szCs w:val="24"/>
          <w:lang w:val="en-US"/>
        </w:rPr>
        <w:t>CROC establishes that</w:t>
      </w:r>
      <w:r w:rsidR="00B21B57">
        <w:rPr>
          <w:rFonts w:cs="Times New Roman"/>
          <w:sz w:val="24"/>
          <w:szCs w:val="24"/>
          <w:lang w:val="en-US"/>
        </w:rPr>
        <w:t xml:space="preserve"> “</w:t>
      </w:r>
      <w:r w:rsidR="00FF5EBB">
        <w:rPr>
          <w:rFonts w:cs="Times New Roman"/>
          <w:sz w:val="24"/>
          <w:szCs w:val="24"/>
          <w:lang w:val="en-US"/>
        </w:rPr>
        <w:t xml:space="preserve">[i]n all actions concerning children … </w:t>
      </w:r>
      <w:r w:rsidRPr="00306131">
        <w:rPr>
          <w:rFonts w:cs="Times New Roman"/>
          <w:sz w:val="24"/>
          <w:szCs w:val="24"/>
          <w:lang w:val="en-US"/>
        </w:rPr>
        <w:t xml:space="preserve">the best interests of the child shall be </w:t>
      </w:r>
      <w:r w:rsidR="00FF5EBB">
        <w:rPr>
          <w:rFonts w:cs="Times New Roman"/>
          <w:sz w:val="24"/>
          <w:szCs w:val="24"/>
          <w:lang w:val="en-US"/>
        </w:rPr>
        <w:t>a</w:t>
      </w:r>
      <w:r w:rsidRPr="00306131">
        <w:rPr>
          <w:rFonts w:cs="Times New Roman"/>
          <w:sz w:val="24"/>
          <w:szCs w:val="24"/>
          <w:lang w:val="en-US"/>
        </w:rPr>
        <w:t xml:space="preserve"> </w:t>
      </w:r>
      <w:r w:rsidR="00FF5EBB">
        <w:rPr>
          <w:rFonts w:cs="Times New Roman"/>
          <w:sz w:val="24"/>
          <w:szCs w:val="24"/>
          <w:lang w:val="en-US"/>
        </w:rPr>
        <w:t>primary</w:t>
      </w:r>
      <w:r w:rsidRPr="00306131">
        <w:rPr>
          <w:rFonts w:cs="Times New Roman"/>
          <w:sz w:val="24"/>
          <w:szCs w:val="24"/>
          <w:lang w:val="en-US"/>
        </w:rPr>
        <w:t xml:space="preserve"> consideration.</w:t>
      </w:r>
      <w:r w:rsidR="009E1693">
        <w:rPr>
          <w:rFonts w:cs="Times New Roman"/>
          <w:sz w:val="24"/>
          <w:szCs w:val="24"/>
          <w:lang w:val="en-US"/>
        </w:rPr>
        <w:t>”</w:t>
      </w:r>
      <w:r w:rsidRPr="00306131">
        <w:rPr>
          <w:rFonts w:cs="Times New Roman"/>
          <w:sz w:val="24"/>
          <w:szCs w:val="24"/>
          <w:vertAlign w:val="superscript"/>
          <w:lang w:val="en-US"/>
        </w:rPr>
        <w:footnoteReference w:id="28"/>
      </w:r>
      <w:r w:rsidRPr="00306131">
        <w:rPr>
          <w:rFonts w:cs="Times New Roman"/>
          <w:sz w:val="24"/>
          <w:szCs w:val="24"/>
          <w:lang w:val="en-US"/>
        </w:rPr>
        <w:t xml:space="preserve"> </w:t>
      </w:r>
      <w:r w:rsidR="003205AB">
        <w:rPr>
          <w:rFonts w:cs="Times New Roman"/>
          <w:sz w:val="24"/>
          <w:szCs w:val="24"/>
          <w:lang w:val="en-US"/>
        </w:rPr>
        <w:t xml:space="preserve">Although </w:t>
      </w:r>
      <w:r w:rsidRPr="00306131">
        <w:rPr>
          <w:rFonts w:cs="Times New Roman"/>
          <w:sz w:val="24"/>
          <w:szCs w:val="24"/>
          <w:lang w:val="en-US"/>
        </w:rPr>
        <w:t xml:space="preserve">CROC imposes obligations on State parties to ensure that </w:t>
      </w:r>
      <w:r w:rsidR="009E1693">
        <w:rPr>
          <w:rFonts w:cs="Times New Roman"/>
          <w:sz w:val="24"/>
          <w:szCs w:val="24"/>
          <w:lang w:val="en-US"/>
        </w:rPr>
        <w:t xml:space="preserve">the </w:t>
      </w:r>
      <w:r w:rsidRPr="00306131">
        <w:rPr>
          <w:rFonts w:cs="Times New Roman"/>
          <w:sz w:val="24"/>
          <w:szCs w:val="24"/>
          <w:lang w:val="en-US"/>
        </w:rPr>
        <w:t>detention of children is utili</w:t>
      </w:r>
      <w:r w:rsidR="009E1693">
        <w:rPr>
          <w:rFonts w:cs="Times New Roman"/>
          <w:sz w:val="24"/>
          <w:szCs w:val="24"/>
          <w:lang w:val="en-US"/>
        </w:rPr>
        <w:t>s</w:t>
      </w:r>
      <w:r w:rsidRPr="00306131">
        <w:rPr>
          <w:rFonts w:cs="Times New Roman"/>
          <w:sz w:val="24"/>
          <w:szCs w:val="24"/>
          <w:lang w:val="en-US"/>
        </w:rPr>
        <w:t>ed</w:t>
      </w:r>
      <w:r w:rsidR="00B21B57">
        <w:rPr>
          <w:rFonts w:cs="Times New Roman"/>
          <w:sz w:val="24"/>
          <w:szCs w:val="24"/>
          <w:lang w:val="en-US"/>
        </w:rPr>
        <w:t xml:space="preserve"> “</w:t>
      </w:r>
      <w:r w:rsidRPr="00306131">
        <w:rPr>
          <w:rFonts w:cs="Times New Roman"/>
          <w:sz w:val="24"/>
          <w:szCs w:val="24"/>
          <w:lang w:val="en-US"/>
        </w:rPr>
        <w:t>only as a measure of last resort and for the shor</w:t>
      </w:r>
      <w:r w:rsidR="003205AB">
        <w:rPr>
          <w:rFonts w:cs="Times New Roman"/>
          <w:sz w:val="24"/>
          <w:szCs w:val="24"/>
          <w:lang w:val="en-US"/>
        </w:rPr>
        <w:t>test appropriate period of time,</w:t>
      </w:r>
      <w:r w:rsidR="009E1693">
        <w:rPr>
          <w:rFonts w:cs="Times New Roman"/>
          <w:sz w:val="24"/>
          <w:szCs w:val="24"/>
          <w:lang w:val="en-US"/>
        </w:rPr>
        <w:t>”</w:t>
      </w:r>
      <w:r w:rsidRPr="00306131">
        <w:rPr>
          <w:rFonts w:cs="Times New Roman"/>
          <w:sz w:val="24"/>
          <w:szCs w:val="24"/>
          <w:vertAlign w:val="superscript"/>
          <w:lang w:val="en-US"/>
        </w:rPr>
        <w:footnoteReference w:id="29"/>
      </w:r>
      <w:r w:rsidRPr="00306131">
        <w:rPr>
          <w:rFonts w:cs="Times New Roman"/>
          <w:sz w:val="24"/>
          <w:szCs w:val="24"/>
          <w:lang w:val="en-US"/>
        </w:rPr>
        <w:t xml:space="preserve"> </w:t>
      </w:r>
      <w:r w:rsidR="003205AB">
        <w:rPr>
          <w:rFonts w:cs="Times New Roman"/>
          <w:sz w:val="24"/>
          <w:szCs w:val="24"/>
          <w:lang w:val="en-US"/>
        </w:rPr>
        <w:t>the p</w:t>
      </w:r>
      <w:r w:rsidR="009E1693">
        <w:rPr>
          <w:rFonts w:cs="Times New Roman"/>
          <w:sz w:val="24"/>
          <w:szCs w:val="24"/>
          <w:lang w:val="en-US"/>
        </w:rPr>
        <w:t>otentially</w:t>
      </w:r>
      <w:r w:rsidRPr="00306131">
        <w:rPr>
          <w:rFonts w:cs="Times New Roman"/>
          <w:sz w:val="24"/>
          <w:szCs w:val="24"/>
          <w:lang w:val="en-US"/>
        </w:rPr>
        <w:t xml:space="preserve"> indefinite detention of </w:t>
      </w:r>
      <w:r w:rsidR="009E1693">
        <w:rPr>
          <w:rFonts w:cs="Times New Roman"/>
          <w:sz w:val="24"/>
          <w:szCs w:val="24"/>
          <w:lang w:val="en-US"/>
        </w:rPr>
        <w:t>asylum-seekers,</w:t>
      </w:r>
      <w:r w:rsidRPr="00306131">
        <w:rPr>
          <w:rFonts w:cs="Times New Roman"/>
          <w:sz w:val="24"/>
          <w:szCs w:val="24"/>
          <w:lang w:val="en-US"/>
        </w:rPr>
        <w:t xml:space="preserve"> </w:t>
      </w:r>
      <w:r w:rsidR="009E1693" w:rsidRPr="00306131">
        <w:rPr>
          <w:rFonts w:cs="Times New Roman"/>
          <w:sz w:val="24"/>
          <w:szCs w:val="24"/>
          <w:lang w:val="en-US"/>
        </w:rPr>
        <w:t xml:space="preserve">many of whom are children, </w:t>
      </w:r>
      <w:r w:rsidR="003205AB">
        <w:rPr>
          <w:rFonts w:cs="Times New Roman"/>
          <w:sz w:val="24"/>
          <w:szCs w:val="24"/>
          <w:lang w:val="en-US"/>
        </w:rPr>
        <w:t>is currently</w:t>
      </w:r>
      <w:r w:rsidRPr="00306131">
        <w:rPr>
          <w:rFonts w:cs="Times New Roman"/>
          <w:sz w:val="24"/>
          <w:szCs w:val="24"/>
          <w:lang w:val="en-US"/>
        </w:rPr>
        <w:t xml:space="preserve"> part of </w:t>
      </w:r>
      <w:r w:rsidR="003205AB">
        <w:rPr>
          <w:rFonts w:cs="Times New Roman"/>
          <w:sz w:val="24"/>
          <w:szCs w:val="24"/>
          <w:lang w:val="en-US"/>
        </w:rPr>
        <w:t xml:space="preserve">Australian </w:t>
      </w:r>
      <w:r w:rsidRPr="00306131">
        <w:rPr>
          <w:rFonts w:cs="Times New Roman"/>
          <w:sz w:val="24"/>
          <w:szCs w:val="24"/>
          <w:lang w:val="en-US"/>
        </w:rPr>
        <w:t>government</w:t>
      </w:r>
      <w:r w:rsidR="009E1693">
        <w:rPr>
          <w:rFonts w:cs="Times New Roman"/>
          <w:sz w:val="24"/>
          <w:szCs w:val="24"/>
          <w:lang w:val="en-US"/>
        </w:rPr>
        <w:t xml:space="preserve"> policy</w:t>
      </w:r>
      <w:r w:rsidR="003205AB">
        <w:rPr>
          <w:rFonts w:cs="Times New Roman"/>
          <w:sz w:val="24"/>
          <w:szCs w:val="24"/>
          <w:lang w:val="en-US"/>
        </w:rPr>
        <w:t xml:space="preserve">. </w:t>
      </w:r>
      <w:r w:rsidR="002870F9">
        <w:rPr>
          <w:rFonts w:cs="Times New Roman"/>
          <w:sz w:val="24"/>
          <w:szCs w:val="24"/>
          <w:lang w:val="en-US"/>
        </w:rPr>
        <w:t xml:space="preserve">As currently drafted, the Act prohibits the disclosure by an </w:t>
      </w:r>
      <w:r w:rsidR="002870F9" w:rsidRPr="005B506E">
        <w:rPr>
          <w:sz w:val="24"/>
          <w:szCs w:val="24"/>
        </w:rPr>
        <w:t>IBP worker</w:t>
      </w:r>
      <w:r w:rsidR="002870F9">
        <w:rPr>
          <w:rFonts w:cs="Times New Roman"/>
          <w:sz w:val="24"/>
          <w:szCs w:val="24"/>
          <w:lang w:val="en-US"/>
        </w:rPr>
        <w:t xml:space="preserve"> of a</w:t>
      </w:r>
      <w:r w:rsidR="003205AB">
        <w:rPr>
          <w:rFonts w:cs="Times New Roman"/>
          <w:sz w:val="24"/>
          <w:szCs w:val="24"/>
          <w:lang w:val="en-US"/>
        </w:rPr>
        <w:t xml:space="preserve">ny information </w:t>
      </w:r>
      <w:r w:rsidR="002870F9">
        <w:rPr>
          <w:rFonts w:cs="Times New Roman"/>
          <w:sz w:val="24"/>
          <w:szCs w:val="24"/>
          <w:lang w:val="en-US"/>
        </w:rPr>
        <w:t xml:space="preserve">at all </w:t>
      </w:r>
      <w:r w:rsidR="003205AB">
        <w:rPr>
          <w:rFonts w:cs="Times New Roman"/>
          <w:sz w:val="24"/>
          <w:szCs w:val="24"/>
          <w:lang w:val="en-US"/>
        </w:rPr>
        <w:t>concerning children in detention</w:t>
      </w:r>
      <w:r w:rsidR="002870F9">
        <w:rPr>
          <w:rFonts w:cs="Times New Roman"/>
          <w:sz w:val="24"/>
          <w:szCs w:val="24"/>
          <w:lang w:val="en-US"/>
        </w:rPr>
        <w:t xml:space="preserve">.  This does not exactly encourage Australian </w:t>
      </w:r>
      <w:r w:rsidRPr="00306131">
        <w:rPr>
          <w:rFonts w:cs="Times New Roman"/>
          <w:sz w:val="24"/>
          <w:szCs w:val="24"/>
          <w:lang w:val="en-US"/>
        </w:rPr>
        <w:t xml:space="preserve">compliance with </w:t>
      </w:r>
      <w:r w:rsidR="002870F9">
        <w:rPr>
          <w:rFonts w:cs="Times New Roman"/>
          <w:sz w:val="24"/>
          <w:szCs w:val="24"/>
          <w:lang w:val="en-US"/>
        </w:rPr>
        <w:t>its</w:t>
      </w:r>
      <w:r w:rsidRPr="00306131">
        <w:rPr>
          <w:rFonts w:cs="Times New Roman"/>
          <w:sz w:val="24"/>
          <w:szCs w:val="24"/>
          <w:lang w:val="en-US"/>
        </w:rPr>
        <w:t xml:space="preserve"> obligations under CROC. </w:t>
      </w:r>
    </w:p>
    <w:p w:rsidR="003205AB" w:rsidRPr="00306131" w:rsidRDefault="003205AB" w:rsidP="00C159F8">
      <w:pPr>
        <w:spacing w:after="0"/>
        <w:jc w:val="both"/>
        <w:rPr>
          <w:rFonts w:cs="Times New Roman"/>
          <w:sz w:val="24"/>
          <w:szCs w:val="24"/>
          <w:lang w:val="en-US"/>
        </w:rPr>
      </w:pPr>
    </w:p>
    <w:p w:rsidR="003205AB" w:rsidRPr="00306131" w:rsidRDefault="003205AB" w:rsidP="003205AB">
      <w:pPr>
        <w:spacing w:after="0"/>
        <w:jc w:val="both"/>
        <w:rPr>
          <w:rFonts w:cs="Times New Roman"/>
          <w:sz w:val="24"/>
          <w:szCs w:val="24"/>
          <w:lang w:val="en-US"/>
        </w:rPr>
      </w:pPr>
      <w:r w:rsidRPr="00306131">
        <w:rPr>
          <w:rFonts w:cs="Times New Roman"/>
          <w:sz w:val="24"/>
          <w:szCs w:val="24"/>
          <w:lang w:val="en-US"/>
        </w:rPr>
        <w:t xml:space="preserve">The need </w:t>
      </w:r>
      <w:r>
        <w:rPr>
          <w:rFonts w:cs="Times New Roman"/>
          <w:sz w:val="24"/>
          <w:szCs w:val="24"/>
          <w:lang w:val="en-US"/>
        </w:rPr>
        <w:t>to</w:t>
      </w:r>
      <w:r w:rsidRPr="00306131">
        <w:rPr>
          <w:rFonts w:cs="Times New Roman"/>
          <w:sz w:val="24"/>
          <w:szCs w:val="24"/>
          <w:lang w:val="en-US"/>
        </w:rPr>
        <w:t xml:space="preserve"> tak</w:t>
      </w:r>
      <w:r>
        <w:rPr>
          <w:rFonts w:cs="Times New Roman"/>
          <w:sz w:val="24"/>
          <w:szCs w:val="24"/>
          <w:lang w:val="en-US"/>
        </w:rPr>
        <w:t>e</w:t>
      </w:r>
      <w:r w:rsidRPr="00306131">
        <w:rPr>
          <w:rFonts w:cs="Times New Roman"/>
          <w:sz w:val="24"/>
          <w:szCs w:val="24"/>
          <w:lang w:val="en-US"/>
        </w:rPr>
        <w:t xml:space="preserve"> into account broader international obligation</w:t>
      </w:r>
      <w:r>
        <w:rPr>
          <w:rFonts w:cs="Times New Roman"/>
          <w:sz w:val="24"/>
          <w:szCs w:val="24"/>
          <w:lang w:val="en-US"/>
        </w:rPr>
        <w:t>s</w:t>
      </w:r>
      <w:r w:rsidRPr="00306131">
        <w:rPr>
          <w:rFonts w:cs="Times New Roman"/>
          <w:sz w:val="24"/>
          <w:szCs w:val="24"/>
          <w:lang w:val="en-US"/>
        </w:rPr>
        <w:t xml:space="preserve"> enshrining rights and freedoms which are not </w:t>
      </w:r>
      <w:r>
        <w:rPr>
          <w:rFonts w:cs="Times New Roman"/>
          <w:sz w:val="24"/>
          <w:szCs w:val="24"/>
          <w:lang w:val="en-US"/>
        </w:rPr>
        <w:t>considered</w:t>
      </w:r>
      <w:r w:rsidRPr="00306131">
        <w:rPr>
          <w:rFonts w:cs="Times New Roman"/>
          <w:sz w:val="24"/>
          <w:szCs w:val="24"/>
          <w:lang w:val="en-US"/>
        </w:rPr>
        <w:t xml:space="preserve"> traditional rights and freedoms according to the Interim Report was </w:t>
      </w:r>
      <w:r>
        <w:rPr>
          <w:rFonts w:cs="Times New Roman"/>
          <w:sz w:val="24"/>
          <w:szCs w:val="24"/>
          <w:lang w:val="en-US"/>
        </w:rPr>
        <w:t>noted</w:t>
      </w:r>
      <w:r w:rsidRPr="00306131">
        <w:rPr>
          <w:rFonts w:cs="Times New Roman"/>
          <w:sz w:val="24"/>
          <w:szCs w:val="24"/>
          <w:lang w:val="en-US"/>
        </w:rPr>
        <w:t xml:space="preserve"> by </w:t>
      </w:r>
      <w:r>
        <w:rPr>
          <w:rFonts w:cs="Times New Roman"/>
          <w:sz w:val="24"/>
          <w:szCs w:val="24"/>
          <w:lang w:val="en-US"/>
        </w:rPr>
        <w:t xml:space="preserve">the </w:t>
      </w:r>
      <w:r w:rsidRPr="00D47682">
        <w:rPr>
          <w:rFonts w:cs="Times New Roman"/>
          <w:sz w:val="24"/>
          <w:szCs w:val="24"/>
          <w:lang w:val="en-US"/>
        </w:rPr>
        <w:t xml:space="preserve">Castan Centre for Human Rights Law </w:t>
      </w:r>
      <w:r w:rsidRPr="00306131">
        <w:rPr>
          <w:rFonts w:cs="Times New Roman"/>
          <w:sz w:val="24"/>
          <w:szCs w:val="24"/>
          <w:lang w:val="en-US"/>
        </w:rPr>
        <w:t xml:space="preserve">in </w:t>
      </w:r>
      <w:r>
        <w:rPr>
          <w:rFonts w:cs="Times New Roman"/>
          <w:sz w:val="24"/>
          <w:szCs w:val="24"/>
          <w:lang w:val="en-US"/>
        </w:rPr>
        <w:t>its submission to the ALRC</w:t>
      </w:r>
      <w:r w:rsidRPr="00306131">
        <w:rPr>
          <w:rFonts w:cs="Times New Roman"/>
          <w:sz w:val="24"/>
          <w:szCs w:val="24"/>
          <w:lang w:val="en-US"/>
        </w:rPr>
        <w:t>.</w:t>
      </w:r>
      <w:r w:rsidRPr="00306131">
        <w:rPr>
          <w:rFonts w:cs="Times New Roman"/>
          <w:sz w:val="24"/>
          <w:szCs w:val="24"/>
          <w:vertAlign w:val="superscript"/>
          <w:lang w:val="en-US"/>
        </w:rPr>
        <w:footnoteReference w:id="30"/>
      </w:r>
      <w:r w:rsidR="002870F9">
        <w:rPr>
          <w:rFonts w:cs="Times New Roman"/>
          <w:sz w:val="24"/>
          <w:szCs w:val="24"/>
          <w:lang w:val="en-US"/>
        </w:rPr>
        <w:t xml:space="preserve"> </w:t>
      </w:r>
      <w:r>
        <w:rPr>
          <w:rFonts w:cs="Times New Roman"/>
          <w:sz w:val="24"/>
          <w:szCs w:val="24"/>
          <w:lang w:val="en-US"/>
        </w:rPr>
        <w:t xml:space="preserve">We agree </w:t>
      </w:r>
      <w:r w:rsidRPr="00306131">
        <w:rPr>
          <w:rFonts w:cs="Times New Roman"/>
          <w:sz w:val="24"/>
          <w:szCs w:val="24"/>
          <w:lang w:val="en-US"/>
        </w:rPr>
        <w:t xml:space="preserve">that the scope of the Commission’s inquiry </w:t>
      </w:r>
      <w:r>
        <w:rPr>
          <w:rFonts w:cs="Times New Roman"/>
          <w:sz w:val="24"/>
          <w:szCs w:val="24"/>
          <w:lang w:val="en-US"/>
        </w:rPr>
        <w:t xml:space="preserve">should </w:t>
      </w:r>
      <w:r w:rsidRPr="00306131">
        <w:rPr>
          <w:rFonts w:cs="Times New Roman"/>
          <w:sz w:val="24"/>
          <w:szCs w:val="24"/>
          <w:lang w:val="en-US"/>
        </w:rPr>
        <w:t xml:space="preserve">be expanded to </w:t>
      </w:r>
      <w:r>
        <w:rPr>
          <w:rFonts w:cs="Times New Roman"/>
          <w:sz w:val="24"/>
          <w:szCs w:val="24"/>
          <w:lang w:val="en-US"/>
        </w:rPr>
        <w:t xml:space="preserve">take </w:t>
      </w:r>
      <w:r w:rsidRPr="00306131">
        <w:rPr>
          <w:rFonts w:cs="Times New Roman"/>
          <w:sz w:val="24"/>
          <w:szCs w:val="24"/>
          <w:lang w:val="en-US"/>
        </w:rPr>
        <w:t xml:space="preserve">account </w:t>
      </w:r>
      <w:r>
        <w:rPr>
          <w:rFonts w:cs="Times New Roman"/>
          <w:sz w:val="24"/>
          <w:szCs w:val="24"/>
          <w:lang w:val="en-US"/>
        </w:rPr>
        <w:t>of</w:t>
      </w:r>
      <w:r w:rsidRPr="00306131">
        <w:rPr>
          <w:rFonts w:cs="Times New Roman"/>
          <w:sz w:val="24"/>
          <w:szCs w:val="24"/>
          <w:lang w:val="en-US"/>
        </w:rPr>
        <w:t xml:space="preserve"> relevant human rights obligations under </w:t>
      </w:r>
      <w:r>
        <w:rPr>
          <w:rFonts w:cs="Times New Roman"/>
          <w:sz w:val="24"/>
          <w:szCs w:val="24"/>
          <w:lang w:val="en-US"/>
        </w:rPr>
        <w:t>other treaties to</w:t>
      </w:r>
      <w:r w:rsidRPr="00306131">
        <w:rPr>
          <w:rFonts w:cs="Times New Roman"/>
          <w:sz w:val="24"/>
          <w:szCs w:val="24"/>
          <w:lang w:val="en-US"/>
        </w:rPr>
        <w:t xml:space="preserve"> which Australia is a </w:t>
      </w:r>
      <w:r>
        <w:rPr>
          <w:rFonts w:cs="Times New Roman"/>
          <w:sz w:val="24"/>
          <w:szCs w:val="24"/>
          <w:lang w:val="en-US"/>
        </w:rPr>
        <w:t>party</w:t>
      </w:r>
      <w:r w:rsidRPr="00306131">
        <w:rPr>
          <w:rFonts w:cs="Times New Roman"/>
          <w:sz w:val="24"/>
          <w:szCs w:val="24"/>
          <w:lang w:val="en-US"/>
        </w:rPr>
        <w:t xml:space="preserve">. </w:t>
      </w:r>
    </w:p>
    <w:p w:rsidR="006779FD" w:rsidRDefault="006779FD" w:rsidP="00C159F8">
      <w:pPr>
        <w:spacing w:after="0"/>
        <w:jc w:val="both"/>
        <w:rPr>
          <w:rFonts w:eastAsia="Calibri" w:cs="Times New Roman"/>
          <w:b/>
          <w:sz w:val="28"/>
          <w:szCs w:val="24"/>
          <w:lang w:val="en-US"/>
        </w:rPr>
      </w:pPr>
    </w:p>
    <w:p w:rsidR="005B506E" w:rsidRPr="00FF5EBB" w:rsidRDefault="00306131" w:rsidP="002870F9">
      <w:pPr>
        <w:spacing w:after="0"/>
        <w:jc w:val="both"/>
        <w:rPr>
          <w:b/>
          <w:sz w:val="24"/>
          <w:szCs w:val="24"/>
        </w:rPr>
      </w:pPr>
      <w:r w:rsidRPr="00FF5EBB">
        <w:rPr>
          <w:rFonts w:eastAsia="Calibri" w:cs="Times New Roman"/>
          <w:b/>
          <w:sz w:val="28"/>
          <w:szCs w:val="24"/>
          <w:lang w:val="en-US"/>
        </w:rPr>
        <w:t xml:space="preserve">Implied </w:t>
      </w:r>
      <w:r w:rsidR="002870F9" w:rsidRPr="00FF5EBB">
        <w:rPr>
          <w:rFonts w:eastAsia="Calibri" w:cs="Times New Roman"/>
          <w:b/>
          <w:sz w:val="28"/>
          <w:szCs w:val="24"/>
          <w:lang w:val="en-US"/>
        </w:rPr>
        <w:t>f</w:t>
      </w:r>
      <w:r w:rsidRPr="00FF5EBB">
        <w:rPr>
          <w:rFonts w:eastAsia="Calibri" w:cs="Times New Roman"/>
          <w:b/>
          <w:sz w:val="28"/>
          <w:szCs w:val="24"/>
          <w:lang w:val="en-US"/>
        </w:rPr>
        <w:t xml:space="preserve">reedom of </w:t>
      </w:r>
      <w:r w:rsidR="002870F9" w:rsidRPr="00FF5EBB">
        <w:rPr>
          <w:rFonts w:eastAsia="Calibri" w:cs="Times New Roman"/>
          <w:b/>
          <w:sz w:val="28"/>
          <w:szCs w:val="24"/>
          <w:lang w:val="en-US"/>
        </w:rPr>
        <w:t>p</w:t>
      </w:r>
      <w:r w:rsidRPr="00FF5EBB">
        <w:rPr>
          <w:rFonts w:eastAsia="Calibri" w:cs="Times New Roman"/>
          <w:b/>
          <w:sz w:val="28"/>
          <w:szCs w:val="24"/>
          <w:lang w:val="en-US"/>
        </w:rPr>
        <w:t xml:space="preserve">olitical </w:t>
      </w:r>
      <w:r w:rsidR="002870F9" w:rsidRPr="00FF5EBB">
        <w:rPr>
          <w:rFonts w:eastAsia="Calibri" w:cs="Times New Roman"/>
          <w:b/>
          <w:sz w:val="28"/>
          <w:szCs w:val="24"/>
          <w:lang w:val="en-US"/>
        </w:rPr>
        <w:t>c</w:t>
      </w:r>
      <w:r w:rsidRPr="00FF5EBB">
        <w:rPr>
          <w:rFonts w:eastAsia="Calibri" w:cs="Times New Roman"/>
          <w:b/>
          <w:sz w:val="28"/>
          <w:szCs w:val="24"/>
          <w:lang w:val="en-US"/>
        </w:rPr>
        <w:t>ommunication</w:t>
      </w:r>
      <w:r w:rsidR="002870F9" w:rsidRPr="00FF5EBB">
        <w:rPr>
          <w:rFonts w:eastAsia="Calibri" w:cs="Times New Roman"/>
          <w:b/>
          <w:sz w:val="28"/>
          <w:szCs w:val="24"/>
          <w:lang w:val="en-US"/>
        </w:rPr>
        <w:t xml:space="preserve"> under </w:t>
      </w:r>
      <w:r w:rsidR="002870F9" w:rsidRPr="00FF5EBB">
        <w:rPr>
          <w:rFonts w:eastAsia="Calibri" w:cs="Times New Roman"/>
          <w:b/>
          <w:sz w:val="28"/>
          <w:szCs w:val="28"/>
          <w:lang w:val="en-US"/>
        </w:rPr>
        <w:t xml:space="preserve">the </w:t>
      </w:r>
      <w:r w:rsidR="005B506E" w:rsidRPr="00FF5EBB">
        <w:rPr>
          <w:b/>
          <w:sz w:val="28"/>
          <w:szCs w:val="28"/>
        </w:rPr>
        <w:t>Australian Constitu</w:t>
      </w:r>
      <w:bookmarkStart w:id="0" w:name="_GoBack"/>
      <w:bookmarkEnd w:id="0"/>
      <w:r w:rsidR="005B506E" w:rsidRPr="00FF5EBB">
        <w:rPr>
          <w:b/>
          <w:sz w:val="28"/>
          <w:szCs w:val="28"/>
        </w:rPr>
        <w:t>tion</w:t>
      </w:r>
    </w:p>
    <w:p w:rsidR="002870F9" w:rsidRPr="009F44E4" w:rsidRDefault="002870F9" w:rsidP="002870F9">
      <w:pPr>
        <w:spacing w:after="0"/>
        <w:jc w:val="both"/>
        <w:rPr>
          <w:b/>
          <w:sz w:val="24"/>
          <w:szCs w:val="24"/>
        </w:rPr>
      </w:pPr>
    </w:p>
    <w:p w:rsidR="003C6997" w:rsidRDefault="005B506E" w:rsidP="003C6997">
      <w:pPr>
        <w:jc w:val="both"/>
        <w:rPr>
          <w:rFonts w:eastAsia="Calibri" w:cs="Times New Roman"/>
          <w:sz w:val="24"/>
          <w:szCs w:val="24"/>
          <w:lang w:val="en-US"/>
        </w:rPr>
      </w:pPr>
      <w:r w:rsidRPr="00B2300F">
        <w:rPr>
          <w:sz w:val="24"/>
          <w:szCs w:val="24"/>
        </w:rPr>
        <w:t xml:space="preserve">The High Court of Australia has recognised an implied freedom of political communication in the </w:t>
      </w:r>
      <w:r w:rsidRPr="00B2300F">
        <w:rPr>
          <w:i/>
          <w:sz w:val="24"/>
          <w:szCs w:val="24"/>
        </w:rPr>
        <w:t>Australian Constitution.</w:t>
      </w:r>
      <w:r w:rsidRPr="00B2300F">
        <w:rPr>
          <w:rStyle w:val="FootnoteReference"/>
          <w:sz w:val="24"/>
          <w:szCs w:val="24"/>
        </w:rPr>
        <w:footnoteReference w:id="31"/>
      </w:r>
      <w:r w:rsidRPr="00B2300F">
        <w:rPr>
          <w:i/>
          <w:sz w:val="24"/>
          <w:szCs w:val="24"/>
        </w:rPr>
        <w:t xml:space="preserve"> </w:t>
      </w:r>
      <w:r w:rsidR="003C6997" w:rsidRPr="00306131">
        <w:rPr>
          <w:rFonts w:eastAsia="Calibri" w:cs="Times New Roman"/>
          <w:sz w:val="24"/>
          <w:szCs w:val="24"/>
          <w:lang w:val="en-US"/>
        </w:rPr>
        <w:t>This freedom is grounded on sections 7 and 24 of the Constitution and</w:t>
      </w:r>
      <w:r w:rsidR="003C6997">
        <w:rPr>
          <w:rFonts w:eastAsia="Calibri" w:cs="Times New Roman"/>
          <w:sz w:val="24"/>
          <w:szCs w:val="24"/>
          <w:lang w:val="en-US"/>
        </w:rPr>
        <w:t xml:space="preserve"> “</w:t>
      </w:r>
      <w:r w:rsidR="003C6997" w:rsidRPr="00306131">
        <w:rPr>
          <w:rFonts w:eastAsia="Calibri" w:cs="Times New Roman"/>
          <w:sz w:val="24"/>
          <w:szCs w:val="24"/>
          <w:lang w:val="en-US"/>
        </w:rPr>
        <w:t>reinforced by sections concerning responsible government</w:t>
      </w:r>
      <w:r w:rsidR="003C6997">
        <w:rPr>
          <w:rFonts w:eastAsia="Calibri" w:cs="Times New Roman"/>
          <w:sz w:val="24"/>
          <w:szCs w:val="24"/>
          <w:lang w:val="en-US"/>
        </w:rPr>
        <w:t>”</w:t>
      </w:r>
      <w:r w:rsidR="003C6997" w:rsidRPr="00306131">
        <w:rPr>
          <w:rFonts w:eastAsia="Calibri" w:cs="Times New Roman"/>
          <w:sz w:val="24"/>
          <w:szCs w:val="24"/>
          <w:lang w:val="en-US"/>
        </w:rPr>
        <w:t xml:space="preserve"> </w:t>
      </w:r>
      <w:r w:rsidR="003C6997">
        <w:rPr>
          <w:sz w:val="24"/>
          <w:szCs w:val="24"/>
        </w:rPr>
        <w:t xml:space="preserve">and </w:t>
      </w:r>
      <w:r w:rsidRPr="00B2300F">
        <w:rPr>
          <w:sz w:val="24"/>
          <w:szCs w:val="24"/>
        </w:rPr>
        <w:t>has been held to act as a restriction on the legislative power of the Commonwealth.</w:t>
      </w:r>
      <w:r w:rsidRPr="00B2300F">
        <w:rPr>
          <w:rStyle w:val="FootnoteReference"/>
          <w:sz w:val="24"/>
          <w:szCs w:val="24"/>
        </w:rPr>
        <w:footnoteReference w:id="32"/>
      </w:r>
      <w:r w:rsidRPr="00B2300F">
        <w:rPr>
          <w:sz w:val="24"/>
          <w:szCs w:val="24"/>
        </w:rPr>
        <w:t xml:space="preserve"> However, as outlined in the Interim Report, this freedom is not absolute, as it only protects communication about government or political matters, and is </w:t>
      </w:r>
      <w:r>
        <w:rPr>
          <w:sz w:val="24"/>
          <w:szCs w:val="24"/>
        </w:rPr>
        <w:t>“</w:t>
      </w:r>
      <w:r w:rsidRPr="00B2300F">
        <w:rPr>
          <w:sz w:val="24"/>
          <w:szCs w:val="24"/>
        </w:rPr>
        <w:t xml:space="preserve">limited to what is necessary </w:t>
      </w:r>
      <w:r w:rsidRPr="00B2300F">
        <w:rPr>
          <w:sz w:val="24"/>
          <w:szCs w:val="24"/>
        </w:rPr>
        <w:lastRenderedPageBreak/>
        <w:t xml:space="preserve">for the effective operation of that system of representative and responsible government provided for by the </w:t>
      </w:r>
      <w:r w:rsidRPr="00B2300F">
        <w:rPr>
          <w:i/>
          <w:sz w:val="24"/>
          <w:szCs w:val="24"/>
        </w:rPr>
        <w:t>Constitution</w:t>
      </w:r>
      <w:r w:rsidRPr="003C6997">
        <w:rPr>
          <w:sz w:val="24"/>
          <w:szCs w:val="24"/>
        </w:rPr>
        <w:t>”.</w:t>
      </w:r>
      <w:r w:rsidRPr="003C6997">
        <w:rPr>
          <w:rStyle w:val="FootnoteReference"/>
          <w:sz w:val="24"/>
          <w:szCs w:val="24"/>
        </w:rPr>
        <w:footnoteReference w:id="33"/>
      </w:r>
      <w:r w:rsidRPr="00B2300F">
        <w:rPr>
          <w:i/>
          <w:sz w:val="24"/>
          <w:szCs w:val="24"/>
        </w:rPr>
        <w:t xml:space="preserve"> </w:t>
      </w:r>
      <w:r w:rsidR="003C6997">
        <w:rPr>
          <w:sz w:val="24"/>
          <w:szCs w:val="24"/>
        </w:rPr>
        <w:t>We submit that</w:t>
      </w:r>
      <w:r w:rsidRPr="00B2300F">
        <w:rPr>
          <w:sz w:val="24"/>
          <w:szCs w:val="24"/>
        </w:rPr>
        <w:t xml:space="preserve"> the secrecy provisions in the Act </w:t>
      </w:r>
      <w:r w:rsidR="00306131" w:rsidRPr="003C6997">
        <w:rPr>
          <w:rFonts w:eastAsia="Calibri" w:cs="Times New Roman"/>
          <w:sz w:val="24"/>
          <w:szCs w:val="24"/>
          <w:lang w:val="en-US"/>
        </w:rPr>
        <w:t>infringe</w:t>
      </w:r>
      <w:r w:rsidR="00306131" w:rsidRPr="00306131">
        <w:rPr>
          <w:rFonts w:eastAsia="Calibri" w:cs="Times New Roman"/>
          <w:sz w:val="24"/>
          <w:szCs w:val="24"/>
          <w:lang w:val="en-US"/>
        </w:rPr>
        <w:t xml:space="preserve"> th</w:t>
      </w:r>
      <w:r w:rsidR="003C6997">
        <w:rPr>
          <w:rFonts w:eastAsia="Calibri" w:cs="Times New Roman"/>
          <w:sz w:val="24"/>
          <w:szCs w:val="24"/>
          <w:lang w:val="en-US"/>
        </w:rPr>
        <w:t>e</w:t>
      </w:r>
      <w:r w:rsidR="00306131" w:rsidRPr="00306131">
        <w:rPr>
          <w:rFonts w:eastAsia="Calibri" w:cs="Times New Roman"/>
          <w:sz w:val="24"/>
          <w:szCs w:val="24"/>
          <w:lang w:val="en-US"/>
        </w:rPr>
        <w:t xml:space="preserve"> constitutionally implied freedom of political communication. </w:t>
      </w:r>
    </w:p>
    <w:p w:rsidR="00306131" w:rsidRPr="00306131" w:rsidRDefault="00306131" w:rsidP="003C6997">
      <w:pPr>
        <w:jc w:val="both"/>
        <w:rPr>
          <w:rFonts w:eastAsia="Calibri" w:cs="Times New Roman"/>
          <w:sz w:val="24"/>
          <w:szCs w:val="24"/>
          <w:lang w:val="en-US"/>
        </w:rPr>
      </w:pPr>
      <w:r w:rsidRPr="00306131">
        <w:rPr>
          <w:rFonts w:eastAsia="Calibri" w:cs="Times New Roman"/>
          <w:sz w:val="24"/>
          <w:szCs w:val="24"/>
          <w:lang w:val="en-US"/>
        </w:rPr>
        <w:t xml:space="preserve">In determining whether </w:t>
      </w:r>
      <w:r w:rsidR="003C6997">
        <w:rPr>
          <w:rFonts w:eastAsia="Calibri" w:cs="Times New Roman"/>
          <w:sz w:val="24"/>
          <w:szCs w:val="24"/>
          <w:lang w:val="en-US"/>
        </w:rPr>
        <w:t>an</w:t>
      </w:r>
      <w:r w:rsidRPr="00306131">
        <w:rPr>
          <w:rFonts w:eastAsia="Calibri" w:cs="Times New Roman"/>
          <w:sz w:val="24"/>
          <w:szCs w:val="24"/>
          <w:lang w:val="en-US"/>
        </w:rPr>
        <w:t xml:space="preserve"> Act has breached this implied freedom, the modern approach is to apply the </w:t>
      </w:r>
      <w:r w:rsidR="003C6997">
        <w:rPr>
          <w:rFonts w:eastAsia="Calibri" w:cs="Times New Roman"/>
          <w:sz w:val="24"/>
          <w:szCs w:val="24"/>
          <w:lang w:val="en-US"/>
        </w:rPr>
        <w:t>two</w:t>
      </w:r>
      <w:r w:rsidRPr="00306131">
        <w:rPr>
          <w:rFonts w:eastAsia="Calibri" w:cs="Times New Roman"/>
          <w:sz w:val="24"/>
          <w:szCs w:val="24"/>
          <w:lang w:val="en-US"/>
        </w:rPr>
        <w:t xml:space="preserve">-step test formulated in </w:t>
      </w:r>
      <w:r w:rsidRPr="00306131">
        <w:rPr>
          <w:rFonts w:eastAsia="Calibri" w:cs="Times New Roman"/>
          <w:i/>
          <w:sz w:val="24"/>
          <w:szCs w:val="24"/>
          <w:lang w:val="en-US"/>
        </w:rPr>
        <w:t>Coleman v Power</w:t>
      </w:r>
      <w:r w:rsidRPr="00306131">
        <w:rPr>
          <w:rFonts w:eastAsia="Calibri" w:cs="Times New Roman"/>
          <w:sz w:val="24"/>
          <w:szCs w:val="24"/>
          <w:lang w:val="en-US"/>
        </w:rPr>
        <w:t xml:space="preserve">: </w:t>
      </w:r>
    </w:p>
    <w:p w:rsidR="00306131" w:rsidRDefault="00306131" w:rsidP="00C159F8">
      <w:pPr>
        <w:numPr>
          <w:ilvl w:val="0"/>
          <w:numId w:val="8"/>
        </w:numPr>
        <w:spacing w:after="0"/>
        <w:contextualSpacing/>
        <w:jc w:val="both"/>
        <w:rPr>
          <w:rFonts w:eastAsia="Calibri" w:cs="Times New Roman"/>
          <w:sz w:val="24"/>
          <w:szCs w:val="24"/>
          <w:lang w:val="en-US"/>
        </w:rPr>
      </w:pPr>
      <w:r w:rsidRPr="00306131">
        <w:rPr>
          <w:rFonts w:eastAsia="Calibri" w:cs="Times New Roman"/>
          <w:sz w:val="24"/>
          <w:szCs w:val="24"/>
          <w:lang w:val="en-US"/>
        </w:rPr>
        <w:t xml:space="preserve">Does the law effectively burden freedom of communication about government or political matters either in </w:t>
      </w:r>
      <w:r w:rsidR="003C6997">
        <w:rPr>
          <w:rFonts w:eastAsia="Calibri" w:cs="Times New Roman"/>
          <w:sz w:val="24"/>
          <w:szCs w:val="24"/>
          <w:lang w:val="en-US"/>
        </w:rPr>
        <w:t>its terms, operation or effect?</w:t>
      </w:r>
    </w:p>
    <w:p w:rsidR="003C6997" w:rsidRPr="003C6997" w:rsidRDefault="003C6997" w:rsidP="003C6997">
      <w:pPr>
        <w:numPr>
          <w:ilvl w:val="0"/>
          <w:numId w:val="8"/>
        </w:numPr>
        <w:spacing w:after="0"/>
        <w:contextualSpacing/>
        <w:jc w:val="both"/>
        <w:rPr>
          <w:rFonts w:eastAsia="Calibri" w:cs="Times New Roman"/>
          <w:sz w:val="24"/>
          <w:szCs w:val="24"/>
          <w:lang w:val="en-US"/>
        </w:rPr>
      </w:pPr>
      <w:r w:rsidRPr="00306131">
        <w:rPr>
          <w:rFonts w:eastAsia="Calibri" w:cs="Times New Roman"/>
          <w:sz w:val="24"/>
          <w:szCs w:val="24"/>
          <w:lang w:val="en-US"/>
        </w:rPr>
        <w:t>If so, is the law able to be regarded as reasonably appropriate and adapted to serve a legitimate end in a manner which is compatible with the maintenance of the constitutionally-prescribed system of representative and responsible government?</w:t>
      </w:r>
      <w:r w:rsidRPr="00306131">
        <w:rPr>
          <w:rFonts w:eastAsia="Calibri" w:cs="Times New Roman"/>
          <w:sz w:val="24"/>
          <w:szCs w:val="24"/>
          <w:vertAlign w:val="superscript"/>
          <w:lang w:val="en-US"/>
        </w:rPr>
        <w:footnoteReference w:id="34"/>
      </w:r>
    </w:p>
    <w:p w:rsidR="00306131" w:rsidRPr="00306131" w:rsidRDefault="00306131" w:rsidP="00C159F8">
      <w:pPr>
        <w:spacing w:after="0"/>
        <w:jc w:val="both"/>
        <w:rPr>
          <w:rFonts w:eastAsia="Calibri" w:cs="Times New Roman"/>
          <w:sz w:val="24"/>
          <w:szCs w:val="24"/>
          <w:lang w:val="en-US"/>
        </w:rPr>
      </w:pPr>
    </w:p>
    <w:p w:rsidR="00306131" w:rsidRPr="00306131" w:rsidRDefault="00306131" w:rsidP="00C159F8">
      <w:pPr>
        <w:spacing w:after="0"/>
        <w:jc w:val="both"/>
        <w:rPr>
          <w:rFonts w:eastAsia="Calibri" w:cs="Times New Roman"/>
          <w:sz w:val="24"/>
          <w:szCs w:val="24"/>
          <w:lang w:val="en-US"/>
        </w:rPr>
      </w:pPr>
      <w:r w:rsidRPr="00306131">
        <w:rPr>
          <w:rFonts w:eastAsia="Calibri" w:cs="Times New Roman"/>
          <w:sz w:val="24"/>
          <w:szCs w:val="24"/>
          <w:lang w:val="en-US"/>
        </w:rPr>
        <w:t>By making it an offence in for an</w:t>
      </w:r>
      <w:r w:rsidR="00B21B57">
        <w:rPr>
          <w:rFonts w:eastAsia="Calibri" w:cs="Times New Roman"/>
          <w:sz w:val="24"/>
          <w:szCs w:val="24"/>
          <w:lang w:val="en-US"/>
        </w:rPr>
        <w:t xml:space="preserve"> “</w:t>
      </w:r>
      <w:r w:rsidRPr="00306131">
        <w:rPr>
          <w:rFonts w:eastAsia="Calibri" w:cs="Times New Roman"/>
          <w:sz w:val="24"/>
          <w:szCs w:val="24"/>
          <w:lang w:val="en-US"/>
        </w:rPr>
        <w:t>entrusted person</w:t>
      </w:r>
      <w:r w:rsidR="00B21B57">
        <w:rPr>
          <w:rFonts w:eastAsia="Calibri" w:cs="Times New Roman"/>
          <w:sz w:val="24"/>
          <w:szCs w:val="24"/>
          <w:lang w:val="en-US"/>
        </w:rPr>
        <w:t xml:space="preserve">” </w:t>
      </w:r>
      <w:r w:rsidRPr="00306131">
        <w:rPr>
          <w:rFonts w:eastAsia="Calibri" w:cs="Times New Roman"/>
          <w:sz w:val="24"/>
          <w:szCs w:val="24"/>
          <w:lang w:val="en-US"/>
        </w:rPr>
        <w:t>to disclose</w:t>
      </w:r>
      <w:r w:rsidR="00B21B57">
        <w:rPr>
          <w:rFonts w:eastAsia="Calibri" w:cs="Times New Roman"/>
          <w:sz w:val="24"/>
          <w:szCs w:val="24"/>
          <w:lang w:val="en-US"/>
        </w:rPr>
        <w:t xml:space="preserve"> “</w:t>
      </w:r>
      <w:r w:rsidRPr="00306131">
        <w:rPr>
          <w:rFonts w:eastAsia="Calibri" w:cs="Times New Roman"/>
          <w:sz w:val="24"/>
          <w:szCs w:val="24"/>
          <w:lang w:val="en-US"/>
        </w:rPr>
        <w:t>protected information</w:t>
      </w:r>
      <w:r w:rsidR="00B21B57">
        <w:rPr>
          <w:rFonts w:eastAsia="Calibri" w:cs="Times New Roman"/>
          <w:sz w:val="24"/>
          <w:szCs w:val="24"/>
          <w:lang w:val="en-US"/>
        </w:rPr>
        <w:t>”,</w:t>
      </w:r>
      <w:r w:rsidRPr="00306131">
        <w:rPr>
          <w:rFonts w:eastAsia="Calibri" w:cs="Times New Roman"/>
          <w:sz w:val="24"/>
          <w:szCs w:val="24"/>
          <w:lang w:val="en-US"/>
        </w:rPr>
        <w:t xml:space="preserve"> punishable by</w:t>
      </w:r>
      <w:r w:rsidR="00B21B57">
        <w:rPr>
          <w:rFonts w:eastAsia="Calibri" w:cs="Times New Roman"/>
          <w:sz w:val="24"/>
          <w:szCs w:val="24"/>
          <w:lang w:val="en-US"/>
        </w:rPr>
        <w:t xml:space="preserve"> </w:t>
      </w:r>
      <w:r w:rsidRPr="00306131">
        <w:rPr>
          <w:rFonts w:eastAsia="Calibri" w:cs="Times New Roman"/>
          <w:sz w:val="24"/>
          <w:szCs w:val="24"/>
          <w:lang w:val="en-US"/>
        </w:rPr>
        <w:t xml:space="preserve">imprisonment for </w:t>
      </w:r>
      <w:r w:rsidR="00FF5EBB">
        <w:rPr>
          <w:rFonts w:eastAsia="Calibri" w:cs="Times New Roman"/>
          <w:sz w:val="24"/>
          <w:szCs w:val="24"/>
          <w:lang w:val="en-US"/>
        </w:rPr>
        <w:t>two</w:t>
      </w:r>
      <w:r w:rsidRPr="00306131">
        <w:rPr>
          <w:rFonts w:eastAsia="Calibri" w:cs="Times New Roman"/>
          <w:sz w:val="24"/>
          <w:szCs w:val="24"/>
          <w:lang w:val="en-US"/>
        </w:rPr>
        <w:t xml:space="preserve"> years</w:t>
      </w:r>
      <w:r w:rsidR="003C6997">
        <w:rPr>
          <w:rFonts w:eastAsia="Calibri" w:cs="Times New Roman"/>
          <w:sz w:val="24"/>
          <w:szCs w:val="24"/>
          <w:lang w:val="en-US"/>
        </w:rPr>
        <w:t>,</w:t>
      </w:r>
      <w:r w:rsidRPr="00306131">
        <w:rPr>
          <w:rFonts w:eastAsia="Calibri" w:cs="Times New Roman"/>
          <w:sz w:val="24"/>
          <w:szCs w:val="24"/>
          <w:vertAlign w:val="superscript"/>
          <w:lang w:val="en-US"/>
        </w:rPr>
        <w:footnoteReference w:id="35"/>
      </w:r>
      <w:r w:rsidRPr="00306131">
        <w:rPr>
          <w:rFonts w:eastAsia="Calibri" w:cs="Times New Roman"/>
          <w:sz w:val="24"/>
          <w:szCs w:val="24"/>
          <w:lang w:val="en-US"/>
        </w:rPr>
        <w:t xml:space="preserve"> it is arguable that the first limb of the test in </w:t>
      </w:r>
      <w:r w:rsidRPr="00306131">
        <w:rPr>
          <w:rFonts w:eastAsia="Calibri" w:cs="Times New Roman"/>
          <w:i/>
          <w:sz w:val="24"/>
          <w:szCs w:val="24"/>
          <w:lang w:val="en-US"/>
        </w:rPr>
        <w:t>Coleman v Power</w:t>
      </w:r>
      <w:r w:rsidRPr="00306131">
        <w:rPr>
          <w:rFonts w:eastAsia="Calibri" w:cs="Times New Roman"/>
          <w:sz w:val="24"/>
          <w:szCs w:val="24"/>
          <w:lang w:val="en-US"/>
        </w:rPr>
        <w:t xml:space="preserve"> has been satisfied. Despite the </w:t>
      </w:r>
      <w:r w:rsidR="003C6997">
        <w:rPr>
          <w:rFonts w:eastAsia="Calibri" w:cs="Times New Roman"/>
          <w:sz w:val="24"/>
          <w:szCs w:val="24"/>
          <w:lang w:val="en-US"/>
        </w:rPr>
        <w:t>existence of exceptions in</w:t>
      </w:r>
      <w:r w:rsidRPr="00306131">
        <w:rPr>
          <w:rFonts w:eastAsia="Calibri" w:cs="Times New Roman"/>
          <w:sz w:val="24"/>
          <w:szCs w:val="24"/>
          <w:lang w:val="en-US"/>
        </w:rPr>
        <w:t xml:space="preserve"> </w:t>
      </w:r>
      <w:r w:rsidR="003C6997">
        <w:rPr>
          <w:rFonts w:eastAsia="Calibri" w:cs="Times New Roman"/>
          <w:sz w:val="24"/>
          <w:szCs w:val="24"/>
          <w:lang w:val="en-US"/>
        </w:rPr>
        <w:t>ss.</w:t>
      </w:r>
      <w:r w:rsidR="0075781B">
        <w:rPr>
          <w:rFonts w:eastAsia="Calibri" w:cs="Times New Roman"/>
          <w:sz w:val="24"/>
          <w:szCs w:val="24"/>
          <w:lang w:val="en-US"/>
        </w:rPr>
        <w:t>4</w:t>
      </w:r>
      <w:r w:rsidRPr="00306131">
        <w:rPr>
          <w:rFonts w:eastAsia="Calibri" w:cs="Times New Roman"/>
          <w:sz w:val="24"/>
          <w:szCs w:val="24"/>
          <w:lang w:val="en-US"/>
        </w:rPr>
        <w:t xml:space="preserve">2(2), 43, 44, 45, 47 </w:t>
      </w:r>
      <w:r w:rsidR="003C6997">
        <w:rPr>
          <w:rFonts w:eastAsia="Calibri" w:cs="Times New Roman"/>
          <w:sz w:val="24"/>
          <w:szCs w:val="24"/>
          <w:lang w:val="en-US"/>
        </w:rPr>
        <w:t>and</w:t>
      </w:r>
      <w:r w:rsidRPr="00306131">
        <w:rPr>
          <w:rFonts w:eastAsia="Calibri" w:cs="Times New Roman"/>
          <w:sz w:val="24"/>
          <w:szCs w:val="24"/>
          <w:lang w:val="en-US"/>
        </w:rPr>
        <w:t xml:space="preserve"> 49, the operation and effect</w:t>
      </w:r>
      <w:r w:rsidR="003C6997">
        <w:rPr>
          <w:rFonts w:eastAsia="Calibri" w:cs="Times New Roman"/>
          <w:sz w:val="24"/>
          <w:szCs w:val="24"/>
          <w:lang w:val="en-US"/>
        </w:rPr>
        <w:t xml:space="preserve"> of the Act is to</w:t>
      </w:r>
      <w:r w:rsidRPr="00306131">
        <w:rPr>
          <w:rFonts w:eastAsia="Calibri" w:cs="Times New Roman"/>
          <w:sz w:val="24"/>
          <w:szCs w:val="24"/>
          <w:lang w:val="en-US"/>
        </w:rPr>
        <w:t xml:space="preserve"> silence </w:t>
      </w:r>
      <w:r w:rsidR="003C6997">
        <w:rPr>
          <w:rFonts w:eastAsia="Calibri" w:cs="Times New Roman"/>
          <w:sz w:val="24"/>
          <w:szCs w:val="24"/>
          <w:lang w:val="en-US"/>
        </w:rPr>
        <w:t xml:space="preserve">at least one source of </w:t>
      </w:r>
      <w:r w:rsidRPr="00306131">
        <w:rPr>
          <w:rFonts w:eastAsia="Calibri" w:cs="Times New Roman"/>
          <w:sz w:val="24"/>
          <w:szCs w:val="24"/>
          <w:lang w:val="en-US"/>
        </w:rPr>
        <w:t>criticism of government policies pertaining to immi</w:t>
      </w:r>
      <w:r w:rsidR="003C6997">
        <w:rPr>
          <w:rFonts w:eastAsia="Calibri" w:cs="Times New Roman"/>
          <w:sz w:val="24"/>
          <w:szCs w:val="24"/>
          <w:lang w:val="en-US"/>
        </w:rPr>
        <w:t xml:space="preserve">gration detention: </w:t>
      </w:r>
      <w:r w:rsidRPr="00306131">
        <w:rPr>
          <w:rFonts w:eastAsia="Calibri" w:cs="Times New Roman"/>
          <w:sz w:val="24"/>
          <w:szCs w:val="24"/>
          <w:lang w:val="en-US"/>
        </w:rPr>
        <w:t xml:space="preserve">any entrusted persons who in their working capacity come across any objectionable conduct or content which could be the basis for legitimate criticism of government policy will be forced to risk imprisonment by disclosure of such information. </w:t>
      </w:r>
    </w:p>
    <w:p w:rsidR="00306131" w:rsidRPr="00306131" w:rsidRDefault="00306131" w:rsidP="00C159F8">
      <w:pPr>
        <w:spacing w:after="0"/>
        <w:jc w:val="both"/>
        <w:rPr>
          <w:rFonts w:eastAsia="Calibri" w:cs="Times New Roman"/>
          <w:sz w:val="24"/>
          <w:szCs w:val="24"/>
          <w:lang w:val="en-US"/>
        </w:rPr>
      </w:pPr>
    </w:p>
    <w:p w:rsidR="00306131" w:rsidRPr="00306131" w:rsidRDefault="00306131" w:rsidP="00C159F8">
      <w:pPr>
        <w:spacing w:after="0"/>
        <w:jc w:val="both"/>
        <w:rPr>
          <w:rFonts w:eastAsia="Calibri" w:cs="Times New Roman"/>
          <w:sz w:val="24"/>
          <w:szCs w:val="24"/>
          <w:lang w:val="en-US"/>
        </w:rPr>
      </w:pPr>
      <w:r w:rsidRPr="00306131">
        <w:rPr>
          <w:rFonts w:eastAsia="Calibri" w:cs="Times New Roman"/>
          <w:sz w:val="24"/>
          <w:szCs w:val="24"/>
          <w:lang w:val="en-US"/>
        </w:rPr>
        <w:t xml:space="preserve">Bringing to light the </w:t>
      </w:r>
      <w:r w:rsidR="004E2FFF">
        <w:rPr>
          <w:rFonts w:eastAsia="Calibri" w:cs="Times New Roman"/>
          <w:sz w:val="24"/>
          <w:szCs w:val="24"/>
          <w:lang w:val="en-US"/>
        </w:rPr>
        <w:t>effects</w:t>
      </w:r>
      <w:r w:rsidRPr="00306131">
        <w:rPr>
          <w:rFonts w:eastAsia="Calibri" w:cs="Times New Roman"/>
          <w:sz w:val="24"/>
          <w:szCs w:val="24"/>
          <w:lang w:val="en-US"/>
        </w:rPr>
        <w:t xml:space="preserve"> of government policy which could b</w:t>
      </w:r>
      <w:r w:rsidR="004E2FFF">
        <w:rPr>
          <w:rFonts w:eastAsia="Calibri" w:cs="Times New Roman"/>
          <w:sz w:val="24"/>
          <w:szCs w:val="24"/>
          <w:lang w:val="en-US"/>
        </w:rPr>
        <w:t>e regarded as morally repugnant</w:t>
      </w:r>
      <w:r w:rsidRPr="00306131">
        <w:rPr>
          <w:rFonts w:eastAsia="Calibri" w:cs="Times New Roman"/>
          <w:sz w:val="24"/>
          <w:szCs w:val="24"/>
          <w:lang w:val="en-US"/>
        </w:rPr>
        <w:t xml:space="preserve"> </w:t>
      </w:r>
      <w:r w:rsidR="004E2FFF">
        <w:rPr>
          <w:rFonts w:eastAsia="Calibri" w:cs="Times New Roman"/>
          <w:sz w:val="24"/>
          <w:szCs w:val="24"/>
          <w:lang w:val="en-US"/>
        </w:rPr>
        <w:t xml:space="preserve">or </w:t>
      </w:r>
      <w:r w:rsidRPr="00306131">
        <w:rPr>
          <w:rFonts w:eastAsia="Calibri" w:cs="Times New Roman"/>
          <w:sz w:val="24"/>
          <w:szCs w:val="24"/>
          <w:lang w:val="en-US"/>
        </w:rPr>
        <w:t>a breach of international obligations</w:t>
      </w:r>
      <w:r w:rsidR="004E2FFF">
        <w:rPr>
          <w:rFonts w:eastAsia="Calibri" w:cs="Times New Roman"/>
          <w:sz w:val="24"/>
          <w:szCs w:val="24"/>
          <w:lang w:val="en-US"/>
        </w:rPr>
        <w:t xml:space="preserve"> </w:t>
      </w:r>
      <w:r w:rsidRPr="00306131">
        <w:rPr>
          <w:rFonts w:eastAsia="Calibri" w:cs="Times New Roman"/>
          <w:sz w:val="24"/>
          <w:szCs w:val="24"/>
          <w:lang w:val="en-US"/>
        </w:rPr>
        <w:t xml:space="preserve">is </w:t>
      </w:r>
      <w:r w:rsidR="004E2FFF">
        <w:rPr>
          <w:rFonts w:eastAsia="Calibri" w:cs="Times New Roman"/>
          <w:sz w:val="24"/>
          <w:szCs w:val="24"/>
          <w:lang w:val="en-US"/>
        </w:rPr>
        <w:t>a form of</w:t>
      </w:r>
      <w:r w:rsidRPr="00306131">
        <w:rPr>
          <w:rFonts w:eastAsia="Calibri" w:cs="Times New Roman"/>
          <w:sz w:val="24"/>
          <w:szCs w:val="24"/>
          <w:lang w:val="en-US"/>
        </w:rPr>
        <w:t xml:space="preserve"> political expression. This restriction on communication </w:t>
      </w:r>
      <w:r w:rsidR="004E2FFF">
        <w:rPr>
          <w:rFonts w:eastAsia="Calibri" w:cs="Times New Roman"/>
          <w:sz w:val="24"/>
          <w:szCs w:val="24"/>
          <w:lang w:val="en-US"/>
        </w:rPr>
        <w:t>means that</w:t>
      </w:r>
      <w:r w:rsidRPr="00306131">
        <w:rPr>
          <w:rFonts w:eastAsia="Calibri" w:cs="Times New Roman"/>
          <w:sz w:val="24"/>
          <w:szCs w:val="24"/>
          <w:lang w:val="en-US"/>
        </w:rPr>
        <w:t xml:space="preserve"> voters </w:t>
      </w:r>
      <w:r w:rsidR="004E2FFF">
        <w:rPr>
          <w:rFonts w:eastAsia="Calibri" w:cs="Times New Roman"/>
          <w:sz w:val="24"/>
          <w:szCs w:val="24"/>
          <w:lang w:val="en-US"/>
        </w:rPr>
        <w:t>may</w:t>
      </w:r>
      <w:r w:rsidRPr="00306131">
        <w:rPr>
          <w:rFonts w:eastAsia="Calibri" w:cs="Times New Roman"/>
          <w:sz w:val="24"/>
          <w:szCs w:val="24"/>
          <w:lang w:val="en-US"/>
        </w:rPr>
        <w:t xml:space="preserve"> not</w:t>
      </w:r>
      <w:r w:rsidR="004E2FFF">
        <w:rPr>
          <w:rFonts w:eastAsia="Calibri" w:cs="Times New Roman"/>
          <w:sz w:val="24"/>
          <w:szCs w:val="24"/>
          <w:lang w:val="en-US"/>
        </w:rPr>
        <w:t xml:space="preserve"> be</w:t>
      </w:r>
      <w:r w:rsidRPr="00306131">
        <w:rPr>
          <w:rFonts w:eastAsia="Calibri" w:cs="Times New Roman"/>
          <w:sz w:val="24"/>
          <w:szCs w:val="24"/>
          <w:lang w:val="en-US"/>
        </w:rPr>
        <w:t xml:space="preserve"> informed of the true effects of government actions. The operation of </w:t>
      </w:r>
      <w:r w:rsidR="004E2FFF">
        <w:rPr>
          <w:rFonts w:eastAsia="Calibri" w:cs="Times New Roman"/>
          <w:sz w:val="24"/>
          <w:szCs w:val="24"/>
          <w:lang w:val="en-US"/>
        </w:rPr>
        <w:t>ss.</w:t>
      </w:r>
      <w:r w:rsidRPr="00306131">
        <w:rPr>
          <w:rFonts w:eastAsia="Calibri" w:cs="Times New Roman"/>
          <w:sz w:val="24"/>
          <w:szCs w:val="24"/>
          <w:lang w:val="en-US"/>
        </w:rPr>
        <w:t xml:space="preserve"> 7 and 24 </w:t>
      </w:r>
      <w:r w:rsidR="004E2FFF">
        <w:rPr>
          <w:rFonts w:eastAsia="Calibri" w:cs="Times New Roman"/>
          <w:sz w:val="24"/>
          <w:szCs w:val="24"/>
          <w:lang w:val="en-US"/>
        </w:rPr>
        <w:t xml:space="preserve">of the Constitution </w:t>
      </w:r>
      <w:r w:rsidRPr="00306131">
        <w:rPr>
          <w:rFonts w:eastAsia="Calibri" w:cs="Times New Roman"/>
          <w:sz w:val="24"/>
          <w:szCs w:val="24"/>
          <w:lang w:val="en-US"/>
        </w:rPr>
        <w:t>relating to representative government would be seriously stifled as:</w:t>
      </w:r>
    </w:p>
    <w:p w:rsidR="004E2FFF" w:rsidRDefault="004E2FFF" w:rsidP="00C159F8">
      <w:pPr>
        <w:spacing w:after="0"/>
        <w:ind w:left="720"/>
        <w:jc w:val="both"/>
        <w:rPr>
          <w:rFonts w:eastAsia="Calibri" w:cs="Times New Roman"/>
          <w:sz w:val="24"/>
          <w:szCs w:val="24"/>
          <w:lang w:val="en-US"/>
        </w:rPr>
      </w:pPr>
    </w:p>
    <w:p w:rsidR="00306131" w:rsidRPr="00306131" w:rsidRDefault="004E2FFF" w:rsidP="00C159F8">
      <w:pPr>
        <w:spacing w:after="0"/>
        <w:ind w:left="720"/>
        <w:jc w:val="both"/>
        <w:rPr>
          <w:rFonts w:eastAsia="Calibri" w:cs="Times New Roman"/>
          <w:sz w:val="24"/>
          <w:szCs w:val="24"/>
          <w:lang w:val="en-US"/>
        </w:rPr>
      </w:pPr>
      <w:r>
        <w:rPr>
          <w:rFonts w:eastAsia="Calibri" w:cs="Times New Roman"/>
          <w:sz w:val="24"/>
          <w:szCs w:val="24"/>
          <w:lang w:val="en-US"/>
        </w:rPr>
        <w:t>“</w:t>
      </w:r>
      <w:r w:rsidR="00306131" w:rsidRPr="00306131">
        <w:rPr>
          <w:rFonts w:eastAsia="Calibri" w:cs="Times New Roman"/>
          <w:sz w:val="24"/>
          <w:szCs w:val="24"/>
          <w:lang w:val="en-US"/>
        </w:rPr>
        <w:t>Representative government requires there to be a free flow of information to enable the community to be informed about the performance of their representatives and to communicate with each other and their representative about governmental matters so as to make an informed choice at elections.</w:t>
      </w:r>
      <w:r>
        <w:rPr>
          <w:rFonts w:eastAsia="Calibri" w:cs="Times New Roman"/>
          <w:sz w:val="24"/>
          <w:szCs w:val="24"/>
          <w:lang w:val="en-US"/>
        </w:rPr>
        <w:t>”</w:t>
      </w:r>
      <w:r w:rsidR="00306131" w:rsidRPr="00306131">
        <w:rPr>
          <w:rFonts w:eastAsia="Calibri" w:cs="Times New Roman"/>
          <w:sz w:val="24"/>
          <w:szCs w:val="24"/>
          <w:vertAlign w:val="superscript"/>
          <w:lang w:val="en-US"/>
        </w:rPr>
        <w:footnoteReference w:id="36"/>
      </w:r>
    </w:p>
    <w:p w:rsidR="00306131" w:rsidRDefault="00306131" w:rsidP="00C159F8">
      <w:pPr>
        <w:spacing w:after="0"/>
        <w:jc w:val="both"/>
        <w:rPr>
          <w:rFonts w:eastAsia="Calibri" w:cs="Times New Roman"/>
          <w:sz w:val="24"/>
          <w:szCs w:val="24"/>
          <w:lang w:val="en-US"/>
        </w:rPr>
      </w:pPr>
    </w:p>
    <w:p w:rsidR="00306131" w:rsidRPr="00306131" w:rsidRDefault="00306131" w:rsidP="00C159F8">
      <w:pPr>
        <w:spacing w:after="0"/>
        <w:jc w:val="both"/>
        <w:rPr>
          <w:rFonts w:eastAsia="Calibri" w:cs="Times New Roman"/>
          <w:sz w:val="24"/>
          <w:szCs w:val="24"/>
          <w:lang w:val="en-US"/>
        </w:rPr>
      </w:pPr>
      <w:r w:rsidRPr="00306131">
        <w:rPr>
          <w:rFonts w:eastAsia="Calibri" w:cs="Times New Roman"/>
          <w:sz w:val="24"/>
          <w:szCs w:val="24"/>
          <w:lang w:val="en-US"/>
        </w:rPr>
        <w:t xml:space="preserve">Hence it is strongly arguable that by curbing the expression of information and opinions that could be used to </w:t>
      </w:r>
      <w:r w:rsidR="00073B39">
        <w:rPr>
          <w:rFonts w:eastAsia="Calibri" w:cs="Times New Roman"/>
          <w:sz w:val="24"/>
          <w:szCs w:val="24"/>
          <w:lang w:val="en-US"/>
        </w:rPr>
        <w:t>criticise</w:t>
      </w:r>
      <w:r w:rsidRPr="00306131">
        <w:rPr>
          <w:rFonts w:eastAsia="Calibri" w:cs="Times New Roman"/>
          <w:sz w:val="24"/>
          <w:szCs w:val="24"/>
          <w:lang w:val="en-US"/>
        </w:rPr>
        <w:t xml:space="preserve"> government policy, </w:t>
      </w:r>
      <w:r w:rsidR="00073B39" w:rsidRPr="00306131">
        <w:rPr>
          <w:rFonts w:eastAsia="Calibri" w:cs="Times New Roman"/>
          <w:sz w:val="24"/>
          <w:szCs w:val="24"/>
          <w:lang w:val="en-US"/>
        </w:rPr>
        <w:t>the exercise of a</w:t>
      </w:r>
      <w:r w:rsidR="00073B39">
        <w:rPr>
          <w:rFonts w:eastAsia="Calibri" w:cs="Times New Roman"/>
          <w:sz w:val="24"/>
          <w:szCs w:val="24"/>
          <w:lang w:val="en-US"/>
        </w:rPr>
        <w:t xml:space="preserve"> “</w:t>
      </w:r>
      <w:r w:rsidR="00073B39" w:rsidRPr="00306131">
        <w:rPr>
          <w:rFonts w:eastAsia="Calibri" w:cs="Times New Roman"/>
          <w:sz w:val="24"/>
          <w:szCs w:val="24"/>
          <w:lang w:val="en-US"/>
        </w:rPr>
        <w:t>free and informed</w:t>
      </w:r>
      <w:r w:rsidR="00073B39">
        <w:rPr>
          <w:rFonts w:eastAsia="Calibri" w:cs="Times New Roman"/>
          <w:sz w:val="24"/>
          <w:szCs w:val="24"/>
          <w:lang w:val="en-US"/>
        </w:rPr>
        <w:t>”</w:t>
      </w:r>
      <w:r w:rsidR="00073B39" w:rsidRPr="00306131">
        <w:rPr>
          <w:rFonts w:eastAsia="Calibri" w:cs="Times New Roman"/>
          <w:sz w:val="24"/>
          <w:szCs w:val="24"/>
          <w:vertAlign w:val="superscript"/>
          <w:lang w:val="en-US"/>
        </w:rPr>
        <w:footnoteReference w:id="37"/>
      </w:r>
      <w:r w:rsidR="00073B39" w:rsidRPr="00306131">
        <w:rPr>
          <w:rFonts w:eastAsia="Calibri" w:cs="Times New Roman"/>
          <w:sz w:val="24"/>
          <w:szCs w:val="24"/>
          <w:lang w:val="en-US"/>
        </w:rPr>
        <w:t xml:space="preserve"> choice of the electors </w:t>
      </w:r>
      <w:r w:rsidR="00073B39">
        <w:rPr>
          <w:rFonts w:eastAsia="Calibri" w:cs="Times New Roman"/>
          <w:sz w:val="24"/>
          <w:szCs w:val="24"/>
          <w:lang w:val="en-US"/>
        </w:rPr>
        <w:t xml:space="preserve">is impaired, satisfying the first limb of </w:t>
      </w:r>
      <w:r w:rsidRPr="00306131">
        <w:rPr>
          <w:rFonts w:eastAsia="Calibri" w:cs="Times New Roman"/>
          <w:sz w:val="24"/>
          <w:szCs w:val="24"/>
          <w:lang w:val="en-US"/>
        </w:rPr>
        <w:t xml:space="preserve">the </w:t>
      </w:r>
      <w:r w:rsidRPr="00306131">
        <w:rPr>
          <w:rFonts w:eastAsia="Calibri" w:cs="Times New Roman"/>
          <w:i/>
          <w:sz w:val="24"/>
          <w:szCs w:val="24"/>
          <w:lang w:val="en-US"/>
        </w:rPr>
        <w:t>Coleman v Power</w:t>
      </w:r>
      <w:r w:rsidRPr="00306131">
        <w:rPr>
          <w:rFonts w:eastAsia="Calibri" w:cs="Times New Roman"/>
          <w:sz w:val="24"/>
          <w:szCs w:val="24"/>
          <w:lang w:val="en-US"/>
        </w:rPr>
        <w:t xml:space="preserve">. </w:t>
      </w:r>
    </w:p>
    <w:p w:rsidR="00306131" w:rsidRDefault="00306131" w:rsidP="00C159F8">
      <w:pPr>
        <w:spacing w:after="0"/>
        <w:jc w:val="both"/>
        <w:rPr>
          <w:rFonts w:eastAsia="Calibri" w:cs="Times New Roman"/>
          <w:sz w:val="24"/>
          <w:szCs w:val="24"/>
          <w:lang w:val="en-US"/>
        </w:rPr>
      </w:pPr>
    </w:p>
    <w:p w:rsidR="00306131" w:rsidRPr="00306131" w:rsidRDefault="00073B39" w:rsidP="00C159F8">
      <w:pPr>
        <w:spacing w:after="0"/>
        <w:jc w:val="both"/>
        <w:rPr>
          <w:rFonts w:eastAsia="Calibri" w:cs="Times New Roman"/>
          <w:sz w:val="24"/>
          <w:szCs w:val="24"/>
          <w:lang w:val="en-US"/>
        </w:rPr>
      </w:pPr>
      <w:r>
        <w:rPr>
          <w:rFonts w:eastAsia="Calibri" w:cs="Times New Roman"/>
          <w:sz w:val="24"/>
          <w:szCs w:val="24"/>
          <w:lang w:val="en-US"/>
        </w:rPr>
        <w:lastRenderedPageBreak/>
        <w:t xml:space="preserve">Turning to the second limb in </w:t>
      </w:r>
      <w:r w:rsidRPr="00306131">
        <w:rPr>
          <w:rFonts w:eastAsia="Calibri" w:cs="Times New Roman"/>
          <w:i/>
          <w:sz w:val="24"/>
          <w:szCs w:val="24"/>
          <w:lang w:val="en-US"/>
        </w:rPr>
        <w:t>Coleman v Power</w:t>
      </w:r>
      <w:r>
        <w:rPr>
          <w:rFonts w:eastAsia="Calibri" w:cs="Times New Roman"/>
          <w:sz w:val="24"/>
          <w:szCs w:val="24"/>
          <w:lang w:val="en-US"/>
        </w:rPr>
        <w:t xml:space="preserve">, </w:t>
      </w:r>
      <w:r w:rsidR="0014041C">
        <w:rPr>
          <w:rFonts w:eastAsia="Calibri" w:cs="Times New Roman"/>
          <w:sz w:val="24"/>
          <w:szCs w:val="24"/>
          <w:lang w:val="en-US"/>
        </w:rPr>
        <w:t>if it is assumed that</w:t>
      </w:r>
      <w:r>
        <w:rPr>
          <w:rFonts w:eastAsia="Calibri" w:cs="Times New Roman"/>
          <w:sz w:val="24"/>
          <w:szCs w:val="24"/>
          <w:lang w:val="en-US"/>
        </w:rPr>
        <w:t xml:space="preserve"> the “legitimate end” served by the </w:t>
      </w:r>
      <w:r w:rsidRPr="00306131">
        <w:rPr>
          <w:rFonts w:eastAsia="Calibri" w:cs="Times New Roman"/>
          <w:sz w:val="24"/>
          <w:szCs w:val="24"/>
          <w:lang w:val="en-US"/>
        </w:rPr>
        <w:t xml:space="preserve">secrecy provisions </w:t>
      </w:r>
      <w:r>
        <w:rPr>
          <w:rFonts w:eastAsia="Calibri" w:cs="Times New Roman"/>
          <w:sz w:val="24"/>
          <w:szCs w:val="24"/>
          <w:lang w:val="en-US"/>
        </w:rPr>
        <w:t>of the Act</w:t>
      </w:r>
      <w:r w:rsidR="0014041C" w:rsidRPr="0014041C">
        <w:rPr>
          <w:rFonts w:eastAsia="Calibri" w:cs="Times New Roman"/>
          <w:sz w:val="24"/>
          <w:szCs w:val="24"/>
          <w:lang w:val="en-US"/>
        </w:rPr>
        <w:t xml:space="preserve"> </w:t>
      </w:r>
      <w:r w:rsidR="0014041C">
        <w:rPr>
          <w:rFonts w:eastAsia="Calibri" w:cs="Times New Roman"/>
          <w:sz w:val="24"/>
          <w:szCs w:val="24"/>
          <w:lang w:val="en-US"/>
        </w:rPr>
        <w:t>is the protection of national security or public order,</w:t>
      </w:r>
      <w:r w:rsidR="0014041C" w:rsidRPr="0014041C">
        <w:rPr>
          <w:rFonts w:eastAsia="Calibri" w:cs="Times New Roman"/>
          <w:sz w:val="24"/>
          <w:szCs w:val="24"/>
          <w:lang w:val="en-US"/>
        </w:rPr>
        <w:t xml:space="preserve"> </w:t>
      </w:r>
      <w:r w:rsidR="0014041C">
        <w:rPr>
          <w:rFonts w:eastAsia="Calibri" w:cs="Times New Roman"/>
          <w:sz w:val="24"/>
          <w:szCs w:val="24"/>
          <w:lang w:val="en-US"/>
        </w:rPr>
        <w:t>it might be argued that a blanket ban on disclosure of all “protected information” can be seen to be furthering that end. We submit however that</w:t>
      </w:r>
      <w:r w:rsidR="00F72176">
        <w:rPr>
          <w:rFonts w:eastAsia="Calibri" w:cs="Times New Roman"/>
          <w:sz w:val="24"/>
          <w:szCs w:val="24"/>
          <w:lang w:val="en-US"/>
        </w:rPr>
        <w:t xml:space="preserve">, for the reasons given above in relation to the right of freedom of expression, </w:t>
      </w:r>
      <w:r w:rsidR="0014041C">
        <w:rPr>
          <w:rFonts w:eastAsia="Calibri" w:cs="Times New Roman"/>
          <w:sz w:val="24"/>
          <w:szCs w:val="24"/>
          <w:lang w:val="en-US"/>
        </w:rPr>
        <w:t xml:space="preserve">the </w:t>
      </w:r>
      <w:r w:rsidR="00FF5EBB">
        <w:rPr>
          <w:rFonts w:eastAsia="Calibri" w:cs="Times New Roman"/>
          <w:sz w:val="24"/>
          <w:szCs w:val="24"/>
          <w:lang w:val="en-US"/>
        </w:rPr>
        <w:t xml:space="preserve">necessary </w:t>
      </w:r>
      <w:r w:rsidR="0014041C">
        <w:rPr>
          <w:rFonts w:eastAsia="Calibri" w:cs="Times New Roman"/>
          <w:sz w:val="24"/>
          <w:szCs w:val="24"/>
          <w:lang w:val="en-US"/>
        </w:rPr>
        <w:t>element of proportionality is lacking,</w:t>
      </w:r>
      <w:r w:rsidR="00F72176" w:rsidRPr="00306131">
        <w:rPr>
          <w:rFonts w:eastAsia="Calibri" w:cs="Times New Roman"/>
          <w:sz w:val="24"/>
          <w:szCs w:val="24"/>
          <w:vertAlign w:val="superscript"/>
          <w:lang w:val="en-US"/>
        </w:rPr>
        <w:footnoteReference w:id="38"/>
      </w:r>
      <w:r w:rsidR="00F72176" w:rsidRPr="00306131">
        <w:rPr>
          <w:rFonts w:eastAsia="Calibri" w:cs="Times New Roman"/>
          <w:sz w:val="24"/>
          <w:szCs w:val="24"/>
          <w:lang w:val="en-US"/>
        </w:rPr>
        <w:t xml:space="preserve"> </w:t>
      </w:r>
      <w:r w:rsidR="0014041C">
        <w:rPr>
          <w:rFonts w:eastAsia="Calibri" w:cs="Times New Roman"/>
          <w:sz w:val="24"/>
          <w:szCs w:val="24"/>
          <w:lang w:val="en-US"/>
        </w:rPr>
        <w:t xml:space="preserve"> and that the provisions are by no means “</w:t>
      </w:r>
      <w:r w:rsidR="0014041C" w:rsidRPr="00306131">
        <w:rPr>
          <w:rFonts w:eastAsia="Calibri" w:cs="Times New Roman"/>
          <w:sz w:val="24"/>
          <w:szCs w:val="24"/>
          <w:lang w:val="en-US"/>
        </w:rPr>
        <w:t>reasonably appropriate</w:t>
      </w:r>
      <w:r w:rsidR="0014041C">
        <w:rPr>
          <w:rFonts w:eastAsia="Calibri" w:cs="Times New Roman"/>
          <w:sz w:val="24"/>
          <w:szCs w:val="24"/>
          <w:lang w:val="en-US"/>
        </w:rPr>
        <w:t>”</w:t>
      </w:r>
      <w:r w:rsidR="0014041C" w:rsidRPr="00306131">
        <w:rPr>
          <w:rFonts w:eastAsia="Calibri" w:cs="Times New Roman"/>
          <w:sz w:val="24"/>
          <w:szCs w:val="24"/>
          <w:lang w:val="en-US"/>
        </w:rPr>
        <w:t xml:space="preserve"> </w:t>
      </w:r>
      <w:r w:rsidR="00F72176">
        <w:rPr>
          <w:rFonts w:eastAsia="Calibri" w:cs="Times New Roman"/>
          <w:sz w:val="24"/>
          <w:szCs w:val="24"/>
          <w:lang w:val="en-US"/>
        </w:rPr>
        <w:t>to serve that</w:t>
      </w:r>
      <w:r w:rsidR="0014041C" w:rsidRPr="00306131">
        <w:rPr>
          <w:rFonts w:eastAsia="Calibri" w:cs="Times New Roman"/>
          <w:sz w:val="24"/>
          <w:szCs w:val="24"/>
          <w:lang w:val="en-US"/>
        </w:rPr>
        <w:t xml:space="preserve"> end</w:t>
      </w:r>
      <w:r w:rsidR="00F72176">
        <w:rPr>
          <w:rFonts w:eastAsia="Calibri" w:cs="Times New Roman"/>
          <w:sz w:val="24"/>
          <w:szCs w:val="24"/>
          <w:lang w:val="en-US"/>
        </w:rPr>
        <w:t>.</w:t>
      </w:r>
      <w:r w:rsidR="0014041C">
        <w:rPr>
          <w:rFonts w:eastAsia="Calibri" w:cs="Times New Roman"/>
          <w:sz w:val="24"/>
          <w:szCs w:val="24"/>
          <w:lang w:val="en-US"/>
        </w:rPr>
        <w:t xml:space="preserve"> </w:t>
      </w:r>
      <w:r w:rsidR="00306131" w:rsidRPr="00306131">
        <w:rPr>
          <w:rFonts w:eastAsia="Calibri" w:cs="Times New Roman"/>
          <w:sz w:val="24"/>
          <w:szCs w:val="24"/>
          <w:lang w:val="en-US"/>
        </w:rPr>
        <w:t xml:space="preserve">The disproportionality is further indicated by </w:t>
      </w:r>
      <w:r w:rsidR="00F72176">
        <w:rPr>
          <w:rFonts w:eastAsia="Calibri" w:cs="Times New Roman"/>
          <w:sz w:val="24"/>
          <w:szCs w:val="24"/>
          <w:lang w:val="en-US"/>
        </w:rPr>
        <w:t xml:space="preserve">(unheeded) </w:t>
      </w:r>
      <w:r w:rsidR="00306131" w:rsidRPr="00306131">
        <w:rPr>
          <w:rFonts w:eastAsia="Calibri" w:cs="Times New Roman"/>
          <w:sz w:val="24"/>
          <w:szCs w:val="24"/>
          <w:lang w:val="en-US"/>
        </w:rPr>
        <w:t xml:space="preserve">calls previously made in relation to </w:t>
      </w:r>
      <w:r w:rsidR="00F72176">
        <w:rPr>
          <w:rFonts w:eastAsia="Calibri" w:cs="Times New Roman"/>
          <w:sz w:val="24"/>
          <w:szCs w:val="24"/>
          <w:lang w:val="en-US"/>
        </w:rPr>
        <w:t xml:space="preserve">the </w:t>
      </w:r>
      <w:r w:rsidR="00306131" w:rsidRPr="00306131">
        <w:rPr>
          <w:rFonts w:eastAsia="Calibri" w:cs="Times New Roman"/>
          <w:sz w:val="24"/>
          <w:szCs w:val="24"/>
          <w:lang w:val="en-US"/>
        </w:rPr>
        <w:t xml:space="preserve">Bill </w:t>
      </w:r>
      <w:r w:rsidR="00F72176">
        <w:rPr>
          <w:rFonts w:eastAsia="Calibri" w:cs="Times New Roman"/>
          <w:sz w:val="24"/>
          <w:szCs w:val="24"/>
          <w:lang w:val="en-US"/>
        </w:rPr>
        <w:t>for</w:t>
      </w:r>
      <w:r w:rsidR="00306131" w:rsidRPr="00306131">
        <w:rPr>
          <w:rFonts w:eastAsia="Calibri" w:cs="Times New Roman"/>
          <w:sz w:val="24"/>
          <w:szCs w:val="24"/>
          <w:lang w:val="en-US"/>
        </w:rPr>
        <w:t xml:space="preserve"> the Act</w:t>
      </w:r>
      <w:r w:rsidR="00F72176">
        <w:rPr>
          <w:rFonts w:eastAsia="Calibri" w:cs="Times New Roman"/>
          <w:sz w:val="24"/>
          <w:szCs w:val="24"/>
          <w:lang w:val="en-US"/>
        </w:rPr>
        <w:t>,</w:t>
      </w:r>
      <w:r w:rsidR="00306131" w:rsidRPr="00306131">
        <w:rPr>
          <w:rFonts w:eastAsia="Calibri" w:cs="Times New Roman"/>
          <w:sz w:val="24"/>
          <w:szCs w:val="24"/>
          <w:lang w:val="en-US"/>
        </w:rPr>
        <w:t xml:space="preserve"> recommending </w:t>
      </w:r>
      <w:r w:rsidR="00F72176">
        <w:rPr>
          <w:rFonts w:eastAsia="Calibri" w:cs="Times New Roman"/>
          <w:sz w:val="24"/>
          <w:szCs w:val="24"/>
          <w:lang w:val="en-US"/>
        </w:rPr>
        <w:t xml:space="preserve">that </w:t>
      </w:r>
      <w:r w:rsidR="00306131" w:rsidRPr="00306131">
        <w:rPr>
          <w:rFonts w:eastAsia="Calibri" w:cs="Times New Roman"/>
          <w:sz w:val="24"/>
          <w:szCs w:val="24"/>
          <w:lang w:val="en-US"/>
        </w:rPr>
        <w:t>a</w:t>
      </w:r>
      <w:r w:rsidR="00B21B57">
        <w:rPr>
          <w:rFonts w:eastAsia="Calibri" w:cs="Times New Roman"/>
          <w:sz w:val="24"/>
          <w:szCs w:val="24"/>
          <w:lang w:val="en-US"/>
        </w:rPr>
        <w:t xml:space="preserve"> “</w:t>
      </w:r>
      <w:r w:rsidR="00306131" w:rsidRPr="00306131">
        <w:rPr>
          <w:rFonts w:eastAsia="Calibri" w:cs="Times New Roman"/>
          <w:sz w:val="24"/>
          <w:szCs w:val="24"/>
          <w:lang w:val="en-US"/>
        </w:rPr>
        <w:t>public interest disclosure</w:t>
      </w:r>
      <w:r w:rsidR="00B21B57">
        <w:rPr>
          <w:rFonts w:eastAsia="Calibri" w:cs="Times New Roman"/>
          <w:sz w:val="24"/>
          <w:szCs w:val="24"/>
          <w:lang w:val="en-US"/>
        </w:rPr>
        <w:t xml:space="preserve">” </w:t>
      </w:r>
      <w:r w:rsidR="00306131" w:rsidRPr="00306131">
        <w:rPr>
          <w:rFonts w:eastAsia="Calibri" w:cs="Times New Roman"/>
          <w:sz w:val="24"/>
          <w:szCs w:val="24"/>
          <w:lang w:val="en-US"/>
        </w:rPr>
        <w:t>exception be made in relation to</w:t>
      </w:r>
      <w:r w:rsidR="00F72176">
        <w:rPr>
          <w:rFonts w:eastAsia="Calibri" w:cs="Times New Roman"/>
          <w:sz w:val="24"/>
          <w:szCs w:val="24"/>
          <w:lang w:val="en-US"/>
        </w:rPr>
        <w:t xml:space="preserve"> </w:t>
      </w:r>
      <w:r w:rsidR="00306131" w:rsidRPr="00306131">
        <w:rPr>
          <w:rFonts w:eastAsia="Calibri" w:cs="Times New Roman"/>
          <w:sz w:val="24"/>
          <w:szCs w:val="24"/>
          <w:lang w:val="en-US"/>
        </w:rPr>
        <w:t>the secrecy provisions</w:t>
      </w:r>
      <w:r w:rsidR="009E1693">
        <w:rPr>
          <w:rFonts w:eastAsia="Calibri" w:cs="Times New Roman"/>
          <w:sz w:val="24"/>
          <w:szCs w:val="24"/>
          <w:lang w:val="en-US"/>
        </w:rPr>
        <w:t>.</w:t>
      </w:r>
      <w:r w:rsidR="00306131" w:rsidRPr="00306131">
        <w:rPr>
          <w:rFonts w:eastAsia="Calibri" w:cs="Times New Roman"/>
          <w:sz w:val="24"/>
          <w:szCs w:val="24"/>
          <w:vertAlign w:val="superscript"/>
          <w:lang w:val="en-US"/>
        </w:rPr>
        <w:footnoteReference w:id="39"/>
      </w:r>
      <w:r w:rsidR="00306131" w:rsidRPr="00306131">
        <w:rPr>
          <w:rFonts w:eastAsia="Calibri" w:cs="Times New Roman"/>
          <w:sz w:val="24"/>
          <w:szCs w:val="24"/>
          <w:lang w:val="en-US"/>
        </w:rPr>
        <w:t xml:space="preserve">  </w:t>
      </w:r>
    </w:p>
    <w:p w:rsidR="00306131" w:rsidRPr="00306131" w:rsidRDefault="00306131" w:rsidP="00C159F8">
      <w:pPr>
        <w:spacing w:after="0"/>
        <w:jc w:val="both"/>
        <w:rPr>
          <w:rFonts w:eastAsia="Calibri" w:cs="Times New Roman"/>
          <w:sz w:val="24"/>
          <w:szCs w:val="24"/>
          <w:lang w:val="en-US"/>
        </w:rPr>
      </w:pPr>
    </w:p>
    <w:p w:rsidR="00306131" w:rsidRPr="00306131" w:rsidRDefault="00F72176" w:rsidP="00C159F8">
      <w:pPr>
        <w:spacing w:after="0"/>
        <w:jc w:val="both"/>
        <w:rPr>
          <w:rFonts w:eastAsia="Calibri" w:cs="Times New Roman"/>
          <w:sz w:val="24"/>
          <w:szCs w:val="24"/>
          <w:lang w:val="en-US"/>
        </w:rPr>
      </w:pPr>
      <w:r>
        <w:rPr>
          <w:rFonts w:eastAsia="Calibri" w:cs="Times New Roman"/>
          <w:sz w:val="24"/>
          <w:szCs w:val="24"/>
          <w:lang w:val="en-US"/>
        </w:rPr>
        <w:t xml:space="preserve">We submit that there is </w:t>
      </w:r>
      <w:r w:rsidR="00306131" w:rsidRPr="00306131">
        <w:rPr>
          <w:rFonts w:eastAsia="Calibri" w:cs="Times New Roman"/>
          <w:sz w:val="24"/>
          <w:szCs w:val="24"/>
          <w:lang w:val="en-US"/>
        </w:rPr>
        <w:t xml:space="preserve">serious doubt about whether the secrecy provisions are </w:t>
      </w:r>
      <w:r>
        <w:rPr>
          <w:rFonts w:eastAsia="Calibri" w:cs="Times New Roman"/>
          <w:sz w:val="24"/>
          <w:szCs w:val="24"/>
          <w:lang w:val="en-US"/>
        </w:rPr>
        <w:t>“</w:t>
      </w:r>
      <w:r w:rsidR="00306131" w:rsidRPr="00306131">
        <w:rPr>
          <w:rFonts w:eastAsia="Calibri" w:cs="Times New Roman"/>
          <w:sz w:val="24"/>
          <w:szCs w:val="24"/>
          <w:lang w:val="en-US"/>
        </w:rPr>
        <w:t>compatible</w:t>
      </w:r>
      <w:r w:rsidR="00B21B57">
        <w:rPr>
          <w:rFonts w:eastAsia="Calibri" w:cs="Times New Roman"/>
          <w:sz w:val="24"/>
          <w:szCs w:val="24"/>
          <w:lang w:val="en-US"/>
        </w:rPr>
        <w:t xml:space="preserve"> </w:t>
      </w:r>
      <w:r w:rsidR="00306131" w:rsidRPr="00306131">
        <w:rPr>
          <w:rFonts w:eastAsia="Calibri" w:cs="Times New Roman"/>
          <w:sz w:val="24"/>
          <w:szCs w:val="24"/>
          <w:lang w:val="en-US"/>
        </w:rPr>
        <w:t>with the maintenance of the system of representative and responsible government</w:t>
      </w:r>
      <w:r w:rsidR="009E1693">
        <w:rPr>
          <w:rFonts w:eastAsia="Calibri" w:cs="Times New Roman"/>
          <w:sz w:val="24"/>
          <w:szCs w:val="24"/>
          <w:lang w:val="en-US"/>
        </w:rPr>
        <w:t>.”</w:t>
      </w:r>
      <w:r w:rsidR="00306131" w:rsidRPr="00306131">
        <w:rPr>
          <w:rFonts w:eastAsia="Calibri" w:cs="Times New Roman"/>
          <w:sz w:val="24"/>
          <w:szCs w:val="24"/>
          <w:vertAlign w:val="superscript"/>
          <w:lang w:val="en-US"/>
        </w:rPr>
        <w:footnoteReference w:id="40"/>
      </w:r>
      <w:r w:rsidR="00306131" w:rsidRPr="00306131">
        <w:rPr>
          <w:rFonts w:eastAsia="Calibri" w:cs="Times New Roman"/>
          <w:sz w:val="24"/>
          <w:szCs w:val="24"/>
          <w:lang w:val="en-US"/>
        </w:rPr>
        <w:t xml:space="preserve"> As discussed above, the Act has the potential </w:t>
      </w:r>
      <w:r w:rsidR="00FF5EBB">
        <w:rPr>
          <w:rFonts w:eastAsia="Calibri" w:cs="Times New Roman"/>
          <w:sz w:val="24"/>
          <w:szCs w:val="24"/>
          <w:lang w:val="en-US"/>
        </w:rPr>
        <w:t>to</w:t>
      </w:r>
      <w:r w:rsidR="00306131" w:rsidRPr="00306131">
        <w:rPr>
          <w:rFonts w:eastAsia="Calibri" w:cs="Times New Roman"/>
          <w:sz w:val="24"/>
          <w:szCs w:val="24"/>
          <w:lang w:val="en-US"/>
        </w:rPr>
        <w:t xml:space="preserve"> imped</w:t>
      </w:r>
      <w:r w:rsidR="00FF5EBB">
        <w:rPr>
          <w:rFonts w:eastAsia="Calibri" w:cs="Times New Roman"/>
          <w:sz w:val="24"/>
          <w:szCs w:val="24"/>
          <w:lang w:val="en-US"/>
        </w:rPr>
        <w:t>e</w:t>
      </w:r>
      <w:r w:rsidR="00306131" w:rsidRPr="00306131">
        <w:rPr>
          <w:rFonts w:eastAsia="Calibri" w:cs="Times New Roman"/>
          <w:sz w:val="24"/>
          <w:szCs w:val="24"/>
          <w:lang w:val="en-US"/>
        </w:rPr>
        <w:t xml:space="preserve"> the disclosure of political information which would assist voters in making rationally informed choices about the policies of the current government. </w:t>
      </w:r>
    </w:p>
    <w:p w:rsidR="00306131" w:rsidRPr="00306131" w:rsidRDefault="00306131" w:rsidP="00C159F8">
      <w:pPr>
        <w:spacing w:after="0"/>
        <w:jc w:val="both"/>
        <w:rPr>
          <w:rFonts w:eastAsia="Calibri" w:cs="Times New Roman"/>
          <w:sz w:val="24"/>
          <w:szCs w:val="24"/>
          <w:lang w:val="en-US"/>
        </w:rPr>
      </w:pPr>
      <w:r w:rsidRPr="00306131">
        <w:rPr>
          <w:rFonts w:eastAsia="Calibri" w:cs="Times New Roman"/>
          <w:sz w:val="24"/>
          <w:szCs w:val="24"/>
          <w:lang w:val="en-US"/>
        </w:rPr>
        <w:t xml:space="preserve"> </w:t>
      </w:r>
    </w:p>
    <w:p w:rsidR="00306131" w:rsidRDefault="00EC55B0" w:rsidP="00C159F8">
      <w:pPr>
        <w:spacing w:after="0"/>
        <w:jc w:val="both"/>
        <w:rPr>
          <w:rFonts w:cs="Times New Roman"/>
          <w:b/>
          <w:sz w:val="32"/>
          <w:szCs w:val="24"/>
          <w:lang w:val="en-US"/>
        </w:rPr>
      </w:pPr>
      <w:r w:rsidRPr="00EC55B0">
        <w:rPr>
          <w:rFonts w:cs="Times New Roman"/>
          <w:b/>
          <w:sz w:val="32"/>
          <w:szCs w:val="24"/>
          <w:lang w:val="en-US"/>
        </w:rPr>
        <w:t>Conclusion</w:t>
      </w:r>
    </w:p>
    <w:p w:rsidR="004B132D" w:rsidRPr="00EC55B0" w:rsidRDefault="004B132D" w:rsidP="00C159F8">
      <w:pPr>
        <w:spacing w:after="0"/>
        <w:jc w:val="both"/>
        <w:rPr>
          <w:rFonts w:cs="Times New Roman"/>
          <w:b/>
          <w:sz w:val="32"/>
          <w:szCs w:val="24"/>
          <w:lang w:val="en-US"/>
        </w:rPr>
      </w:pPr>
    </w:p>
    <w:p w:rsidR="006779FD" w:rsidRPr="00306131" w:rsidRDefault="006779FD" w:rsidP="00C159F8">
      <w:pPr>
        <w:jc w:val="both"/>
        <w:rPr>
          <w:sz w:val="24"/>
          <w:szCs w:val="24"/>
        </w:rPr>
      </w:pPr>
      <w:r>
        <w:rPr>
          <w:sz w:val="24"/>
          <w:szCs w:val="24"/>
        </w:rPr>
        <w:t>UN</w:t>
      </w:r>
      <w:r w:rsidR="00F72176">
        <w:rPr>
          <w:sz w:val="24"/>
          <w:szCs w:val="24"/>
        </w:rPr>
        <w:t>E</w:t>
      </w:r>
      <w:r>
        <w:rPr>
          <w:sz w:val="24"/>
          <w:szCs w:val="24"/>
        </w:rPr>
        <w:t>SCO has stated that protecting freedom of expression is an</w:t>
      </w:r>
      <w:r w:rsidR="00B21B57">
        <w:rPr>
          <w:sz w:val="24"/>
          <w:szCs w:val="24"/>
        </w:rPr>
        <w:t xml:space="preserve"> “</w:t>
      </w:r>
      <w:r w:rsidRPr="006779FD">
        <w:rPr>
          <w:sz w:val="24"/>
          <w:szCs w:val="24"/>
        </w:rPr>
        <w:t>essential condition for democracy, development and human dignity</w:t>
      </w:r>
      <w:r w:rsidR="00B21B57">
        <w:rPr>
          <w:sz w:val="24"/>
          <w:szCs w:val="24"/>
        </w:rPr>
        <w:t>”.</w:t>
      </w:r>
      <w:r>
        <w:rPr>
          <w:rStyle w:val="FootnoteReference"/>
          <w:sz w:val="24"/>
          <w:szCs w:val="24"/>
        </w:rPr>
        <w:footnoteReference w:id="41"/>
      </w:r>
      <w:r>
        <w:rPr>
          <w:sz w:val="24"/>
          <w:szCs w:val="24"/>
        </w:rPr>
        <w:t xml:space="preserve"> </w:t>
      </w:r>
      <w:r w:rsidR="004B132D">
        <w:rPr>
          <w:sz w:val="24"/>
          <w:szCs w:val="24"/>
        </w:rPr>
        <w:t>In Australia, f</w:t>
      </w:r>
      <w:r w:rsidR="004B132D" w:rsidRPr="004B132D">
        <w:rPr>
          <w:sz w:val="24"/>
          <w:szCs w:val="24"/>
        </w:rPr>
        <w:t>reedom of speech has been characterised as one of the</w:t>
      </w:r>
      <w:r w:rsidR="00B21B57">
        <w:rPr>
          <w:sz w:val="24"/>
          <w:szCs w:val="24"/>
        </w:rPr>
        <w:t xml:space="preserve"> “</w:t>
      </w:r>
      <w:r w:rsidR="004B132D" w:rsidRPr="004B132D">
        <w:rPr>
          <w:sz w:val="24"/>
          <w:szCs w:val="24"/>
        </w:rPr>
        <w:t>fundamental values protected by the common law</w:t>
      </w:r>
      <w:r w:rsidR="00F72176">
        <w:rPr>
          <w:sz w:val="24"/>
          <w:szCs w:val="24"/>
        </w:rPr>
        <w:t>”</w:t>
      </w:r>
      <w:r w:rsidR="004B132D">
        <w:rPr>
          <w:rStyle w:val="FootnoteReference"/>
          <w:sz w:val="24"/>
          <w:szCs w:val="24"/>
        </w:rPr>
        <w:footnoteReference w:id="42"/>
      </w:r>
      <w:r w:rsidR="004B132D">
        <w:rPr>
          <w:sz w:val="24"/>
          <w:szCs w:val="24"/>
        </w:rPr>
        <w:t xml:space="preserve"> </w:t>
      </w:r>
      <w:r w:rsidR="004B132D" w:rsidRPr="004B132D">
        <w:rPr>
          <w:sz w:val="24"/>
          <w:szCs w:val="24"/>
        </w:rPr>
        <w:t>and as</w:t>
      </w:r>
      <w:r w:rsidR="00B21B57">
        <w:rPr>
          <w:sz w:val="24"/>
          <w:szCs w:val="24"/>
        </w:rPr>
        <w:t xml:space="preserve"> “</w:t>
      </w:r>
      <w:r w:rsidR="004B132D" w:rsidRPr="004B132D">
        <w:rPr>
          <w:sz w:val="24"/>
          <w:szCs w:val="24"/>
        </w:rPr>
        <w:t>the freedom par excellence; for without it, no</w:t>
      </w:r>
      <w:r w:rsidR="004B132D">
        <w:rPr>
          <w:sz w:val="24"/>
          <w:szCs w:val="24"/>
        </w:rPr>
        <w:t xml:space="preserve"> other freedom could survive</w:t>
      </w:r>
      <w:r w:rsidR="00B21B57">
        <w:rPr>
          <w:sz w:val="24"/>
          <w:szCs w:val="24"/>
        </w:rPr>
        <w:t>”.</w:t>
      </w:r>
      <w:r w:rsidR="004B132D">
        <w:rPr>
          <w:rStyle w:val="FootnoteReference"/>
          <w:sz w:val="24"/>
          <w:szCs w:val="24"/>
        </w:rPr>
        <w:footnoteReference w:id="43"/>
      </w:r>
      <w:r w:rsidR="004B132D">
        <w:rPr>
          <w:sz w:val="24"/>
          <w:szCs w:val="24"/>
        </w:rPr>
        <w:t xml:space="preserve"> </w:t>
      </w:r>
      <w:r w:rsidR="00F72176">
        <w:rPr>
          <w:sz w:val="24"/>
          <w:szCs w:val="24"/>
        </w:rPr>
        <w:t>We are</w:t>
      </w:r>
      <w:r w:rsidR="004B132D">
        <w:rPr>
          <w:sz w:val="24"/>
          <w:szCs w:val="24"/>
        </w:rPr>
        <w:t xml:space="preserve"> deeply concerned that the </w:t>
      </w:r>
      <w:r w:rsidR="004B132D">
        <w:rPr>
          <w:i/>
          <w:sz w:val="24"/>
          <w:szCs w:val="24"/>
        </w:rPr>
        <w:t xml:space="preserve">Australian Border Force Act </w:t>
      </w:r>
      <w:r w:rsidR="004B132D">
        <w:rPr>
          <w:sz w:val="24"/>
          <w:szCs w:val="24"/>
        </w:rPr>
        <w:t xml:space="preserve">unjustifiably impinges on this fundamental freedom, </w:t>
      </w:r>
      <w:r w:rsidR="00FF5EBB">
        <w:rPr>
          <w:sz w:val="24"/>
          <w:szCs w:val="24"/>
        </w:rPr>
        <w:t>shielding</w:t>
      </w:r>
      <w:r w:rsidR="004B132D">
        <w:rPr>
          <w:sz w:val="24"/>
          <w:szCs w:val="24"/>
        </w:rPr>
        <w:t xml:space="preserve"> the executive government </w:t>
      </w:r>
      <w:r w:rsidR="00F72176">
        <w:rPr>
          <w:sz w:val="24"/>
          <w:szCs w:val="24"/>
        </w:rPr>
        <w:t>from</w:t>
      </w:r>
      <w:r w:rsidR="004B132D">
        <w:rPr>
          <w:sz w:val="24"/>
          <w:szCs w:val="24"/>
        </w:rPr>
        <w:t xml:space="preserve"> accountability regarding treatment of refugees and threatening whistleblowers into silence. Serious consideration should be given to the </w:t>
      </w:r>
      <w:r w:rsidR="009E2187">
        <w:rPr>
          <w:sz w:val="24"/>
          <w:szCs w:val="24"/>
        </w:rPr>
        <w:t xml:space="preserve">urgent need for reforming these </w:t>
      </w:r>
      <w:r w:rsidR="004B132D">
        <w:rPr>
          <w:sz w:val="24"/>
          <w:szCs w:val="24"/>
        </w:rPr>
        <w:t xml:space="preserve">secrecy provisions. </w:t>
      </w:r>
    </w:p>
    <w:sectPr w:rsidR="006779FD" w:rsidRPr="00306131" w:rsidSect="004C6A58">
      <w:headerReference w:type="even" r:id="rId9"/>
      <w:headerReference w:type="default" r:id="rId10"/>
      <w:footerReference w:type="even" r:id="rId11"/>
      <w:footerReference w:type="default" r:id="rId12"/>
      <w:headerReference w:type="first" r:id="rId13"/>
      <w:footerReference w:type="first" r:id="rId14"/>
      <w:pgSz w:w="11900" w:h="16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0868" w:rsidRDefault="00E30868" w:rsidP="00B37D13">
      <w:pPr>
        <w:spacing w:after="0" w:line="240" w:lineRule="auto"/>
      </w:pPr>
      <w:r>
        <w:separator/>
      </w:r>
    </w:p>
  </w:endnote>
  <w:endnote w:type="continuationSeparator" w:id="0">
    <w:p w:rsidR="00E30868" w:rsidRDefault="00E30868" w:rsidP="00B37D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MS PGothic">
    <w:panose1 w:val="020B0600070205080204"/>
    <w:charset w:val="80"/>
    <w:family w:val="swiss"/>
    <w:pitch w:val="variable"/>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A58" w:rsidRDefault="007D3B1C" w:rsidP="0086342A">
    <w:pPr>
      <w:pStyle w:val="Footer"/>
      <w:framePr w:wrap="around" w:vAnchor="text" w:hAnchor="margin" w:xAlign="center" w:y="1"/>
      <w:rPr>
        <w:rStyle w:val="PageNumber"/>
      </w:rPr>
    </w:pPr>
    <w:r>
      <w:rPr>
        <w:rStyle w:val="PageNumber"/>
      </w:rPr>
      <w:fldChar w:fldCharType="begin"/>
    </w:r>
    <w:r w:rsidR="004C6A58">
      <w:rPr>
        <w:rStyle w:val="PageNumber"/>
      </w:rPr>
      <w:instrText xml:space="preserve">PAGE  </w:instrText>
    </w:r>
    <w:r>
      <w:rPr>
        <w:rStyle w:val="PageNumber"/>
      </w:rPr>
      <w:fldChar w:fldCharType="end"/>
    </w:r>
  </w:p>
  <w:p w:rsidR="004C6A58" w:rsidRDefault="004C6A5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A58" w:rsidRDefault="007D3B1C" w:rsidP="0086342A">
    <w:pPr>
      <w:pStyle w:val="Footer"/>
      <w:framePr w:wrap="around" w:vAnchor="text" w:hAnchor="margin" w:xAlign="center" w:y="1"/>
      <w:rPr>
        <w:rStyle w:val="PageNumber"/>
      </w:rPr>
    </w:pPr>
    <w:r>
      <w:rPr>
        <w:rStyle w:val="PageNumber"/>
      </w:rPr>
      <w:fldChar w:fldCharType="begin"/>
    </w:r>
    <w:r w:rsidR="004C6A58">
      <w:rPr>
        <w:rStyle w:val="PageNumber"/>
      </w:rPr>
      <w:instrText xml:space="preserve">PAGE  </w:instrText>
    </w:r>
    <w:r>
      <w:rPr>
        <w:rStyle w:val="PageNumber"/>
      </w:rPr>
      <w:fldChar w:fldCharType="separate"/>
    </w:r>
    <w:r w:rsidR="006B47D7">
      <w:rPr>
        <w:rStyle w:val="PageNumber"/>
        <w:noProof/>
      </w:rPr>
      <w:t>9</w:t>
    </w:r>
    <w:r>
      <w:rPr>
        <w:rStyle w:val="PageNumber"/>
      </w:rPr>
      <w:fldChar w:fldCharType="end"/>
    </w:r>
  </w:p>
  <w:p w:rsidR="004C6A58" w:rsidRDefault="004C6A5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47D7" w:rsidRDefault="006B47D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0868" w:rsidRDefault="00E30868" w:rsidP="00B37D13">
      <w:pPr>
        <w:spacing w:after="0" w:line="240" w:lineRule="auto"/>
      </w:pPr>
      <w:r>
        <w:separator/>
      </w:r>
    </w:p>
  </w:footnote>
  <w:footnote w:type="continuationSeparator" w:id="0">
    <w:p w:rsidR="00E30868" w:rsidRDefault="00E30868" w:rsidP="00B37D13">
      <w:pPr>
        <w:spacing w:after="0" w:line="240" w:lineRule="auto"/>
      </w:pPr>
      <w:r>
        <w:continuationSeparator/>
      </w:r>
    </w:p>
  </w:footnote>
  <w:footnote w:id="1">
    <w:p w:rsidR="00912A1D" w:rsidRPr="0052536D" w:rsidRDefault="00912A1D" w:rsidP="00912A1D">
      <w:pPr>
        <w:pStyle w:val="FootnoteText"/>
        <w:jc w:val="both"/>
      </w:pPr>
      <w:r w:rsidRPr="0052536D">
        <w:rPr>
          <w:rStyle w:val="FootnoteReference"/>
        </w:rPr>
        <w:footnoteRef/>
      </w:r>
      <w:r w:rsidRPr="0052536D">
        <w:t xml:space="preserve"> </w:t>
      </w:r>
      <w:r w:rsidR="00145670" w:rsidRPr="00145670">
        <w:t>Sydney Centre for International Law, Faculty of Law, University of Sydney</w:t>
      </w:r>
      <w:r w:rsidR="00145670">
        <w:t>.</w:t>
      </w:r>
      <w:r w:rsidR="00145670" w:rsidRPr="00145670">
        <w:t xml:space="preserve"> </w:t>
      </w:r>
      <w:r>
        <w:t xml:space="preserve">The views expressed in this submission are those of the authors personally. </w:t>
      </w:r>
    </w:p>
  </w:footnote>
  <w:footnote w:id="2">
    <w:p w:rsidR="00485161" w:rsidRPr="0052536D" w:rsidRDefault="00485161" w:rsidP="00825778">
      <w:pPr>
        <w:pStyle w:val="FootnoteText"/>
        <w:jc w:val="both"/>
      </w:pPr>
      <w:r w:rsidRPr="0052536D">
        <w:rPr>
          <w:rStyle w:val="FootnoteReference"/>
        </w:rPr>
        <w:footnoteRef/>
      </w:r>
      <w:r w:rsidRPr="0052536D">
        <w:t xml:space="preserve"> </w:t>
      </w:r>
      <w:r w:rsidRPr="0052536D">
        <w:rPr>
          <w:i/>
        </w:rPr>
        <w:t>International Covenant on Civil and Political Rights</w:t>
      </w:r>
      <w:r w:rsidRPr="0052536D">
        <w:t>, opened for signature 16 December 1966, 999 UNTS 171 (entered into force 23 March 1976) art</w:t>
      </w:r>
      <w:r w:rsidR="00912A1D">
        <w:t>.</w:t>
      </w:r>
      <w:r w:rsidRPr="0052536D">
        <w:t>19(2).</w:t>
      </w:r>
    </w:p>
  </w:footnote>
  <w:footnote w:id="3">
    <w:p w:rsidR="00485161" w:rsidRPr="0052536D" w:rsidRDefault="00485161" w:rsidP="00825778">
      <w:pPr>
        <w:pStyle w:val="FootnoteText"/>
        <w:jc w:val="both"/>
      </w:pPr>
      <w:r w:rsidRPr="0052536D">
        <w:rPr>
          <w:rStyle w:val="FootnoteReference"/>
        </w:rPr>
        <w:footnoteRef/>
      </w:r>
      <w:r w:rsidR="00912A1D">
        <w:t xml:space="preserve"> Ibid</w:t>
      </w:r>
      <w:r w:rsidRPr="0052536D">
        <w:t>.</w:t>
      </w:r>
    </w:p>
  </w:footnote>
  <w:footnote w:id="4">
    <w:p w:rsidR="00485161" w:rsidRPr="0052536D" w:rsidRDefault="00485161" w:rsidP="00825778">
      <w:pPr>
        <w:pStyle w:val="FootnoteText"/>
        <w:jc w:val="both"/>
      </w:pPr>
      <w:r w:rsidRPr="0052536D">
        <w:rPr>
          <w:rStyle w:val="FootnoteReference"/>
        </w:rPr>
        <w:footnoteRef/>
      </w:r>
      <w:r w:rsidRPr="0052536D">
        <w:t xml:space="preserve"> The ICCPR is scheduled to the </w:t>
      </w:r>
      <w:r w:rsidRPr="0052536D">
        <w:rPr>
          <w:i/>
        </w:rPr>
        <w:t xml:space="preserve">Australian Human Rights Commission Act 1986 </w:t>
      </w:r>
      <w:r w:rsidRPr="0052536D">
        <w:t>(Cth).</w:t>
      </w:r>
    </w:p>
  </w:footnote>
  <w:footnote w:id="5">
    <w:p w:rsidR="00485161" w:rsidRPr="0052536D" w:rsidRDefault="00485161" w:rsidP="00825778">
      <w:pPr>
        <w:pStyle w:val="FootnoteText"/>
        <w:jc w:val="both"/>
      </w:pPr>
      <w:r w:rsidRPr="0052536D">
        <w:rPr>
          <w:rStyle w:val="FootnoteReference"/>
        </w:rPr>
        <w:footnoteRef/>
      </w:r>
      <w:r w:rsidRPr="0052536D">
        <w:t xml:space="preserve"> </w:t>
      </w:r>
      <w:r w:rsidRPr="0052536D">
        <w:rPr>
          <w:i/>
        </w:rPr>
        <w:t>Minister for Immigration v B</w:t>
      </w:r>
      <w:r w:rsidRPr="0052536D">
        <w:t xml:space="preserve"> (2004) 219 CLR 365, [171] (Kirby J).</w:t>
      </w:r>
    </w:p>
  </w:footnote>
  <w:footnote w:id="6">
    <w:p w:rsidR="00485161" w:rsidRPr="0052536D" w:rsidRDefault="00485161" w:rsidP="00825778">
      <w:pPr>
        <w:pStyle w:val="FootnoteText"/>
        <w:jc w:val="both"/>
      </w:pPr>
      <w:r w:rsidRPr="0052536D">
        <w:rPr>
          <w:rStyle w:val="FootnoteReference"/>
        </w:rPr>
        <w:footnoteRef/>
      </w:r>
      <w:r w:rsidRPr="0052536D">
        <w:t xml:space="preserve"> </w:t>
      </w:r>
      <w:r w:rsidRPr="0052536D">
        <w:rPr>
          <w:i/>
        </w:rPr>
        <w:t>Minister for Immigration and Ethnic Affairs v Teoh</w:t>
      </w:r>
      <w:r w:rsidRPr="0052536D">
        <w:t xml:space="preserve"> (1995) 183 CLR 273, 287 (Mason CJ and Deane J); </w:t>
      </w:r>
      <w:r w:rsidRPr="0052536D">
        <w:rPr>
          <w:i/>
        </w:rPr>
        <w:t>Momcilovic v The Queen</w:t>
      </w:r>
      <w:r w:rsidRPr="0052536D">
        <w:t xml:space="preserve"> (2011) 245 CLR 1, [18] (French CJ).</w:t>
      </w:r>
    </w:p>
  </w:footnote>
  <w:footnote w:id="7">
    <w:p w:rsidR="00485161" w:rsidRPr="0052536D" w:rsidRDefault="00485161" w:rsidP="00825778">
      <w:pPr>
        <w:pStyle w:val="FootnoteText"/>
        <w:jc w:val="both"/>
      </w:pPr>
      <w:r w:rsidRPr="0052536D">
        <w:rPr>
          <w:rStyle w:val="FootnoteReference"/>
        </w:rPr>
        <w:footnoteRef/>
      </w:r>
      <w:r w:rsidRPr="0052536D">
        <w:t xml:space="preserve"> </w:t>
      </w:r>
      <w:r w:rsidRPr="0052536D">
        <w:rPr>
          <w:i/>
        </w:rPr>
        <w:t>Australian Border Force Act 2015</w:t>
      </w:r>
      <w:r>
        <w:t xml:space="preserve"> (Cth) s.</w:t>
      </w:r>
      <w:r w:rsidRPr="0052536D">
        <w:t>42.</w:t>
      </w:r>
    </w:p>
  </w:footnote>
  <w:footnote w:id="8">
    <w:p w:rsidR="00485161" w:rsidRPr="005B506E" w:rsidRDefault="00485161" w:rsidP="00825778">
      <w:pPr>
        <w:pStyle w:val="FootnoteText"/>
        <w:jc w:val="both"/>
        <w:rPr>
          <w:lang w:val="en-US"/>
        </w:rPr>
      </w:pPr>
      <w:r>
        <w:rPr>
          <w:rStyle w:val="FootnoteReference"/>
        </w:rPr>
        <w:footnoteRef/>
      </w:r>
      <w:r>
        <w:t xml:space="preserve"> Ibid. s.4</w:t>
      </w:r>
    </w:p>
  </w:footnote>
  <w:footnote w:id="9">
    <w:p w:rsidR="00485161" w:rsidRPr="0052536D" w:rsidRDefault="00485161" w:rsidP="00825778">
      <w:pPr>
        <w:pStyle w:val="FootnoteText"/>
        <w:jc w:val="both"/>
      </w:pPr>
      <w:r w:rsidRPr="0052536D">
        <w:rPr>
          <w:rStyle w:val="FootnoteReference"/>
        </w:rPr>
        <w:footnoteRef/>
      </w:r>
      <w:r w:rsidRPr="0052536D">
        <w:t xml:space="preserve"> </w:t>
      </w:r>
      <w:r w:rsidRPr="005B506E">
        <w:t>Ibid</w:t>
      </w:r>
      <w:r w:rsidRPr="0052536D">
        <w:t>.</w:t>
      </w:r>
    </w:p>
  </w:footnote>
  <w:footnote w:id="10">
    <w:p w:rsidR="00485161" w:rsidRPr="0052536D" w:rsidRDefault="00485161" w:rsidP="00825778">
      <w:pPr>
        <w:pStyle w:val="FootnoteText"/>
        <w:jc w:val="both"/>
      </w:pPr>
      <w:r w:rsidRPr="0052536D">
        <w:rPr>
          <w:rStyle w:val="FootnoteReference"/>
        </w:rPr>
        <w:footnoteRef/>
      </w:r>
      <w:r>
        <w:t xml:space="preserve"> Ibid</w:t>
      </w:r>
      <w:r w:rsidRPr="0052536D">
        <w:t>.</w:t>
      </w:r>
    </w:p>
  </w:footnote>
  <w:footnote w:id="11">
    <w:p w:rsidR="00485161" w:rsidRPr="0025372A" w:rsidRDefault="00485161" w:rsidP="00825778">
      <w:pPr>
        <w:pStyle w:val="FootnoteText"/>
        <w:jc w:val="both"/>
        <w:rPr>
          <w:lang w:val="en-US"/>
        </w:rPr>
      </w:pPr>
      <w:r>
        <w:rPr>
          <w:rStyle w:val="FootnoteReference"/>
        </w:rPr>
        <w:footnoteRef/>
      </w:r>
      <w:r>
        <w:t xml:space="preserve"> </w:t>
      </w:r>
      <w:r w:rsidR="00912A1D">
        <w:rPr>
          <w:lang w:val="en-US"/>
        </w:rPr>
        <w:t>ICCPR a</w:t>
      </w:r>
      <w:r>
        <w:rPr>
          <w:lang w:val="en-US"/>
        </w:rPr>
        <w:t xml:space="preserve">rt.19(3); </w:t>
      </w:r>
      <w:r w:rsidRPr="0025372A">
        <w:rPr>
          <w:lang w:val="en-US"/>
        </w:rPr>
        <w:t xml:space="preserve">Human Rights Committee, </w:t>
      </w:r>
      <w:r w:rsidRPr="0025372A">
        <w:rPr>
          <w:i/>
          <w:iCs/>
          <w:lang w:val="en-US"/>
        </w:rPr>
        <w:t>General Comment No. 34</w:t>
      </w:r>
      <w:r w:rsidRPr="0025372A">
        <w:rPr>
          <w:lang w:val="en-US"/>
        </w:rPr>
        <w:t>, note 4, para 22.</w:t>
      </w:r>
    </w:p>
  </w:footnote>
  <w:footnote w:id="12">
    <w:p w:rsidR="00485161" w:rsidRPr="0052536D" w:rsidRDefault="00485161" w:rsidP="00825778">
      <w:pPr>
        <w:pStyle w:val="FootnoteText"/>
        <w:jc w:val="both"/>
      </w:pPr>
      <w:r w:rsidRPr="0052536D">
        <w:rPr>
          <w:rStyle w:val="FootnoteReference"/>
        </w:rPr>
        <w:footnoteRef/>
      </w:r>
      <w:r w:rsidRPr="0052536D">
        <w:t xml:space="preserve"> United Nations Economic and Social Council, Siracusa Principles on the Limitation and Derogation</w:t>
      </w:r>
      <w:r>
        <w:t xml:space="preserve"> </w:t>
      </w:r>
      <w:r w:rsidRPr="0052536D">
        <w:t xml:space="preserve">Provisions in the International Covenant on </w:t>
      </w:r>
      <w:r>
        <w:t>Civil and Political Rights, UN</w:t>
      </w:r>
      <w:r w:rsidRPr="0052536D">
        <w:t xml:space="preserve"> Doc. E/CN.4/1985/4, Annex</w:t>
      </w:r>
      <w:r>
        <w:t xml:space="preserve"> </w:t>
      </w:r>
      <w:r w:rsidRPr="0052536D">
        <w:t>(1985) cl</w:t>
      </w:r>
      <w:r>
        <w:t>.</w:t>
      </w:r>
      <w:r w:rsidRPr="0052536D">
        <w:t xml:space="preserve"> 29</w:t>
      </w:r>
      <w:r w:rsidR="00CF3EFB">
        <w:t xml:space="preserve"> (“ECOSOC, Siracusa Principles”)</w:t>
      </w:r>
      <w:r w:rsidRPr="0052536D">
        <w:t>.</w:t>
      </w:r>
    </w:p>
  </w:footnote>
  <w:footnote w:id="13">
    <w:p w:rsidR="00485161" w:rsidRPr="0052536D" w:rsidRDefault="00485161" w:rsidP="00825778">
      <w:pPr>
        <w:pStyle w:val="FootnoteText"/>
        <w:jc w:val="both"/>
      </w:pPr>
      <w:r w:rsidRPr="0052536D">
        <w:rPr>
          <w:rStyle w:val="FootnoteReference"/>
        </w:rPr>
        <w:footnoteRef/>
      </w:r>
      <w:r w:rsidRPr="0052536D">
        <w:t xml:space="preserve"> Interim Report </w:t>
      </w:r>
      <w:r>
        <w:t>paras. 3</w:t>
      </w:r>
      <w:r w:rsidRPr="0052536D">
        <w:t>.</w:t>
      </w:r>
      <w:r>
        <w:t xml:space="preserve">172, 3.173; </w:t>
      </w:r>
      <w:r w:rsidR="00CF3EFB">
        <w:t>ECOSOC, Siracusa Principles</w:t>
      </w:r>
      <w:r w:rsidRPr="00825778">
        <w:rPr>
          <w:lang w:val="en-US"/>
        </w:rPr>
        <w:t xml:space="preserve"> cl</w:t>
      </w:r>
      <w:r>
        <w:rPr>
          <w:lang w:val="en-US"/>
        </w:rPr>
        <w:t>.</w:t>
      </w:r>
      <w:r w:rsidRPr="00825778">
        <w:rPr>
          <w:lang w:val="en-US"/>
        </w:rPr>
        <w:t xml:space="preserve"> 22</w:t>
      </w:r>
      <w:r>
        <w:rPr>
          <w:lang w:val="en-US"/>
        </w:rPr>
        <w:t>.</w:t>
      </w:r>
      <w:r>
        <w:t xml:space="preserve"> </w:t>
      </w:r>
    </w:p>
  </w:footnote>
  <w:footnote w:id="14">
    <w:p w:rsidR="00485161" w:rsidRPr="0052536D" w:rsidRDefault="00485161" w:rsidP="00825778">
      <w:pPr>
        <w:pStyle w:val="FootnoteText"/>
        <w:jc w:val="both"/>
      </w:pPr>
      <w:r w:rsidRPr="0052536D">
        <w:rPr>
          <w:rStyle w:val="FootnoteReference"/>
        </w:rPr>
        <w:footnoteRef/>
      </w:r>
      <w:r w:rsidRPr="0052536D">
        <w:t xml:space="preserve"> </w:t>
      </w:r>
      <w:r w:rsidR="00CF3EFB">
        <w:t>ECOSOC, Siracusa Principles</w:t>
      </w:r>
      <w:r w:rsidRPr="0052536D">
        <w:t xml:space="preserve"> cl</w:t>
      </w:r>
      <w:r>
        <w:t>.</w:t>
      </w:r>
      <w:r w:rsidRPr="0052536D">
        <w:t xml:space="preserve"> 37.</w:t>
      </w:r>
    </w:p>
  </w:footnote>
  <w:footnote w:id="15">
    <w:p w:rsidR="00485161" w:rsidRPr="0052536D" w:rsidRDefault="00485161" w:rsidP="00825778">
      <w:pPr>
        <w:pStyle w:val="FootnoteText"/>
        <w:jc w:val="both"/>
      </w:pPr>
      <w:r w:rsidRPr="0052536D">
        <w:rPr>
          <w:rStyle w:val="FootnoteReference"/>
        </w:rPr>
        <w:footnoteRef/>
      </w:r>
      <w:r w:rsidRPr="0052536D">
        <w:t xml:space="preserve"> Explanatory Memorandum to the </w:t>
      </w:r>
      <w:r w:rsidRPr="0052536D">
        <w:rPr>
          <w:i/>
        </w:rPr>
        <w:t>Australian Border Force Bill 2015</w:t>
      </w:r>
      <w:r w:rsidRPr="0052536D">
        <w:t xml:space="preserve"> (Cth), 14.</w:t>
      </w:r>
    </w:p>
  </w:footnote>
  <w:footnote w:id="16">
    <w:p w:rsidR="00485161" w:rsidRPr="0052536D" w:rsidRDefault="00485161" w:rsidP="00825778">
      <w:pPr>
        <w:pStyle w:val="FootnoteText"/>
        <w:jc w:val="both"/>
      </w:pPr>
      <w:r w:rsidRPr="0052536D">
        <w:rPr>
          <w:rStyle w:val="FootnoteReference"/>
        </w:rPr>
        <w:footnoteRef/>
      </w:r>
      <w:r w:rsidRPr="0052536D">
        <w:t xml:space="preserve"> Australian Law Reform Commission, </w:t>
      </w:r>
      <w:r w:rsidRPr="0052536D">
        <w:rPr>
          <w:i/>
        </w:rPr>
        <w:t>Secrecy Laws and Open Government in Australia</w:t>
      </w:r>
      <w:r w:rsidRPr="0052536D">
        <w:t>, Report No</w:t>
      </w:r>
      <w:r>
        <w:t>.</w:t>
      </w:r>
      <w:r w:rsidRPr="0052536D">
        <w:t xml:space="preserve">112 (2009), recs  8 – 1, 8 – 2. </w:t>
      </w:r>
    </w:p>
  </w:footnote>
  <w:footnote w:id="17">
    <w:p w:rsidR="00485161" w:rsidRPr="0052536D" w:rsidRDefault="00485161" w:rsidP="00825778">
      <w:pPr>
        <w:pStyle w:val="FootnoteText"/>
        <w:jc w:val="both"/>
      </w:pPr>
      <w:r w:rsidRPr="0052536D">
        <w:rPr>
          <w:rStyle w:val="FootnoteReference"/>
        </w:rPr>
        <w:footnoteRef/>
      </w:r>
      <w:r w:rsidRPr="0052536D">
        <w:t xml:space="preserve"> </w:t>
      </w:r>
      <w:r w:rsidR="00CF3EFB">
        <w:t>ECOSOC, Siracusa Principles</w:t>
      </w:r>
      <w:r w:rsidRPr="0052536D">
        <w:t xml:space="preserve"> cl</w:t>
      </w:r>
      <w:r>
        <w:t>.</w:t>
      </w:r>
      <w:r w:rsidRPr="0052536D">
        <w:t xml:space="preserve"> 32.</w:t>
      </w:r>
    </w:p>
  </w:footnote>
  <w:footnote w:id="18">
    <w:p w:rsidR="00485161" w:rsidRPr="00825778" w:rsidRDefault="00485161" w:rsidP="00825778">
      <w:pPr>
        <w:pStyle w:val="FootnoteText"/>
        <w:jc w:val="both"/>
        <w:rPr>
          <w:i/>
        </w:rPr>
      </w:pPr>
      <w:r w:rsidRPr="0052536D">
        <w:rPr>
          <w:rStyle w:val="FootnoteReference"/>
        </w:rPr>
        <w:footnoteRef/>
      </w:r>
      <w:r w:rsidRPr="0052536D">
        <w:t xml:space="preserve"> Law Council of Australia, Submission to Senate Legal and Constitutional Affairs Committee, </w:t>
      </w:r>
      <w:r w:rsidRPr="0052536D">
        <w:rPr>
          <w:i/>
        </w:rPr>
        <w:t>Inquiry</w:t>
      </w:r>
      <w:r>
        <w:rPr>
          <w:i/>
        </w:rPr>
        <w:t xml:space="preserve"> </w:t>
      </w:r>
      <w:r w:rsidRPr="0052536D">
        <w:rPr>
          <w:i/>
        </w:rPr>
        <w:t>into the Customs and Other Legislation Amendment (Australian Border Force) Bill 2015 and the</w:t>
      </w:r>
      <w:r>
        <w:rPr>
          <w:i/>
        </w:rPr>
        <w:t xml:space="preserve"> </w:t>
      </w:r>
      <w:r w:rsidRPr="0052536D">
        <w:rPr>
          <w:i/>
        </w:rPr>
        <w:t>Australian Border Force Bill 2015</w:t>
      </w:r>
      <w:r w:rsidRPr="0052536D">
        <w:t>, 2015, 13.</w:t>
      </w:r>
    </w:p>
  </w:footnote>
  <w:footnote w:id="19">
    <w:p w:rsidR="00485161" w:rsidRPr="0052536D" w:rsidRDefault="00485161" w:rsidP="00825778">
      <w:pPr>
        <w:pStyle w:val="FootnoteText"/>
        <w:jc w:val="both"/>
      </w:pPr>
      <w:r w:rsidRPr="0052536D">
        <w:rPr>
          <w:rStyle w:val="FootnoteReference"/>
        </w:rPr>
        <w:footnoteRef/>
      </w:r>
      <w:r w:rsidRPr="0052536D">
        <w:t xml:space="preserve"> </w:t>
      </w:r>
      <w:r w:rsidRPr="0052536D">
        <w:rPr>
          <w:i/>
        </w:rPr>
        <w:t xml:space="preserve">Public Interest Disclosure Act 2013 </w:t>
      </w:r>
      <w:r w:rsidR="0020008A">
        <w:t>(Cth), s.</w:t>
      </w:r>
      <w:r w:rsidRPr="0052536D">
        <w:t>26(1)(c) item 2.</w:t>
      </w:r>
    </w:p>
  </w:footnote>
  <w:footnote w:id="20">
    <w:p w:rsidR="00485161" w:rsidRPr="0052536D" w:rsidRDefault="00485161" w:rsidP="00825778">
      <w:pPr>
        <w:pStyle w:val="FootnoteText"/>
        <w:jc w:val="both"/>
      </w:pPr>
      <w:r w:rsidRPr="0052536D">
        <w:rPr>
          <w:rStyle w:val="FootnoteReference"/>
        </w:rPr>
        <w:footnoteRef/>
      </w:r>
      <w:r w:rsidRPr="0052536D">
        <w:t xml:space="preserve"> </w:t>
      </w:r>
      <w:r w:rsidRPr="0075781B">
        <w:t>Ibid</w:t>
      </w:r>
      <w:r>
        <w:rPr>
          <w:i/>
        </w:rPr>
        <w:t>.</w:t>
      </w:r>
      <w:r w:rsidR="006562E5">
        <w:rPr>
          <w:i/>
        </w:rPr>
        <w:t xml:space="preserve"> </w:t>
      </w:r>
      <w:r w:rsidR="0020008A">
        <w:t>s.</w:t>
      </w:r>
      <w:r w:rsidRPr="0052536D">
        <w:t>26(1)(c) item 2(e).</w:t>
      </w:r>
    </w:p>
  </w:footnote>
  <w:footnote w:id="21">
    <w:p w:rsidR="00485161" w:rsidRPr="0052536D" w:rsidRDefault="00485161" w:rsidP="00825778">
      <w:pPr>
        <w:pStyle w:val="FootnoteText"/>
        <w:jc w:val="both"/>
      </w:pPr>
      <w:r w:rsidRPr="0052536D">
        <w:rPr>
          <w:rStyle w:val="FootnoteReference"/>
        </w:rPr>
        <w:footnoteRef/>
      </w:r>
      <w:r w:rsidRPr="0052536D">
        <w:t xml:space="preserve"> </w:t>
      </w:r>
      <w:r w:rsidRPr="0075781B">
        <w:t>Ibid</w:t>
      </w:r>
      <w:r>
        <w:rPr>
          <w:i/>
        </w:rPr>
        <w:t>.</w:t>
      </w:r>
      <w:r w:rsidR="006562E5">
        <w:rPr>
          <w:i/>
        </w:rPr>
        <w:t xml:space="preserve"> </w:t>
      </w:r>
      <w:r w:rsidRPr="0052536D">
        <w:t>item 2(f).</w:t>
      </w:r>
    </w:p>
  </w:footnote>
  <w:footnote w:id="22">
    <w:p w:rsidR="00485161" w:rsidRPr="0052536D" w:rsidRDefault="00485161" w:rsidP="00825778">
      <w:pPr>
        <w:pStyle w:val="FootnoteText"/>
        <w:jc w:val="both"/>
      </w:pPr>
      <w:r w:rsidRPr="0052536D">
        <w:rPr>
          <w:rStyle w:val="FootnoteReference"/>
        </w:rPr>
        <w:footnoteRef/>
      </w:r>
      <w:r w:rsidRPr="0052536D">
        <w:t xml:space="preserve"> </w:t>
      </w:r>
      <w:r w:rsidR="001B10B2" w:rsidRPr="0075781B">
        <w:t>Ibid</w:t>
      </w:r>
      <w:r w:rsidR="001B10B2">
        <w:rPr>
          <w:i/>
        </w:rPr>
        <w:t>.</w:t>
      </w:r>
      <w:r w:rsidR="006562E5">
        <w:rPr>
          <w:i/>
        </w:rPr>
        <w:t xml:space="preserve"> </w:t>
      </w:r>
      <w:r w:rsidRPr="0052536D">
        <w:t>item 3.</w:t>
      </w:r>
    </w:p>
  </w:footnote>
  <w:footnote w:id="23">
    <w:p w:rsidR="00485161" w:rsidRPr="0052536D" w:rsidRDefault="00485161" w:rsidP="00825778">
      <w:pPr>
        <w:pStyle w:val="FootnoteText"/>
        <w:jc w:val="both"/>
      </w:pPr>
      <w:r w:rsidRPr="0052536D">
        <w:rPr>
          <w:rStyle w:val="FootnoteReference"/>
        </w:rPr>
        <w:footnoteRef/>
      </w:r>
      <w:r w:rsidRPr="0052536D">
        <w:t xml:space="preserve"> </w:t>
      </w:r>
      <w:r w:rsidR="006562E5" w:rsidRPr="0075781B">
        <w:t>Ibid</w:t>
      </w:r>
      <w:r w:rsidR="006562E5">
        <w:rPr>
          <w:i/>
        </w:rPr>
        <w:t>.</w:t>
      </w:r>
      <w:r w:rsidRPr="0052536D">
        <w:t xml:space="preserve"> </w:t>
      </w:r>
      <w:r w:rsidR="0078336D">
        <w:t>s</w:t>
      </w:r>
      <w:r>
        <w:t>s.</w:t>
      </w:r>
      <w:r w:rsidR="0078336D">
        <w:t xml:space="preserve">41(1)(g), </w:t>
      </w:r>
      <w:r>
        <w:t>4</w:t>
      </w:r>
      <w:r w:rsidRPr="0052536D">
        <w:t>1</w:t>
      </w:r>
      <w:r w:rsidR="00D52244">
        <w:t>(2)(b)</w:t>
      </w:r>
      <w:r w:rsidRPr="0052536D">
        <w:t>.</w:t>
      </w:r>
    </w:p>
  </w:footnote>
  <w:footnote w:id="24">
    <w:p w:rsidR="001B10B2" w:rsidRDefault="001B10B2">
      <w:pPr>
        <w:pStyle w:val="FootnoteText"/>
      </w:pPr>
      <w:r>
        <w:rPr>
          <w:rStyle w:val="FootnoteReference"/>
        </w:rPr>
        <w:footnoteRef/>
      </w:r>
      <w:r>
        <w:t xml:space="preserve"> </w:t>
      </w:r>
      <w:r w:rsidR="006562E5" w:rsidRPr="0075781B">
        <w:t>Ibid</w:t>
      </w:r>
      <w:r w:rsidR="006562E5">
        <w:rPr>
          <w:i/>
        </w:rPr>
        <w:t>.</w:t>
      </w:r>
      <w:r w:rsidR="006562E5" w:rsidRPr="006562E5">
        <w:t>s</w:t>
      </w:r>
      <w:r w:rsidR="006744F7">
        <w:t>.</w:t>
      </w:r>
      <w:r w:rsidR="006562E5" w:rsidRPr="006562E5">
        <w:t>2</w:t>
      </w:r>
      <w:r w:rsidR="007D4106">
        <w:t>6(1)(</w:t>
      </w:r>
      <w:r w:rsidR="006562E5">
        <w:t>c).</w:t>
      </w:r>
    </w:p>
  </w:footnote>
  <w:footnote w:id="25">
    <w:p w:rsidR="00485161" w:rsidRPr="0052536D" w:rsidRDefault="00485161" w:rsidP="00825778">
      <w:pPr>
        <w:pStyle w:val="FootnoteText"/>
        <w:jc w:val="both"/>
      </w:pPr>
      <w:r w:rsidRPr="0052536D">
        <w:rPr>
          <w:rStyle w:val="FootnoteReference"/>
        </w:rPr>
        <w:footnoteRef/>
      </w:r>
      <w:r w:rsidRPr="0052536D">
        <w:t xml:space="preserve"> </w:t>
      </w:r>
      <w:r w:rsidRPr="0052536D">
        <w:rPr>
          <w:i/>
        </w:rPr>
        <w:t>Convention on the Rights of the Child</w:t>
      </w:r>
      <w:r w:rsidRPr="0052536D">
        <w:t xml:space="preserve">, adopted and opened for signature, ratification and accession by the General Assembly 20 November 1989, 1577 UNTS 3 (entered into force 2 September 1990). </w:t>
      </w:r>
    </w:p>
  </w:footnote>
  <w:footnote w:id="26">
    <w:p w:rsidR="00485161" w:rsidRPr="00D47682" w:rsidRDefault="00485161" w:rsidP="00D47682">
      <w:pPr>
        <w:pStyle w:val="FootnoteText"/>
        <w:jc w:val="both"/>
        <w:rPr>
          <w:i/>
        </w:rPr>
      </w:pPr>
      <w:r w:rsidRPr="0052536D">
        <w:rPr>
          <w:rStyle w:val="FootnoteReference"/>
        </w:rPr>
        <w:footnoteRef/>
      </w:r>
      <w:r w:rsidRPr="0052536D">
        <w:t xml:space="preserve"> </w:t>
      </w:r>
      <w:r w:rsidRPr="0052536D">
        <w:rPr>
          <w:i/>
        </w:rPr>
        <w:t>Minister of State Immigration and Ethnic Affairs v Teoh</w:t>
      </w:r>
      <w:r w:rsidRPr="0052536D">
        <w:t xml:space="preserve"> (1995) 183 CLR 273.</w:t>
      </w:r>
      <w:r w:rsidR="006744F7">
        <w:t xml:space="preserve">  The reasoning in </w:t>
      </w:r>
      <w:r w:rsidR="006744F7" w:rsidRPr="006744F7">
        <w:rPr>
          <w:i/>
        </w:rPr>
        <w:t>T</w:t>
      </w:r>
      <w:r w:rsidR="006744F7">
        <w:rPr>
          <w:i/>
        </w:rPr>
        <w:t xml:space="preserve">eoh </w:t>
      </w:r>
      <w:r w:rsidR="006744F7">
        <w:t xml:space="preserve">was strongly criticised by the High Court in </w:t>
      </w:r>
      <w:r w:rsidR="00D47682" w:rsidRPr="00D47682">
        <w:rPr>
          <w:i/>
        </w:rPr>
        <w:t>Re Minister for Immigrat</w:t>
      </w:r>
      <w:r w:rsidR="00D47682">
        <w:rPr>
          <w:i/>
        </w:rPr>
        <w:t xml:space="preserve">ion and Multicultural Affairs; </w:t>
      </w:r>
      <w:r w:rsidR="00D47682" w:rsidRPr="00D47682">
        <w:rPr>
          <w:i/>
        </w:rPr>
        <w:t xml:space="preserve">Ex parte Lam </w:t>
      </w:r>
      <w:r w:rsidR="009E1693" w:rsidRPr="009E1693">
        <w:t xml:space="preserve">(2003) </w:t>
      </w:r>
      <w:r w:rsidR="00D47682" w:rsidRPr="009E1693">
        <w:t>214</w:t>
      </w:r>
      <w:r w:rsidR="00D47682" w:rsidRPr="00D47682">
        <w:t xml:space="preserve"> CLR 1</w:t>
      </w:r>
      <w:r w:rsidR="00D47682">
        <w:t xml:space="preserve">, </w:t>
      </w:r>
      <w:r w:rsidR="006744F7">
        <w:t xml:space="preserve">but as that criticism was </w:t>
      </w:r>
      <w:r w:rsidR="006744F7">
        <w:rPr>
          <w:i/>
        </w:rPr>
        <w:t>obiter</w:t>
      </w:r>
      <w:r w:rsidR="006744F7">
        <w:t>,</w:t>
      </w:r>
      <w:r w:rsidR="00EC3F94">
        <w:t xml:space="preserve"> strictly</w:t>
      </w:r>
      <w:r w:rsidR="006744F7">
        <w:t xml:space="preserve"> </w:t>
      </w:r>
      <w:r w:rsidR="006744F7">
        <w:rPr>
          <w:i/>
        </w:rPr>
        <w:t xml:space="preserve">Teoh </w:t>
      </w:r>
      <w:r w:rsidR="006744F7">
        <w:t>remains good law.</w:t>
      </w:r>
    </w:p>
  </w:footnote>
  <w:footnote w:id="27">
    <w:p w:rsidR="00485161" w:rsidRPr="0052536D" w:rsidRDefault="00485161" w:rsidP="00825778">
      <w:pPr>
        <w:pStyle w:val="FootnoteText"/>
        <w:jc w:val="both"/>
      </w:pPr>
      <w:r w:rsidRPr="0052536D">
        <w:rPr>
          <w:rStyle w:val="FootnoteReference"/>
        </w:rPr>
        <w:footnoteRef/>
      </w:r>
      <w:r w:rsidRPr="0052536D">
        <w:t xml:space="preserve"> </w:t>
      </w:r>
      <w:r w:rsidR="00D47682" w:rsidRPr="0052536D">
        <w:rPr>
          <w:i/>
        </w:rPr>
        <w:t>Minister of State Immigration and Ethnic Affairs v Teoh</w:t>
      </w:r>
      <w:r w:rsidR="00D47682" w:rsidRPr="0052536D">
        <w:t xml:space="preserve"> (1995) 183 CLR 273</w:t>
      </w:r>
      <w:r w:rsidRPr="0052536D">
        <w:t xml:space="preserve">. </w:t>
      </w:r>
    </w:p>
  </w:footnote>
  <w:footnote w:id="28">
    <w:p w:rsidR="00485161" w:rsidRPr="0052536D" w:rsidRDefault="00485161" w:rsidP="00825778">
      <w:pPr>
        <w:pStyle w:val="FootnoteText"/>
        <w:jc w:val="both"/>
      </w:pPr>
      <w:r w:rsidRPr="0052536D">
        <w:rPr>
          <w:rStyle w:val="FootnoteReference"/>
        </w:rPr>
        <w:footnoteRef/>
      </w:r>
      <w:r w:rsidRPr="0052536D">
        <w:t xml:space="preserve"> </w:t>
      </w:r>
      <w:r w:rsidRPr="0052536D">
        <w:rPr>
          <w:i/>
        </w:rPr>
        <w:t>Convention on the Rights of the Child</w:t>
      </w:r>
      <w:r w:rsidRPr="0052536D">
        <w:t>, adopted and opened for signature, ratification and accession by the General Assembly 20 November 1989, 1577 UNTS 3 (entered into force 2 September 1990), art</w:t>
      </w:r>
      <w:r w:rsidR="00FF5EBB">
        <w:t>.3</w:t>
      </w:r>
      <w:r w:rsidRPr="0052536D">
        <w:t xml:space="preserve">. </w:t>
      </w:r>
    </w:p>
  </w:footnote>
  <w:footnote w:id="29">
    <w:p w:rsidR="00485161" w:rsidRPr="0052536D" w:rsidRDefault="00485161" w:rsidP="00825778">
      <w:pPr>
        <w:pStyle w:val="FootnoteText"/>
        <w:jc w:val="both"/>
      </w:pPr>
      <w:r w:rsidRPr="0052536D">
        <w:rPr>
          <w:rStyle w:val="FootnoteReference"/>
        </w:rPr>
        <w:footnoteRef/>
      </w:r>
      <w:r w:rsidRPr="0052536D">
        <w:t xml:space="preserve"> </w:t>
      </w:r>
      <w:r w:rsidR="009E1693" w:rsidRPr="009E1693">
        <w:t>Ibid.</w:t>
      </w:r>
      <w:r w:rsidRPr="009E1693">
        <w:t xml:space="preserve"> art</w:t>
      </w:r>
      <w:r w:rsidR="009E1693">
        <w:t>.</w:t>
      </w:r>
      <w:r w:rsidRPr="0052536D">
        <w:t xml:space="preserve"> 37(b). </w:t>
      </w:r>
    </w:p>
  </w:footnote>
  <w:footnote w:id="30">
    <w:p w:rsidR="003205AB" w:rsidRPr="0052536D" w:rsidRDefault="003205AB" w:rsidP="003205AB">
      <w:pPr>
        <w:pStyle w:val="FootnoteText"/>
        <w:jc w:val="both"/>
      </w:pPr>
      <w:r w:rsidRPr="0052536D">
        <w:rPr>
          <w:rStyle w:val="FootnoteReference"/>
        </w:rPr>
        <w:footnoteRef/>
      </w:r>
      <w:r w:rsidRPr="0052536D">
        <w:t xml:space="preserve"> Monash University Castan Centre for Human Rights Law, Submission No 18 to Australian Law Reform Commission, </w:t>
      </w:r>
      <w:r w:rsidRPr="0052536D">
        <w:rPr>
          <w:i/>
        </w:rPr>
        <w:t xml:space="preserve">Traditional Freedoms – Encroachments by Commonwealth Laws </w:t>
      </w:r>
      <w:r w:rsidRPr="0052536D">
        <w:t xml:space="preserve">(IP 46), February 2015. </w:t>
      </w:r>
    </w:p>
  </w:footnote>
  <w:footnote w:id="31">
    <w:p w:rsidR="00485161" w:rsidRPr="0052536D" w:rsidRDefault="00485161" w:rsidP="00825778">
      <w:pPr>
        <w:pStyle w:val="FootnoteText"/>
        <w:jc w:val="both"/>
      </w:pPr>
      <w:r w:rsidRPr="0052536D">
        <w:rPr>
          <w:rStyle w:val="FootnoteReference"/>
        </w:rPr>
        <w:footnoteRef/>
      </w:r>
      <w:r w:rsidRPr="0052536D">
        <w:t xml:space="preserve"> </w:t>
      </w:r>
      <w:r w:rsidRPr="0052536D">
        <w:rPr>
          <w:i/>
        </w:rPr>
        <w:t>Australian Capital Television v Commonwealth</w:t>
      </w:r>
      <w:r w:rsidRPr="0052536D">
        <w:t xml:space="preserve"> (1992) 177 CLR 106; </w:t>
      </w:r>
      <w:r w:rsidRPr="0052536D">
        <w:rPr>
          <w:i/>
        </w:rPr>
        <w:t>Nationwide News v Wills</w:t>
      </w:r>
      <w:r w:rsidRPr="0052536D">
        <w:t xml:space="preserve"> (1992) 177 CLR 1</w:t>
      </w:r>
    </w:p>
  </w:footnote>
  <w:footnote w:id="32">
    <w:p w:rsidR="00485161" w:rsidRPr="0052536D" w:rsidRDefault="00485161" w:rsidP="00825778">
      <w:pPr>
        <w:pStyle w:val="FootnoteText"/>
        <w:jc w:val="both"/>
      </w:pPr>
      <w:r w:rsidRPr="0052536D">
        <w:rPr>
          <w:rStyle w:val="FootnoteReference"/>
        </w:rPr>
        <w:footnoteRef/>
      </w:r>
      <w:r w:rsidRPr="0052536D">
        <w:t xml:space="preserve"> </w:t>
      </w:r>
      <w:r w:rsidRPr="0052536D">
        <w:rPr>
          <w:i/>
        </w:rPr>
        <w:t>Lange v Australian Broadcasting Corporation</w:t>
      </w:r>
      <w:r w:rsidRPr="0052536D">
        <w:t xml:space="preserve"> (1997) 189 CLR 520</w:t>
      </w:r>
      <w:r w:rsidR="0014041C">
        <w:t xml:space="preserve">, </w:t>
      </w:r>
      <w:r w:rsidR="0014041C" w:rsidRPr="0052536D">
        <w:t>710</w:t>
      </w:r>
      <w:r w:rsidRPr="0052536D">
        <w:t>.</w:t>
      </w:r>
    </w:p>
  </w:footnote>
  <w:footnote w:id="33">
    <w:p w:rsidR="00485161" w:rsidRPr="0052536D" w:rsidRDefault="00485161" w:rsidP="00825778">
      <w:pPr>
        <w:pStyle w:val="FootnoteText"/>
        <w:jc w:val="both"/>
      </w:pPr>
      <w:r w:rsidRPr="0052536D">
        <w:rPr>
          <w:rStyle w:val="FootnoteReference"/>
        </w:rPr>
        <w:footnoteRef/>
      </w:r>
      <w:r w:rsidRPr="0052536D">
        <w:t xml:space="preserve"> </w:t>
      </w:r>
      <w:r w:rsidR="002870F9" w:rsidRPr="002870F9">
        <w:t>Ibid.</w:t>
      </w:r>
      <w:r w:rsidRPr="0052536D">
        <w:t xml:space="preserve"> 561.</w:t>
      </w:r>
    </w:p>
  </w:footnote>
  <w:footnote w:id="34">
    <w:p w:rsidR="003C6997" w:rsidRPr="0052536D" w:rsidRDefault="003C6997" w:rsidP="003C6997">
      <w:pPr>
        <w:pStyle w:val="FootnoteText"/>
        <w:jc w:val="both"/>
      </w:pPr>
      <w:r w:rsidRPr="0052536D">
        <w:rPr>
          <w:rStyle w:val="FootnoteReference"/>
        </w:rPr>
        <w:footnoteRef/>
      </w:r>
      <w:r w:rsidRPr="0052536D">
        <w:t xml:space="preserve"> </w:t>
      </w:r>
      <w:r w:rsidRPr="0052536D">
        <w:rPr>
          <w:i/>
        </w:rPr>
        <w:t>Coleman v Power</w:t>
      </w:r>
      <w:r w:rsidRPr="0052536D">
        <w:t xml:space="preserve"> (2004) 220 CLR 1, 2. </w:t>
      </w:r>
    </w:p>
  </w:footnote>
  <w:footnote w:id="35">
    <w:p w:rsidR="00485161" w:rsidRPr="0052536D" w:rsidRDefault="00485161" w:rsidP="00825778">
      <w:pPr>
        <w:pStyle w:val="FootnoteText"/>
        <w:jc w:val="both"/>
      </w:pPr>
      <w:r w:rsidRPr="0052536D">
        <w:rPr>
          <w:rStyle w:val="FootnoteReference"/>
        </w:rPr>
        <w:footnoteRef/>
      </w:r>
      <w:r w:rsidRPr="0052536D">
        <w:t xml:space="preserve"> </w:t>
      </w:r>
      <w:r w:rsidRPr="0052536D">
        <w:rPr>
          <w:i/>
        </w:rPr>
        <w:t>Australian Border Force Act 2015</w:t>
      </w:r>
      <w:r w:rsidRPr="0052536D">
        <w:t xml:space="preserve"> (Cth) </w:t>
      </w:r>
      <w:r>
        <w:t>s.4</w:t>
      </w:r>
      <w:r w:rsidRPr="0052536D">
        <w:t xml:space="preserve">2(1). </w:t>
      </w:r>
    </w:p>
  </w:footnote>
  <w:footnote w:id="36">
    <w:p w:rsidR="00485161" w:rsidRPr="0052536D" w:rsidRDefault="00485161" w:rsidP="00825778">
      <w:pPr>
        <w:pStyle w:val="FootnoteText"/>
        <w:jc w:val="both"/>
      </w:pPr>
      <w:r w:rsidRPr="0052536D">
        <w:rPr>
          <w:rStyle w:val="FootnoteReference"/>
        </w:rPr>
        <w:footnoteRef/>
      </w:r>
      <w:r w:rsidRPr="0052536D">
        <w:t xml:space="preserve"> </w:t>
      </w:r>
      <w:r w:rsidRPr="0052536D">
        <w:rPr>
          <w:i/>
        </w:rPr>
        <w:t>Lange v Australian Broadcasting Corporation</w:t>
      </w:r>
      <w:r w:rsidRPr="0052536D">
        <w:t xml:space="preserve"> (1997) 189 CLR 520, 545. </w:t>
      </w:r>
    </w:p>
  </w:footnote>
  <w:footnote w:id="37">
    <w:p w:rsidR="00073B39" w:rsidRPr="0052536D" w:rsidRDefault="00073B39" w:rsidP="00073B39">
      <w:pPr>
        <w:pStyle w:val="FootnoteText"/>
        <w:jc w:val="both"/>
      </w:pPr>
      <w:r w:rsidRPr="0052536D">
        <w:rPr>
          <w:rStyle w:val="FootnoteReference"/>
        </w:rPr>
        <w:footnoteRef/>
      </w:r>
      <w:r w:rsidRPr="0052536D">
        <w:t xml:space="preserve"> </w:t>
      </w:r>
      <w:r w:rsidRPr="00073B39">
        <w:t>Ibid</w:t>
      </w:r>
      <w:r>
        <w:rPr>
          <w:i/>
        </w:rPr>
        <w:t>.</w:t>
      </w:r>
      <w:r w:rsidRPr="0052536D">
        <w:t xml:space="preserve"> 560. </w:t>
      </w:r>
    </w:p>
  </w:footnote>
  <w:footnote w:id="38">
    <w:p w:rsidR="00F72176" w:rsidRPr="0052536D" w:rsidRDefault="00F72176" w:rsidP="00F72176">
      <w:pPr>
        <w:pStyle w:val="FootnoteText"/>
        <w:jc w:val="both"/>
      </w:pPr>
      <w:r w:rsidRPr="0052536D">
        <w:rPr>
          <w:rStyle w:val="FootnoteReference"/>
        </w:rPr>
        <w:footnoteRef/>
      </w:r>
      <w:r w:rsidRPr="0052536D">
        <w:t xml:space="preserve"> </w:t>
      </w:r>
      <w:r w:rsidRPr="0052536D">
        <w:rPr>
          <w:i/>
        </w:rPr>
        <w:t>Coleman v Power</w:t>
      </w:r>
      <w:r w:rsidRPr="0052536D">
        <w:t xml:space="preserve"> (2004) 220 CLR 1, 5. </w:t>
      </w:r>
    </w:p>
  </w:footnote>
  <w:footnote w:id="39">
    <w:p w:rsidR="00485161" w:rsidRPr="0052536D" w:rsidRDefault="00485161" w:rsidP="00825778">
      <w:pPr>
        <w:pStyle w:val="FootnoteText"/>
        <w:jc w:val="both"/>
        <w:rPr>
          <w:i/>
        </w:rPr>
      </w:pPr>
      <w:r w:rsidRPr="0052536D">
        <w:rPr>
          <w:rStyle w:val="FootnoteReference"/>
        </w:rPr>
        <w:footnoteRef/>
      </w:r>
      <w:r w:rsidRPr="0052536D">
        <w:t xml:space="preserve"> Law Council of Australia, Submission to Senate Legal and Constitutional Affairs Committee, </w:t>
      </w:r>
      <w:r w:rsidRPr="0052536D">
        <w:rPr>
          <w:i/>
        </w:rPr>
        <w:t>Inquiry</w:t>
      </w:r>
    </w:p>
    <w:p w:rsidR="00485161" w:rsidRPr="0052536D" w:rsidRDefault="00485161" w:rsidP="00825778">
      <w:pPr>
        <w:pStyle w:val="FootnoteText"/>
        <w:jc w:val="both"/>
        <w:rPr>
          <w:i/>
        </w:rPr>
      </w:pPr>
      <w:r w:rsidRPr="0052536D">
        <w:rPr>
          <w:i/>
        </w:rPr>
        <w:t>into the Customs and Other Legislation Amendment (Australian Border Force) Bill 2015 and the</w:t>
      </w:r>
    </w:p>
    <w:p w:rsidR="00485161" w:rsidRPr="0052536D" w:rsidRDefault="00485161" w:rsidP="00825778">
      <w:pPr>
        <w:pStyle w:val="FootnoteText"/>
        <w:jc w:val="both"/>
      </w:pPr>
      <w:r w:rsidRPr="0052536D">
        <w:rPr>
          <w:i/>
        </w:rPr>
        <w:t>Australian Border Force Bill 2015</w:t>
      </w:r>
      <w:r w:rsidRPr="0052536D">
        <w:t>, 2015, 13.</w:t>
      </w:r>
    </w:p>
  </w:footnote>
  <w:footnote w:id="40">
    <w:p w:rsidR="00485161" w:rsidRPr="0052536D" w:rsidRDefault="00485161" w:rsidP="00825778">
      <w:pPr>
        <w:pStyle w:val="FootnoteText"/>
        <w:jc w:val="both"/>
      </w:pPr>
      <w:r w:rsidRPr="0052536D">
        <w:rPr>
          <w:rStyle w:val="FootnoteReference"/>
        </w:rPr>
        <w:footnoteRef/>
      </w:r>
      <w:r w:rsidRPr="0052536D">
        <w:t xml:space="preserve"> </w:t>
      </w:r>
      <w:r w:rsidRPr="0052536D">
        <w:rPr>
          <w:i/>
        </w:rPr>
        <w:t>Coleman v Power</w:t>
      </w:r>
      <w:r w:rsidRPr="0052536D">
        <w:t xml:space="preserve"> (2004) 220 CLR 1, 50. </w:t>
      </w:r>
    </w:p>
  </w:footnote>
  <w:footnote w:id="41">
    <w:p w:rsidR="00485161" w:rsidRPr="0052536D" w:rsidRDefault="00485161" w:rsidP="00825778">
      <w:pPr>
        <w:pStyle w:val="FootnoteText"/>
        <w:jc w:val="both"/>
      </w:pPr>
      <w:r w:rsidRPr="0052536D">
        <w:rPr>
          <w:rStyle w:val="FootnoteReference"/>
        </w:rPr>
        <w:footnoteRef/>
      </w:r>
      <w:r>
        <w:t xml:space="preserve"> “</w:t>
      </w:r>
      <w:r w:rsidR="00F72176">
        <w:t>Introducing UNES</w:t>
      </w:r>
      <w:r w:rsidRPr="0052536D">
        <w:t>CO</w:t>
      </w:r>
      <w:r>
        <w:t>”,</w:t>
      </w:r>
      <w:r w:rsidRPr="0052536D">
        <w:t xml:space="preserve"> http://en.unesco.org/about-us/introducing-unesco. </w:t>
      </w:r>
    </w:p>
  </w:footnote>
  <w:footnote w:id="42">
    <w:p w:rsidR="00485161" w:rsidRPr="0052536D" w:rsidRDefault="00485161" w:rsidP="00825778">
      <w:pPr>
        <w:pStyle w:val="FootnoteText"/>
        <w:jc w:val="both"/>
      </w:pPr>
      <w:r w:rsidRPr="0052536D">
        <w:rPr>
          <w:rStyle w:val="FootnoteReference"/>
        </w:rPr>
        <w:footnoteRef/>
      </w:r>
      <w:r w:rsidRPr="0052536D">
        <w:t xml:space="preserve"> </w:t>
      </w:r>
      <w:r w:rsidRPr="0052536D">
        <w:rPr>
          <w:i/>
        </w:rPr>
        <w:t>Nationwide News v Wills</w:t>
      </w:r>
      <w:r w:rsidRPr="0052536D">
        <w:t xml:space="preserve"> (1992) 177 CLR 1, 31.</w:t>
      </w:r>
    </w:p>
  </w:footnote>
  <w:footnote w:id="43">
    <w:p w:rsidR="00485161" w:rsidRDefault="00485161" w:rsidP="00825778">
      <w:pPr>
        <w:pStyle w:val="FootnoteText"/>
        <w:jc w:val="both"/>
      </w:pPr>
      <w:r w:rsidRPr="0052536D">
        <w:rPr>
          <w:rStyle w:val="FootnoteReference"/>
        </w:rPr>
        <w:footnoteRef/>
      </w:r>
      <w:r w:rsidRPr="0052536D">
        <w:t xml:space="preserve"> Enid Campbell and Harry Whitmore, </w:t>
      </w:r>
      <w:r w:rsidRPr="0052536D">
        <w:rPr>
          <w:i/>
        </w:rPr>
        <w:t>Freedom in Australia</w:t>
      </w:r>
      <w:r w:rsidRPr="0052536D">
        <w:t xml:space="preserve"> (Sydney University Press, 1966) 113.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47D7" w:rsidRDefault="006B47D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47D7" w:rsidRDefault="006B47D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47D7" w:rsidRDefault="006B47D7" w:rsidP="006B47D7">
    <w:pPr>
      <w:pStyle w:val="Header"/>
      <w:tabs>
        <w:tab w:val="clear" w:pos="4513"/>
        <w:tab w:val="clear" w:pos="9026"/>
        <w:tab w:val="left" w:pos="949"/>
      </w:tabs>
    </w:pPr>
    <w:r>
      <w:t xml:space="preserve">109  </w:t>
    </w:r>
    <w:r w:rsidRPr="00912A1D">
      <w:rPr>
        <w:sz w:val="32"/>
      </w:rPr>
      <w:t>Ellen Moore, Musood Darwish and Dr Alison Pert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06EFD"/>
    <w:multiLevelType w:val="hybridMultilevel"/>
    <w:tmpl w:val="464C4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404542"/>
    <w:multiLevelType w:val="hybridMultilevel"/>
    <w:tmpl w:val="733C5564"/>
    <w:lvl w:ilvl="0" w:tplc="04090005">
      <w:start w:val="1"/>
      <w:numFmt w:val="bullet"/>
      <w:lvlText w:val=""/>
      <w:lvlJc w:val="left"/>
      <w:pPr>
        <w:ind w:left="720" w:hanging="360"/>
      </w:pPr>
      <w:rPr>
        <w:rFonts w:ascii="Wingdings" w:hAnsi="Wingdings"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9471C4"/>
    <w:multiLevelType w:val="hybridMultilevel"/>
    <w:tmpl w:val="701087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2D042008"/>
    <w:multiLevelType w:val="hybridMultilevel"/>
    <w:tmpl w:val="147C313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176D4F"/>
    <w:multiLevelType w:val="hybridMultilevel"/>
    <w:tmpl w:val="62167368"/>
    <w:lvl w:ilvl="0" w:tplc="76646B24">
      <w:start w:val="1"/>
      <w:numFmt w:val="decimal"/>
      <w:lvlText w:val="%1."/>
      <w:lvlJc w:val="left"/>
      <w:pPr>
        <w:ind w:left="284"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6F84A4B"/>
    <w:multiLevelType w:val="hybridMultilevel"/>
    <w:tmpl w:val="C6D207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64E0370D"/>
    <w:multiLevelType w:val="hybridMultilevel"/>
    <w:tmpl w:val="58BCBF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7ACA79DB"/>
    <w:multiLevelType w:val="hybridMultilevel"/>
    <w:tmpl w:val="1118232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CFD4FAF"/>
    <w:multiLevelType w:val="hybridMultilevel"/>
    <w:tmpl w:val="72C46DF4"/>
    <w:lvl w:ilvl="0" w:tplc="04090005">
      <w:start w:val="1"/>
      <w:numFmt w:val="bullet"/>
      <w:lvlText w:val=""/>
      <w:lvlJc w:val="left"/>
      <w:pPr>
        <w:ind w:left="720" w:hanging="360"/>
      </w:pPr>
      <w:rPr>
        <w:rFonts w:ascii="Wingdings" w:hAnsi="Wingdings" w:hint="default"/>
      </w:rPr>
    </w:lvl>
    <w:lvl w:ilvl="1" w:tplc="0409000F">
      <w:start w:val="1"/>
      <w:numFmt w:val="decimal"/>
      <w:lvlText w:val="%2."/>
      <w:lvlJc w:val="left"/>
      <w:pPr>
        <w:ind w:left="1440" w:hanging="360"/>
      </w:pPr>
      <w:rPr>
        <w:rFonts w:hint="default"/>
      </w:rPr>
    </w:lvl>
    <w:lvl w:ilvl="2" w:tplc="04090003">
      <w:start w:val="1"/>
      <w:numFmt w:val="bullet"/>
      <w:lvlText w:val="o"/>
      <w:lvlJc w:val="left"/>
      <w:pPr>
        <w:ind w:left="2160" w:hanging="360"/>
      </w:pPr>
      <w:rPr>
        <w:rFonts w:ascii="Courier New" w:hAnsi="Courier New" w:cs="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3"/>
  </w:num>
  <w:num w:numId="4">
    <w:abstractNumId w:val="0"/>
  </w:num>
  <w:num w:numId="5">
    <w:abstractNumId w:val="7"/>
  </w:num>
  <w:num w:numId="6">
    <w:abstractNumId w:val="1"/>
  </w:num>
  <w:num w:numId="7">
    <w:abstractNumId w:val="8"/>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4"/>
  <w:defaultTabStop w:val="720"/>
  <w:characterSpacingControl w:val="doNotCompress"/>
  <w:footnotePr>
    <w:footnote w:id="-1"/>
    <w:footnote w:id="0"/>
  </w:footnotePr>
  <w:endnotePr>
    <w:endnote w:id="-1"/>
    <w:endnote w:id="0"/>
  </w:endnotePr>
  <w:compat/>
  <w:rsids>
    <w:rsidRoot w:val="00323337"/>
    <w:rsid w:val="00042BD7"/>
    <w:rsid w:val="000516F7"/>
    <w:rsid w:val="000618DE"/>
    <w:rsid w:val="00062C1A"/>
    <w:rsid w:val="000715B6"/>
    <w:rsid w:val="00073B39"/>
    <w:rsid w:val="0008300B"/>
    <w:rsid w:val="000853B7"/>
    <w:rsid w:val="00087F86"/>
    <w:rsid w:val="000D2D66"/>
    <w:rsid w:val="0014041C"/>
    <w:rsid w:val="00145670"/>
    <w:rsid w:val="00171AEF"/>
    <w:rsid w:val="001B10B2"/>
    <w:rsid w:val="001C0829"/>
    <w:rsid w:val="001C6410"/>
    <w:rsid w:val="0020008A"/>
    <w:rsid w:val="00222336"/>
    <w:rsid w:val="00225080"/>
    <w:rsid w:val="0022541C"/>
    <w:rsid w:val="0025372A"/>
    <w:rsid w:val="00261DA3"/>
    <w:rsid w:val="002870F9"/>
    <w:rsid w:val="0029441D"/>
    <w:rsid w:val="002A416C"/>
    <w:rsid w:val="002A7E10"/>
    <w:rsid w:val="002B6EB5"/>
    <w:rsid w:val="002C610A"/>
    <w:rsid w:val="00306131"/>
    <w:rsid w:val="003065FD"/>
    <w:rsid w:val="003205AB"/>
    <w:rsid w:val="00320718"/>
    <w:rsid w:val="00322C97"/>
    <w:rsid w:val="00323337"/>
    <w:rsid w:val="003517EF"/>
    <w:rsid w:val="00363BB2"/>
    <w:rsid w:val="0037305D"/>
    <w:rsid w:val="003A0110"/>
    <w:rsid w:val="003A74C9"/>
    <w:rsid w:val="003C2186"/>
    <w:rsid w:val="003C6997"/>
    <w:rsid w:val="003E2E61"/>
    <w:rsid w:val="004711FE"/>
    <w:rsid w:val="00485161"/>
    <w:rsid w:val="004907D7"/>
    <w:rsid w:val="004B132D"/>
    <w:rsid w:val="004C56D3"/>
    <w:rsid w:val="004C6A58"/>
    <w:rsid w:val="004E2FFF"/>
    <w:rsid w:val="004E3288"/>
    <w:rsid w:val="005065F7"/>
    <w:rsid w:val="0052536D"/>
    <w:rsid w:val="00560344"/>
    <w:rsid w:val="005B506E"/>
    <w:rsid w:val="005F3059"/>
    <w:rsid w:val="006046F2"/>
    <w:rsid w:val="006173D0"/>
    <w:rsid w:val="006562E5"/>
    <w:rsid w:val="0066704D"/>
    <w:rsid w:val="006744F7"/>
    <w:rsid w:val="006779FD"/>
    <w:rsid w:val="00691032"/>
    <w:rsid w:val="006A21A6"/>
    <w:rsid w:val="006B47D7"/>
    <w:rsid w:val="006D3A95"/>
    <w:rsid w:val="00706C96"/>
    <w:rsid w:val="0075781B"/>
    <w:rsid w:val="0078336D"/>
    <w:rsid w:val="0078715F"/>
    <w:rsid w:val="007D3B1C"/>
    <w:rsid w:val="007D4106"/>
    <w:rsid w:val="00825778"/>
    <w:rsid w:val="00831E10"/>
    <w:rsid w:val="0086305E"/>
    <w:rsid w:val="008A32C7"/>
    <w:rsid w:val="008D02FD"/>
    <w:rsid w:val="00912A1D"/>
    <w:rsid w:val="00920A44"/>
    <w:rsid w:val="00931259"/>
    <w:rsid w:val="00933092"/>
    <w:rsid w:val="0094443B"/>
    <w:rsid w:val="00952498"/>
    <w:rsid w:val="00966D75"/>
    <w:rsid w:val="009E1693"/>
    <w:rsid w:val="009E2187"/>
    <w:rsid w:val="009F18FF"/>
    <w:rsid w:val="009F3172"/>
    <w:rsid w:val="009F44E4"/>
    <w:rsid w:val="00A05678"/>
    <w:rsid w:val="00A8225A"/>
    <w:rsid w:val="00A83429"/>
    <w:rsid w:val="00AA0BA4"/>
    <w:rsid w:val="00AC0F7A"/>
    <w:rsid w:val="00B01859"/>
    <w:rsid w:val="00B1356E"/>
    <w:rsid w:val="00B21B57"/>
    <w:rsid w:val="00B2300F"/>
    <w:rsid w:val="00B37D13"/>
    <w:rsid w:val="00B53A5E"/>
    <w:rsid w:val="00BD120E"/>
    <w:rsid w:val="00BD576E"/>
    <w:rsid w:val="00BF4CC7"/>
    <w:rsid w:val="00BF65C4"/>
    <w:rsid w:val="00C159F8"/>
    <w:rsid w:val="00C35C91"/>
    <w:rsid w:val="00C426A7"/>
    <w:rsid w:val="00C62B5A"/>
    <w:rsid w:val="00C832C2"/>
    <w:rsid w:val="00CA5DAC"/>
    <w:rsid w:val="00CA775F"/>
    <w:rsid w:val="00CB7240"/>
    <w:rsid w:val="00CD612D"/>
    <w:rsid w:val="00CD6657"/>
    <w:rsid w:val="00CF3EFB"/>
    <w:rsid w:val="00D02724"/>
    <w:rsid w:val="00D47682"/>
    <w:rsid w:val="00D52244"/>
    <w:rsid w:val="00D63320"/>
    <w:rsid w:val="00E0386A"/>
    <w:rsid w:val="00E16E50"/>
    <w:rsid w:val="00E30868"/>
    <w:rsid w:val="00E65B55"/>
    <w:rsid w:val="00E67298"/>
    <w:rsid w:val="00EC3F94"/>
    <w:rsid w:val="00EC55B0"/>
    <w:rsid w:val="00EE42F8"/>
    <w:rsid w:val="00EF4F7D"/>
    <w:rsid w:val="00F02347"/>
    <w:rsid w:val="00F22875"/>
    <w:rsid w:val="00F72176"/>
    <w:rsid w:val="00F72781"/>
    <w:rsid w:val="00F72C6C"/>
    <w:rsid w:val="00F7470D"/>
    <w:rsid w:val="00F760B0"/>
    <w:rsid w:val="00FE0425"/>
    <w:rsid w:val="00FE0B3B"/>
    <w:rsid w:val="00FF5EB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320"/>
    <w:rPr>
      <w:lang w:val="en-AU"/>
    </w:rPr>
  </w:style>
  <w:style w:type="paragraph" w:styleId="Heading1">
    <w:name w:val="heading 1"/>
    <w:basedOn w:val="Normal"/>
    <w:next w:val="Normal"/>
    <w:link w:val="Heading1Char"/>
    <w:uiPriority w:val="9"/>
    <w:qFormat/>
    <w:rsid w:val="001456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14567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3337"/>
    <w:pPr>
      <w:ind w:left="720"/>
      <w:contextualSpacing/>
    </w:pPr>
  </w:style>
  <w:style w:type="paragraph" w:styleId="FootnoteText">
    <w:name w:val="footnote text"/>
    <w:basedOn w:val="Normal"/>
    <w:link w:val="FootnoteTextChar"/>
    <w:uiPriority w:val="99"/>
    <w:unhideWhenUsed/>
    <w:rsid w:val="00B37D13"/>
    <w:pPr>
      <w:spacing w:after="0" w:line="240" w:lineRule="auto"/>
    </w:pPr>
    <w:rPr>
      <w:sz w:val="20"/>
      <w:szCs w:val="20"/>
    </w:rPr>
  </w:style>
  <w:style w:type="character" w:customStyle="1" w:styleId="FootnoteTextChar">
    <w:name w:val="Footnote Text Char"/>
    <w:basedOn w:val="DefaultParagraphFont"/>
    <w:link w:val="FootnoteText"/>
    <w:uiPriority w:val="99"/>
    <w:rsid w:val="00B37D13"/>
    <w:rPr>
      <w:sz w:val="20"/>
      <w:szCs w:val="20"/>
      <w:lang w:val="en-AU"/>
    </w:rPr>
  </w:style>
  <w:style w:type="character" w:styleId="FootnoteReference">
    <w:name w:val="footnote reference"/>
    <w:basedOn w:val="DefaultParagraphFont"/>
    <w:uiPriority w:val="99"/>
    <w:unhideWhenUsed/>
    <w:rsid w:val="00B37D13"/>
    <w:rPr>
      <w:vertAlign w:val="superscript"/>
    </w:rPr>
  </w:style>
  <w:style w:type="paragraph" w:styleId="Footer">
    <w:name w:val="footer"/>
    <w:basedOn w:val="Normal"/>
    <w:link w:val="FooterChar"/>
    <w:uiPriority w:val="99"/>
    <w:unhideWhenUsed/>
    <w:rsid w:val="004C6A58"/>
    <w:pPr>
      <w:tabs>
        <w:tab w:val="center" w:pos="4320"/>
        <w:tab w:val="right" w:pos="8640"/>
      </w:tabs>
      <w:spacing w:after="0" w:line="240" w:lineRule="auto"/>
    </w:pPr>
  </w:style>
  <w:style w:type="character" w:customStyle="1" w:styleId="FooterChar">
    <w:name w:val="Footer Char"/>
    <w:basedOn w:val="DefaultParagraphFont"/>
    <w:link w:val="Footer"/>
    <w:uiPriority w:val="99"/>
    <w:rsid w:val="004C6A58"/>
    <w:rPr>
      <w:lang w:val="en-AU"/>
    </w:rPr>
  </w:style>
  <w:style w:type="character" w:styleId="PageNumber">
    <w:name w:val="page number"/>
    <w:basedOn w:val="DefaultParagraphFont"/>
    <w:uiPriority w:val="99"/>
    <w:semiHidden/>
    <w:unhideWhenUsed/>
    <w:rsid w:val="004C6A58"/>
  </w:style>
  <w:style w:type="character" w:customStyle="1" w:styleId="Heading2Char">
    <w:name w:val="Heading 2 Char"/>
    <w:basedOn w:val="DefaultParagraphFont"/>
    <w:link w:val="Heading2"/>
    <w:uiPriority w:val="9"/>
    <w:semiHidden/>
    <w:rsid w:val="00145670"/>
    <w:rPr>
      <w:rFonts w:asciiTheme="majorHAnsi" w:eastAsiaTheme="majorEastAsia" w:hAnsiTheme="majorHAnsi" w:cstheme="majorBidi"/>
      <w:b/>
      <w:bCs/>
      <w:color w:val="4F81BD" w:themeColor="accent1"/>
      <w:sz w:val="26"/>
      <w:szCs w:val="26"/>
      <w:lang w:val="en-AU"/>
    </w:rPr>
  </w:style>
  <w:style w:type="character" w:customStyle="1" w:styleId="Heading1Char">
    <w:name w:val="Heading 1 Char"/>
    <w:basedOn w:val="DefaultParagraphFont"/>
    <w:link w:val="Heading1"/>
    <w:uiPriority w:val="9"/>
    <w:rsid w:val="00145670"/>
    <w:rPr>
      <w:rFonts w:asciiTheme="majorHAnsi" w:eastAsiaTheme="majorEastAsia" w:hAnsiTheme="majorHAnsi" w:cstheme="majorBidi"/>
      <w:b/>
      <w:bCs/>
      <w:color w:val="365F91" w:themeColor="accent1" w:themeShade="BF"/>
      <w:sz w:val="28"/>
      <w:szCs w:val="28"/>
      <w:lang w:val="en-AU"/>
    </w:rPr>
  </w:style>
  <w:style w:type="paragraph" w:styleId="Title">
    <w:name w:val="Title"/>
    <w:basedOn w:val="Normal"/>
    <w:next w:val="Normal"/>
    <w:link w:val="TitleChar"/>
    <w:uiPriority w:val="10"/>
    <w:qFormat/>
    <w:rsid w:val="0014567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45670"/>
    <w:rPr>
      <w:rFonts w:asciiTheme="majorHAnsi" w:eastAsiaTheme="majorEastAsia" w:hAnsiTheme="majorHAnsi" w:cstheme="majorBidi"/>
      <w:color w:val="17365D" w:themeColor="text2" w:themeShade="BF"/>
      <w:spacing w:val="5"/>
      <w:kern w:val="28"/>
      <w:sz w:val="52"/>
      <w:szCs w:val="52"/>
      <w:lang w:val="en-AU"/>
    </w:rPr>
  </w:style>
  <w:style w:type="paragraph" w:styleId="Subtitle">
    <w:name w:val="Subtitle"/>
    <w:basedOn w:val="Normal"/>
    <w:next w:val="Normal"/>
    <w:link w:val="SubtitleChar"/>
    <w:uiPriority w:val="11"/>
    <w:qFormat/>
    <w:rsid w:val="0014567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45670"/>
    <w:rPr>
      <w:rFonts w:asciiTheme="majorHAnsi" w:eastAsiaTheme="majorEastAsia" w:hAnsiTheme="majorHAnsi" w:cstheme="majorBidi"/>
      <w:i/>
      <w:iCs/>
      <w:color w:val="4F81BD" w:themeColor="accent1"/>
      <w:spacing w:val="15"/>
      <w:sz w:val="24"/>
      <w:szCs w:val="24"/>
      <w:lang w:val="en-AU"/>
    </w:rPr>
  </w:style>
  <w:style w:type="paragraph" w:styleId="BalloonText">
    <w:name w:val="Balloon Text"/>
    <w:basedOn w:val="Normal"/>
    <w:link w:val="BalloonTextChar"/>
    <w:uiPriority w:val="99"/>
    <w:semiHidden/>
    <w:unhideWhenUsed/>
    <w:rsid w:val="001456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5670"/>
    <w:rPr>
      <w:rFonts w:ascii="Tahoma" w:hAnsi="Tahoma" w:cs="Tahoma"/>
      <w:sz w:val="16"/>
      <w:szCs w:val="16"/>
      <w:lang w:val="en-AU"/>
    </w:rPr>
  </w:style>
  <w:style w:type="paragraph" w:styleId="Header">
    <w:name w:val="header"/>
    <w:basedOn w:val="Normal"/>
    <w:link w:val="HeaderChar"/>
    <w:uiPriority w:val="99"/>
    <w:semiHidden/>
    <w:unhideWhenUsed/>
    <w:rsid w:val="006B47D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B47D7"/>
    <w:rPr>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320"/>
    <w:rPr>
      <w:lang w:val="en-AU"/>
    </w:rPr>
  </w:style>
  <w:style w:type="paragraph" w:styleId="Heading1">
    <w:name w:val="heading 1"/>
    <w:basedOn w:val="Normal"/>
    <w:next w:val="Normal"/>
    <w:link w:val="Heading1Char"/>
    <w:uiPriority w:val="9"/>
    <w:qFormat/>
    <w:rsid w:val="001456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14567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3337"/>
    <w:pPr>
      <w:ind w:left="720"/>
      <w:contextualSpacing/>
    </w:pPr>
  </w:style>
  <w:style w:type="paragraph" w:styleId="FootnoteText">
    <w:name w:val="footnote text"/>
    <w:basedOn w:val="Normal"/>
    <w:link w:val="FootnoteTextChar"/>
    <w:uiPriority w:val="99"/>
    <w:unhideWhenUsed/>
    <w:rsid w:val="00B37D13"/>
    <w:pPr>
      <w:spacing w:after="0" w:line="240" w:lineRule="auto"/>
    </w:pPr>
    <w:rPr>
      <w:sz w:val="20"/>
      <w:szCs w:val="20"/>
    </w:rPr>
  </w:style>
  <w:style w:type="character" w:customStyle="1" w:styleId="FootnoteTextChar">
    <w:name w:val="Footnote Text Char"/>
    <w:basedOn w:val="DefaultParagraphFont"/>
    <w:link w:val="FootnoteText"/>
    <w:uiPriority w:val="99"/>
    <w:rsid w:val="00B37D13"/>
    <w:rPr>
      <w:sz w:val="20"/>
      <w:szCs w:val="20"/>
      <w:lang w:val="en-AU"/>
    </w:rPr>
  </w:style>
  <w:style w:type="character" w:styleId="FootnoteReference">
    <w:name w:val="footnote reference"/>
    <w:basedOn w:val="DefaultParagraphFont"/>
    <w:uiPriority w:val="99"/>
    <w:unhideWhenUsed/>
    <w:rsid w:val="00B37D13"/>
    <w:rPr>
      <w:vertAlign w:val="superscript"/>
    </w:rPr>
  </w:style>
  <w:style w:type="paragraph" w:styleId="Footer">
    <w:name w:val="footer"/>
    <w:basedOn w:val="Normal"/>
    <w:link w:val="FooterChar"/>
    <w:uiPriority w:val="99"/>
    <w:unhideWhenUsed/>
    <w:rsid w:val="004C6A58"/>
    <w:pPr>
      <w:tabs>
        <w:tab w:val="center" w:pos="4320"/>
        <w:tab w:val="right" w:pos="8640"/>
      </w:tabs>
      <w:spacing w:after="0" w:line="240" w:lineRule="auto"/>
    </w:pPr>
  </w:style>
  <w:style w:type="character" w:customStyle="1" w:styleId="FooterChar">
    <w:name w:val="Footer Char"/>
    <w:basedOn w:val="DefaultParagraphFont"/>
    <w:link w:val="Footer"/>
    <w:uiPriority w:val="99"/>
    <w:rsid w:val="004C6A58"/>
    <w:rPr>
      <w:lang w:val="en-AU"/>
    </w:rPr>
  </w:style>
  <w:style w:type="character" w:styleId="PageNumber">
    <w:name w:val="page number"/>
    <w:basedOn w:val="DefaultParagraphFont"/>
    <w:uiPriority w:val="99"/>
    <w:semiHidden/>
    <w:unhideWhenUsed/>
    <w:rsid w:val="004C6A58"/>
  </w:style>
  <w:style w:type="character" w:customStyle="1" w:styleId="Heading2Char">
    <w:name w:val="Heading 2 Char"/>
    <w:basedOn w:val="DefaultParagraphFont"/>
    <w:link w:val="Heading2"/>
    <w:uiPriority w:val="9"/>
    <w:semiHidden/>
    <w:rsid w:val="00145670"/>
    <w:rPr>
      <w:rFonts w:asciiTheme="majorHAnsi" w:eastAsiaTheme="majorEastAsia" w:hAnsiTheme="majorHAnsi" w:cstheme="majorBidi"/>
      <w:b/>
      <w:bCs/>
      <w:color w:val="4F81BD" w:themeColor="accent1"/>
      <w:sz w:val="26"/>
      <w:szCs w:val="26"/>
      <w:lang w:val="en-AU"/>
    </w:rPr>
  </w:style>
  <w:style w:type="character" w:customStyle="1" w:styleId="Heading1Char">
    <w:name w:val="Heading 1 Char"/>
    <w:basedOn w:val="DefaultParagraphFont"/>
    <w:link w:val="Heading1"/>
    <w:uiPriority w:val="9"/>
    <w:rsid w:val="00145670"/>
    <w:rPr>
      <w:rFonts w:asciiTheme="majorHAnsi" w:eastAsiaTheme="majorEastAsia" w:hAnsiTheme="majorHAnsi" w:cstheme="majorBidi"/>
      <w:b/>
      <w:bCs/>
      <w:color w:val="365F91" w:themeColor="accent1" w:themeShade="BF"/>
      <w:sz w:val="28"/>
      <w:szCs w:val="28"/>
      <w:lang w:val="en-AU"/>
    </w:rPr>
  </w:style>
  <w:style w:type="paragraph" w:styleId="Title">
    <w:name w:val="Title"/>
    <w:basedOn w:val="Normal"/>
    <w:next w:val="Normal"/>
    <w:link w:val="TitleChar"/>
    <w:uiPriority w:val="10"/>
    <w:qFormat/>
    <w:rsid w:val="0014567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45670"/>
    <w:rPr>
      <w:rFonts w:asciiTheme="majorHAnsi" w:eastAsiaTheme="majorEastAsia" w:hAnsiTheme="majorHAnsi" w:cstheme="majorBidi"/>
      <w:color w:val="17365D" w:themeColor="text2" w:themeShade="BF"/>
      <w:spacing w:val="5"/>
      <w:kern w:val="28"/>
      <w:sz w:val="52"/>
      <w:szCs w:val="52"/>
      <w:lang w:val="en-AU"/>
    </w:rPr>
  </w:style>
  <w:style w:type="paragraph" w:styleId="Subtitle">
    <w:name w:val="Subtitle"/>
    <w:basedOn w:val="Normal"/>
    <w:next w:val="Normal"/>
    <w:link w:val="SubtitleChar"/>
    <w:uiPriority w:val="11"/>
    <w:qFormat/>
    <w:rsid w:val="0014567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45670"/>
    <w:rPr>
      <w:rFonts w:asciiTheme="majorHAnsi" w:eastAsiaTheme="majorEastAsia" w:hAnsiTheme="majorHAnsi" w:cstheme="majorBidi"/>
      <w:i/>
      <w:iCs/>
      <w:color w:val="4F81BD" w:themeColor="accent1"/>
      <w:spacing w:val="15"/>
      <w:sz w:val="24"/>
      <w:szCs w:val="24"/>
      <w:lang w:val="en-AU"/>
    </w:rPr>
  </w:style>
  <w:style w:type="paragraph" w:styleId="BalloonText">
    <w:name w:val="Balloon Text"/>
    <w:basedOn w:val="Normal"/>
    <w:link w:val="BalloonTextChar"/>
    <w:uiPriority w:val="99"/>
    <w:semiHidden/>
    <w:unhideWhenUsed/>
    <w:rsid w:val="001456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5670"/>
    <w:rPr>
      <w:rFonts w:ascii="Tahoma" w:hAnsi="Tahoma" w:cs="Tahoma"/>
      <w:sz w:val="16"/>
      <w:szCs w:val="16"/>
      <w:lang w:val="en-AU"/>
    </w:rPr>
  </w:style>
</w:styles>
</file>

<file path=word/webSettings.xml><?xml version="1.0" encoding="utf-8"?>
<w:webSettings xmlns:r="http://schemas.openxmlformats.org/officeDocument/2006/relationships" xmlns:w="http://schemas.openxmlformats.org/wordprocessingml/2006/main">
  <w:divs>
    <w:div w:id="303698142">
      <w:bodyDiv w:val="1"/>
      <w:marLeft w:val="0"/>
      <w:marRight w:val="0"/>
      <w:marTop w:val="0"/>
      <w:marBottom w:val="0"/>
      <w:divBdr>
        <w:top w:val="none" w:sz="0" w:space="0" w:color="auto"/>
        <w:left w:val="none" w:sz="0" w:space="0" w:color="auto"/>
        <w:bottom w:val="none" w:sz="0" w:space="0" w:color="auto"/>
        <w:right w:val="none" w:sz="0" w:space="0" w:color="auto"/>
      </w:divBdr>
      <w:divsChild>
        <w:div w:id="655110673">
          <w:marLeft w:val="0"/>
          <w:marRight w:val="0"/>
          <w:marTop w:val="0"/>
          <w:marBottom w:val="0"/>
          <w:divBdr>
            <w:top w:val="none" w:sz="0" w:space="0" w:color="auto"/>
            <w:left w:val="none" w:sz="0" w:space="0" w:color="auto"/>
            <w:bottom w:val="none" w:sz="0" w:space="0" w:color="auto"/>
            <w:right w:val="none" w:sz="0" w:space="0" w:color="auto"/>
          </w:divBdr>
        </w:div>
        <w:div w:id="1481268458">
          <w:marLeft w:val="0"/>
          <w:marRight w:val="0"/>
          <w:marTop w:val="0"/>
          <w:marBottom w:val="0"/>
          <w:divBdr>
            <w:top w:val="none" w:sz="0" w:space="0" w:color="auto"/>
            <w:left w:val="none" w:sz="0" w:space="0" w:color="auto"/>
            <w:bottom w:val="none" w:sz="0" w:space="0" w:color="auto"/>
            <w:right w:val="none" w:sz="0" w:space="0" w:color="auto"/>
          </w:divBdr>
        </w:div>
      </w:divsChild>
    </w:div>
    <w:div w:id="801389001">
      <w:bodyDiv w:val="1"/>
      <w:marLeft w:val="0"/>
      <w:marRight w:val="0"/>
      <w:marTop w:val="0"/>
      <w:marBottom w:val="0"/>
      <w:divBdr>
        <w:top w:val="none" w:sz="0" w:space="0" w:color="auto"/>
        <w:left w:val="none" w:sz="0" w:space="0" w:color="auto"/>
        <w:bottom w:val="none" w:sz="0" w:space="0" w:color="auto"/>
        <w:right w:val="none" w:sz="0" w:space="0" w:color="auto"/>
      </w:divBdr>
    </w:div>
    <w:div w:id="1332833205">
      <w:bodyDiv w:val="1"/>
      <w:marLeft w:val="0"/>
      <w:marRight w:val="0"/>
      <w:marTop w:val="0"/>
      <w:marBottom w:val="0"/>
      <w:divBdr>
        <w:top w:val="none" w:sz="0" w:space="0" w:color="auto"/>
        <w:left w:val="none" w:sz="0" w:space="0" w:color="auto"/>
        <w:bottom w:val="none" w:sz="0" w:space="0" w:color="auto"/>
        <w:right w:val="none" w:sz="0" w:space="0" w:color="auto"/>
      </w:divBdr>
    </w:div>
    <w:div w:id="1403134616">
      <w:bodyDiv w:val="1"/>
      <w:marLeft w:val="0"/>
      <w:marRight w:val="0"/>
      <w:marTop w:val="0"/>
      <w:marBottom w:val="0"/>
      <w:divBdr>
        <w:top w:val="none" w:sz="0" w:space="0" w:color="auto"/>
        <w:left w:val="none" w:sz="0" w:space="0" w:color="auto"/>
        <w:bottom w:val="none" w:sz="0" w:space="0" w:color="auto"/>
        <w:right w:val="none" w:sz="0" w:space="0" w:color="auto"/>
      </w:divBdr>
    </w:div>
    <w:div w:id="1546871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B14009-E612-4DD2-9C9C-06B0A489C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2978</Words>
  <Characters>16421</Characters>
  <Application>Microsoft Office Word</Application>
  <DocSecurity>4</DocSecurity>
  <Lines>266</Lines>
  <Paragraphs>48</Paragraphs>
  <ScaleCrop>false</ScaleCrop>
  <HeadingPairs>
    <vt:vector size="2" baseType="variant">
      <vt:variant>
        <vt:lpstr>Title</vt:lpstr>
      </vt:variant>
      <vt:variant>
        <vt:i4>1</vt:i4>
      </vt:variant>
    </vt:vector>
  </HeadingPairs>
  <TitlesOfParts>
    <vt:vector size="1" baseType="lpstr">
      <vt:lpstr/>
    </vt:vector>
  </TitlesOfParts>
  <Company>University of Sydney</Company>
  <LinksUpToDate>false</LinksUpToDate>
  <CharactersWithSpaces>19386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tina.obrien</cp:lastModifiedBy>
  <cp:revision>2</cp:revision>
  <dcterms:created xsi:type="dcterms:W3CDTF">2015-09-21T05:38:00Z</dcterms:created>
  <dcterms:modified xsi:type="dcterms:W3CDTF">2015-09-21T05:38:00Z</dcterms:modified>
</cp:coreProperties>
</file>