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373785">
      <w:pPr>
        <w:jc w:val="center"/>
        <w:rPr>
          <w:rFonts w:ascii="Arial" w:hAnsi="Arial" w:cs="Arial"/>
          <w:b/>
        </w:rPr>
      </w:pPr>
      <w:r>
        <w:rPr>
          <w:rFonts w:ascii="Arial" w:hAnsi="Arial" w:cs="Arial"/>
          <w:b/>
        </w:rPr>
        <w:t>Elder Abuse Inquiry Submission</w:t>
      </w:r>
    </w:p>
    <w:p w:rsidR="0097685F" w:rsidRDefault="00373785">
      <w:pPr>
        <w:jc w:val="center"/>
        <w:rPr>
          <w:rFonts w:ascii="Arial" w:hAnsi="Arial" w:cs="Arial"/>
          <w:b/>
        </w:rPr>
      </w:pPr>
      <w:proofErr w:type="gramStart"/>
      <w:r>
        <w:rPr>
          <w:rFonts w:ascii="Arial" w:hAnsi="Arial" w:cs="Arial"/>
          <w:b/>
        </w:rPr>
        <w:t>by</w:t>
      </w:r>
      <w:proofErr w:type="gramEnd"/>
    </w:p>
    <w:p w:rsidR="0097685F" w:rsidRDefault="00373785">
      <w:pPr>
        <w:jc w:val="center"/>
        <w:rPr>
          <w:rFonts w:ascii="Arial" w:hAnsi="Arial" w:cs="Arial"/>
          <w:b/>
        </w:rPr>
      </w:pPr>
      <w:proofErr w:type="spellStart"/>
      <w:r>
        <w:rPr>
          <w:rFonts w:ascii="Arial" w:hAnsi="Arial" w:cs="Arial"/>
          <w:b/>
        </w:rPr>
        <w:t>Emmarae</w:t>
      </w:r>
      <w:proofErr w:type="spellEnd"/>
      <w:r>
        <w:rPr>
          <w:rFonts w:ascii="Arial" w:hAnsi="Arial" w:cs="Arial"/>
          <w:b/>
        </w:rPr>
        <w:t xml:space="preserve"> Cole-Darby</w:t>
      </w: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jc w:val="cente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b/>
        </w:rPr>
      </w:pPr>
    </w:p>
    <w:p w:rsidR="0097685F" w:rsidRDefault="0097685F">
      <w:pPr>
        <w:rPr>
          <w:rFonts w:ascii="Arial" w:hAnsi="Arial" w:cs="Arial"/>
        </w:rPr>
      </w:pPr>
    </w:p>
    <w:p w:rsidR="0097685F" w:rsidRDefault="00373785">
      <w:pPr>
        <w:rPr>
          <w:rFonts w:ascii="Arial" w:hAnsi="Arial" w:cs="Arial"/>
          <w:b/>
        </w:rPr>
      </w:pPr>
      <w:r>
        <w:rPr>
          <w:rFonts w:ascii="Arial" w:hAnsi="Arial" w:cs="Arial"/>
          <w:b/>
        </w:rPr>
        <w:lastRenderedPageBreak/>
        <w:t xml:space="preserve">Introduction </w:t>
      </w:r>
    </w:p>
    <w:p w:rsidR="0097685F" w:rsidRDefault="0097685F">
      <w:pPr>
        <w:rPr>
          <w:rFonts w:ascii="Arial" w:hAnsi="Arial" w:cs="Arial"/>
          <w:b/>
        </w:rPr>
      </w:pPr>
    </w:p>
    <w:p w:rsidR="0097685F" w:rsidRDefault="00373785">
      <w:pPr>
        <w:rPr>
          <w:rFonts w:ascii="Arial" w:hAnsi="Arial" w:cs="Arial"/>
        </w:rPr>
      </w:pPr>
      <w:r>
        <w:rPr>
          <w:rFonts w:ascii="Arial" w:hAnsi="Arial" w:cs="Arial"/>
        </w:rPr>
        <w:t xml:space="preserve">I am a law student interested in criminal law, a baker at Coles and more importantly, a granddaughter to two elderly grandparents. </w:t>
      </w:r>
    </w:p>
    <w:p w:rsidR="0097685F" w:rsidRDefault="0097685F">
      <w:pPr>
        <w:rPr>
          <w:rFonts w:ascii="Arial" w:hAnsi="Arial" w:cs="Arial"/>
        </w:rPr>
      </w:pPr>
    </w:p>
    <w:p w:rsidR="0097685F" w:rsidRDefault="00373785">
      <w:pPr>
        <w:rPr>
          <w:rFonts w:ascii="Arial" w:hAnsi="Arial" w:cs="Arial"/>
        </w:rPr>
      </w:pPr>
      <w:r>
        <w:rPr>
          <w:rFonts w:ascii="Arial" w:hAnsi="Arial" w:cs="Arial"/>
        </w:rPr>
        <w:t xml:space="preserve">Early one weekday afternoon, as the children from the local primary school and their parents descended into the shopping complex, I witnessed three men target an elderly gentleman. They physically assaulted and robbed him whilst he withdrew money from an ATM situated at the front of my place of employment. </w:t>
      </w:r>
      <w:proofErr w:type="gramStart"/>
      <w:r>
        <w:rPr>
          <w:rFonts w:ascii="Arial" w:hAnsi="Arial" w:cs="Arial"/>
        </w:rPr>
        <w:t>An ATM which my grandparents frequently use.</w:t>
      </w:r>
      <w:proofErr w:type="gramEnd"/>
    </w:p>
    <w:p w:rsidR="0097685F" w:rsidRDefault="0097685F">
      <w:pPr>
        <w:rPr>
          <w:rFonts w:ascii="Arial" w:hAnsi="Arial" w:cs="Arial"/>
        </w:rPr>
      </w:pPr>
    </w:p>
    <w:p w:rsidR="0097685F" w:rsidRDefault="00373785">
      <w:pPr>
        <w:rPr>
          <w:rFonts w:ascii="Arial" w:hAnsi="Arial" w:cs="Arial"/>
        </w:rPr>
      </w:pPr>
      <w:r>
        <w:rPr>
          <w:rFonts w:ascii="Arial" w:hAnsi="Arial" w:cs="Arial"/>
        </w:rPr>
        <w:t xml:space="preserve">For the above reasons, I have chosen to discuss a way in which criminal law can be improved in response to elder abuse. </w:t>
      </w:r>
      <w:proofErr w:type="gramStart"/>
      <w:r>
        <w:rPr>
          <w:rFonts w:ascii="Arial" w:hAnsi="Arial" w:cs="Arial"/>
        </w:rPr>
        <w:t xml:space="preserve">Applying </w:t>
      </w:r>
      <w:r>
        <w:rPr>
          <w:rFonts w:ascii="Arial" w:hAnsi="Arial" w:cs="Arial"/>
          <w:i/>
        </w:rPr>
        <w:t>circumstances of aggravation</w:t>
      </w:r>
      <w:r>
        <w:rPr>
          <w:rStyle w:val="FootnoteReference"/>
          <w:rFonts w:ascii="Arial" w:hAnsi="Arial" w:cs="Arial"/>
          <w:i/>
        </w:rPr>
        <w:footnoteReference w:id="1"/>
      </w:r>
      <w:r>
        <w:rPr>
          <w:rFonts w:ascii="Arial" w:hAnsi="Arial" w:cs="Arial"/>
        </w:rPr>
        <w:t xml:space="preserve"> to unlawful assault causing death s 281 of the </w:t>
      </w:r>
      <w:r>
        <w:rPr>
          <w:rFonts w:ascii="Arial" w:hAnsi="Arial" w:cs="Arial"/>
          <w:i/>
        </w:rPr>
        <w:t>Criminal Code Act Compilation Act 1913.</w:t>
      </w:r>
      <w:proofErr w:type="gramEnd"/>
      <w:r>
        <w:rPr>
          <w:rStyle w:val="FootnoteReference"/>
          <w:rFonts w:ascii="Arial" w:hAnsi="Arial" w:cs="Arial"/>
          <w:i/>
        </w:rPr>
        <w:footnoteReference w:id="2"/>
      </w:r>
      <w:r>
        <w:rPr>
          <w:rFonts w:ascii="Arial" w:hAnsi="Arial" w:cs="Arial"/>
          <w:i/>
        </w:rPr>
        <w:t xml:space="preserve"> </w:t>
      </w:r>
      <w:r>
        <w:rPr>
          <w:rFonts w:ascii="Arial" w:hAnsi="Arial" w:cs="Arial"/>
        </w:rPr>
        <w:t xml:space="preserve">This would create uniform life imprisonment sentencing to specifically protect persons 60 years or older as reflected in both murder s 279 and manslaughter s 280 of </w:t>
      </w:r>
      <w:r>
        <w:rPr>
          <w:rFonts w:ascii="Arial" w:hAnsi="Arial" w:cs="Arial"/>
          <w:i/>
        </w:rPr>
        <w:t>The Criminal Code</w:t>
      </w:r>
      <w:r>
        <w:rPr>
          <w:rFonts w:ascii="Arial" w:hAnsi="Arial" w:cs="Arial"/>
        </w:rPr>
        <w:t>.</w:t>
      </w:r>
      <w:r>
        <w:rPr>
          <w:rStyle w:val="FootnoteReference"/>
          <w:rFonts w:ascii="Arial" w:hAnsi="Arial" w:cs="Arial"/>
        </w:rPr>
        <w:footnoteReference w:id="3"/>
      </w:r>
      <w:r>
        <w:rPr>
          <w:rFonts w:ascii="Arial" w:hAnsi="Arial" w:cs="Arial"/>
        </w:rPr>
        <w:t xml:space="preserve"> </w:t>
      </w:r>
    </w:p>
    <w:p w:rsidR="0097685F" w:rsidRDefault="0097685F">
      <w:pPr>
        <w:rPr>
          <w:rFonts w:ascii="Arial" w:hAnsi="Arial" w:cs="Arial"/>
        </w:rPr>
      </w:pPr>
    </w:p>
    <w:p w:rsidR="0097685F" w:rsidRDefault="00373785">
      <w:pPr>
        <w:rPr>
          <w:rFonts w:ascii="Arial" w:hAnsi="Arial" w:cs="Arial"/>
          <w:b/>
        </w:rPr>
      </w:pPr>
      <w:r>
        <w:rPr>
          <w:rFonts w:ascii="Arial" w:hAnsi="Arial" w:cs="Arial"/>
          <w:b/>
        </w:rPr>
        <w:t xml:space="preserve">Persons 60 years or over and circumstances of aggravation under </w:t>
      </w:r>
      <w:proofErr w:type="gramStart"/>
      <w:r>
        <w:rPr>
          <w:rFonts w:ascii="Arial" w:hAnsi="Arial" w:cs="Arial"/>
          <w:b/>
          <w:i/>
        </w:rPr>
        <w:t>The</w:t>
      </w:r>
      <w:proofErr w:type="gramEnd"/>
      <w:r>
        <w:rPr>
          <w:rFonts w:ascii="Arial" w:hAnsi="Arial" w:cs="Arial"/>
          <w:b/>
          <w:i/>
        </w:rPr>
        <w:t xml:space="preserve"> Criminal Code</w:t>
      </w:r>
      <w:r>
        <w:rPr>
          <w:rStyle w:val="FootnoteReference"/>
          <w:rFonts w:ascii="Arial" w:hAnsi="Arial" w:cs="Arial"/>
          <w:b/>
        </w:rPr>
        <w:footnoteReference w:id="4"/>
      </w:r>
    </w:p>
    <w:p w:rsidR="0097685F" w:rsidRDefault="0097685F">
      <w:pPr>
        <w:rPr>
          <w:rFonts w:ascii="Arial" w:hAnsi="Arial" w:cs="Arial"/>
        </w:rPr>
      </w:pPr>
    </w:p>
    <w:p w:rsidR="0097685F" w:rsidRDefault="00373785">
      <w:pPr>
        <w:rPr>
          <w:rFonts w:ascii="Arial" w:hAnsi="Arial" w:cs="Arial"/>
        </w:rPr>
      </w:pPr>
      <w:proofErr w:type="gramStart"/>
      <w:r>
        <w:rPr>
          <w:rFonts w:ascii="Arial" w:hAnsi="Arial" w:cs="Arial"/>
        </w:rPr>
        <w:t>s</w:t>
      </w:r>
      <w:proofErr w:type="gramEnd"/>
      <w:r>
        <w:rPr>
          <w:rFonts w:ascii="Arial" w:hAnsi="Arial" w:cs="Arial"/>
        </w:rPr>
        <w:t xml:space="preserve"> 221(1)(d) of </w:t>
      </w:r>
      <w:r>
        <w:rPr>
          <w:rFonts w:ascii="Arial" w:hAnsi="Arial" w:cs="Arial"/>
          <w:i/>
        </w:rPr>
        <w:t>The Criminal Code</w:t>
      </w:r>
      <w:r>
        <w:rPr>
          <w:rFonts w:ascii="Arial" w:hAnsi="Arial" w:cs="Arial"/>
        </w:rPr>
        <w:t xml:space="preserve"> defines the term circumstances of aggravation in assault and violence to the person offences to apply if the victim is of or over the age of 60 years.</w:t>
      </w:r>
      <w:r>
        <w:rPr>
          <w:rStyle w:val="FootnoteReference"/>
          <w:rFonts w:ascii="Arial" w:hAnsi="Arial" w:cs="Arial"/>
        </w:rPr>
        <w:footnoteReference w:id="5"/>
      </w:r>
      <w:r>
        <w:rPr>
          <w:rFonts w:ascii="Arial" w:hAnsi="Arial" w:cs="Arial"/>
        </w:rPr>
        <w:t xml:space="preserve"> The term is applicable to murder s 279 and manslaughter s 280 of </w:t>
      </w:r>
      <w:r>
        <w:rPr>
          <w:rFonts w:ascii="Arial" w:hAnsi="Arial" w:cs="Arial"/>
          <w:i/>
        </w:rPr>
        <w:t>The Criminal Code</w:t>
      </w:r>
      <w:r>
        <w:rPr>
          <w:rFonts w:ascii="Arial" w:hAnsi="Arial" w:cs="Arial"/>
        </w:rPr>
        <w:t>, which allows life imprisonment if the person is found guilty.</w:t>
      </w:r>
      <w:r>
        <w:rPr>
          <w:rStyle w:val="FootnoteReference"/>
          <w:rFonts w:ascii="Arial" w:hAnsi="Arial" w:cs="Arial"/>
        </w:rPr>
        <w:footnoteReference w:id="6"/>
      </w:r>
      <w:r>
        <w:rPr>
          <w:rFonts w:ascii="Arial" w:hAnsi="Arial" w:cs="Arial"/>
        </w:rPr>
        <w:t xml:space="preserve"> </w:t>
      </w:r>
    </w:p>
    <w:p w:rsidR="0097685F" w:rsidRDefault="0097685F">
      <w:pPr>
        <w:rPr>
          <w:rFonts w:ascii="Arial" w:hAnsi="Arial" w:cs="Arial"/>
        </w:rPr>
      </w:pPr>
    </w:p>
    <w:p w:rsidR="0097685F" w:rsidRDefault="00373785">
      <w:pPr>
        <w:rPr>
          <w:rFonts w:ascii="Arial" w:hAnsi="Arial" w:cs="Arial"/>
        </w:rPr>
      </w:pPr>
      <w:proofErr w:type="gramStart"/>
      <w:r>
        <w:rPr>
          <w:rFonts w:ascii="Arial" w:hAnsi="Arial" w:cs="Arial"/>
        </w:rPr>
        <w:t>s</w:t>
      </w:r>
      <w:proofErr w:type="gramEnd"/>
      <w:r>
        <w:rPr>
          <w:rFonts w:ascii="Arial" w:hAnsi="Arial" w:cs="Arial"/>
        </w:rPr>
        <w:t xml:space="preserve"> 281 of </w:t>
      </w:r>
      <w:r>
        <w:rPr>
          <w:rFonts w:ascii="Arial" w:hAnsi="Arial" w:cs="Arial"/>
          <w:i/>
        </w:rPr>
        <w:t>The Criminal Code</w:t>
      </w:r>
      <w:r>
        <w:rPr>
          <w:rFonts w:ascii="Arial" w:hAnsi="Arial" w:cs="Arial"/>
        </w:rPr>
        <w:t xml:space="preserve"> states if a person unlawfully assaults another who dies as a direct or indirect result of the assault, that person is liable for 10 years imprisonment.</w:t>
      </w:r>
      <w:r>
        <w:rPr>
          <w:rStyle w:val="FootnoteReference"/>
          <w:rFonts w:ascii="Arial" w:hAnsi="Arial" w:cs="Arial"/>
        </w:rPr>
        <w:footnoteReference w:id="7"/>
      </w:r>
      <w:r>
        <w:rPr>
          <w:rFonts w:ascii="Arial" w:hAnsi="Arial" w:cs="Arial"/>
        </w:rPr>
        <w:t xml:space="preserve"> This section does not contain a circumstances of aggravation element which could be applied when a person 60 years or over has died as a result of an assault. </w:t>
      </w:r>
    </w:p>
    <w:p w:rsidR="0097685F" w:rsidRDefault="0097685F">
      <w:pPr>
        <w:rPr>
          <w:rFonts w:ascii="Arial" w:hAnsi="Arial" w:cs="Arial"/>
        </w:rPr>
      </w:pPr>
    </w:p>
    <w:p w:rsidR="0097685F" w:rsidRDefault="00373785">
      <w:pPr>
        <w:rPr>
          <w:rFonts w:ascii="Arial" w:hAnsi="Arial" w:cs="Arial"/>
          <w:b/>
        </w:rPr>
      </w:pPr>
      <w:r>
        <w:rPr>
          <w:rFonts w:ascii="Arial" w:hAnsi="Arial" w:cs="Arial"/>
          <w:b/>
        </w:rPr>
        <w:t xml:space="preserve">Why should circumstances of aggravation be applied to s 281 of </w:t>
      </w:r>
      <w:r>
        <w:rPr>
          <w:rFonts w:ascii="Arial" w:hAnsi="Arial" w:cs="Arial"/>
          <w:b/>
          <w:i/>
        </w:rPr>
        <w:t>The Criminal Code</w:t>
      </w:r>
      <w:r>
        <w:rPr>
          <w:rFonts w:ascii="Arial" w:hAnsi="Arial" w:cs="Arial"/>
          <w:b/>
        </w:rPr>
        <w:t>?</w:t>
      </w:r>
      <w:r>
        <w:rPr>
          <w:rStyle w:val="FootnoteReference"/>
          <w:rFonts w:ascii="Arial" w:hAnsi="Arial" w:cs="Arial"/>
          <w:b/>
        </w:rPr>
        <w:footnoteReference w:id="8"/>
      </w:r>
    </w:p>
    <w:p w:rsidR="0097685F" w:rsidRDefault="0097685F">
      <w:pPr>
        <w:rPr>
          <w:rFonts w:ascii="Arial" w:hAnsi="Arial" w:cs="Arial"/>
        </w:rPr>
      </w:pPr>
    </w:p>
    <w:p w:rsidR="0097685F" w:rsidRDefault="00373785">
      <w:pPr>
        <w:tabs>
          <w:tab w:val="left" w:pos="220"/>
          <w:tab w:val="left" w:pos="720"/>
        </w:tabs>
        <w:spacing w:after="240"/>
        <w:rPr>
          <w:rFonts w:ascii="Arial" w:hAnsi="Arial" w:cs="Arial"/>
        </w:rPr>
      </w:pPr>
      <w:r>
        <w:rPr>
          <w:rFonts w:ascii="Arial" w:hAnsi="Arial" w:cs="Arial"/>
        </w:rPr>
        <w:t xml:space="preserve">Persons 60 years or over are more susceptible to becoming victims of assaults as they have a limited ability to protect, remove or defend themselves from danger due to physical disabilities, lack of strength or mental impairment. </w:t>
      </w:r>
    </w:p>
    <w:p w:rsidR="0097685F" w:rsidRDefault="0097685F">
      <w:pPr>
        <w:tabs>
          <w:tab w:val="left" w:pos="220"/>
          <w:tab w:val="left" w:pos="720"/>
        </w:tabs>
        <w:spacing w:after="240"/>
        <w:rPr>
          <w:rFonts w:ascii="Arial" w:hAnsi="Arial" w:cs="Arial"/>
        </w:rPr>
      </w:pPr>
    </w:p>
    <w:p w:rsidR="0097685F" w:rsidRDefault="00373785">
      <w:pPr>
        <w:tabs>
          <w:tab w:val="left" w:pos="220"/>
          <w:tab w:val="left" w:pos="720"/>
        </w:tabs>
        <w:spacing w:after="240"/>
        <w:rPr>
          <w:rFonts w:ascii="Arial" w:hAnsi="Arial" w:cs="Arial"/>
        </w:rPr>
      </w:pPr>
      <w:r>
        <w:rPr>
          <w:rFonts w:ascii="Arial" w:hAnsi="Arial" w:cs="Arial"/>
        </w:rPr>
        <w:lastRenderedPageBreak/>
        <w:t>With this, there is a greater chance of death after being assaulted compared to that of other age groups.</w:t>
      </w:r>
      <w:r>
        <w:rPr>
          <w:rStyle w:val="FootnoteReference"/>
          <w:rFonts w:ascii="Arial" w:hAnsi="Arial" w:cs="Arial"/>
        </w:rPr>
        <w:footnoteReference w:id="9"/>
      </w:r>
      <w:r>
        <w:rPr>
          <w:rFonts w:ascii="Arial" w:hAnsi="Arial" w:cs="Arial"/>
        </w:rPr>
        <w:t xml:space="preserve"> The ‘egg-shell skull rule’ from case </w:t>
      </w:r>
      <w:r>
        <w:rPr>
          <w:rFonts w:ascii="Arial" w:hAnsi="Arial" w:cs="Arial"/>
          <w:i/>
        </w:rPr>
        <w:t xml:space="preserve">R v </w:t>
      </w:r>
      <w:proofErr w:type="spellStart"/>
      <w:r>
        <w:rPr>
          <w:rFonts w:ascii="Arial" w:hAnsi="Arial" w:cs="Arial"/>
          <w:i/>
        </w:rPr>
        <w:t>Blaue</w:t>
      </w:r>
      <w:proofErr w:type="spellEnd"/>
      <w:r>
        <w:rPr>
          <w:rFonts w:ascii="Arial" w:hAnsi="Arial" w:cs="Arial"/>
        </w:rPr>
        <w:t xml:space="preserve"> (1975) 61 Cr App R 271 is applied throughout criminal law which translates to ‘you take the victim as you find them’ regardless of any physical or mental impairments that made the victim more likely to die as a result of the assault.</w:t>
      </w:r>
      <w:r>
        <w:rPr>
          <w:rStyle w:val="FootnoteReference"/>
          <w:rFonts w:ascii="Arial" w:hAnsi="Arial" w:cs="Arial"/>
        </w:rPr>
        <w:footnoteReference w:id="10"/>
      </w:r>
      <w:r>
        <w:rPr>
          <w:rFonts w:ascii="Arial" w:hAnsi="Arial" w:cs="Arial"/>
        </w:rPr>
        <w:t xml:space="preserve"> This further supports my position for adding circumstances of aggravation to s 281 of </w:t>
      </w:r>
      <w:r>
        <w:rPr>
          <w:rFonts w:ascii="Arial" w:hAnsi="Arial" w:cs="Arial"/>
          <w:i/>
        </w:rPr>
        <w:t>The Criminal Code,</w:t>
      </w:r>
      <w:r>
        <w:rPr>
          <w:rFonts w:ascii="Arial" w:hAnsi="Arial" w:cs="Arial"/>
        </w:rPr>
        <w:t xml:space="preserve"> as persons 60 years or over are more likely to have physical or mental impairments than persons from other age groups.</w:t>
      </w:r>
      <w:r>
        <w:rPr>
          <w:rStyle w:val="FootnoteReference"/>
          <w:rFonts w:ascii="Arial" w:hAnsi="Arial" w:cs="Arial"/>
        </w:rPr>
        <w:footnoteReference w:id="11"/>
      </w:r>
      <w:r>
        <w:rPr>
          <w:rFonts w:ascii="Arial" w:hAnsi="Arial" w:cs="Arial"/>
        </w:rPr>
        <w:t xml:space="preserve"> </w:t>
      </w:r>
    </w:p>
    <w:p w:rsidR="0097685F" w:rsidRDefault="00373785">
      <w:pPr>
        <w:tabs>
          <w:tab w:val="left" w:pos="220"/>
          <w:tab w:val="left" w:pos="720"/>
        </w:tabs>
        <w:spacing w:after="240"/>
        <w:rPr>
          <w:rFonts w:ascii="Arial" w:hAnsi="Arial" w:cs="Arial"/>
        </w:rPr>
      </w:pPr>
      <w:r>
        <w:rPr>
          <w:rFonts w:ascii="Arial" w:hAnsi="Arial" w:cs="Arial"/>
        </w:rPr>
        <w:t xml:space="preserve">The elements of s 281 of </w:t>
      </w:r>
      <w:r>
        <w:rPr>
          <w:rFonts w:ascii="Arial" w:hAnsi="Arial" w:cs="Arial"/>
          <w:i/>
        </w:rPr>
        <w:t xml:space="preserve">The Criminal Code </w:t>
      </w:r>
      <w:r>
        <w:rPr>
          <w:rFonts w:ascii="Arial" w:hAnsi="Arial" w:cs="Arial"/>
        </w:rPr>
        <w:t>require that an unlawful assault causes the death of a person which therefore enables harsher fatality crimes to be prosecuted under s 281 rather than under murder s 279 or manslaughter s 280 resulting in lower a prison sentence.</w:t>
      </w:r>
      <w:r>
        <w:rPr>
          <w:rStyle w:val="FootnoteReference"/>
          <w:rFonts w:ascii="Arial" w:hAnsi="Arial" w:cs="Arial"/>
        </w:rPr>
        <w:footnoteReference w:id="12"/>
      </w:r>
      <w:r>
        <w:rPr>
          <w:rFonts w:ascii="Arial" w:hAnsi="Arial" w:cs="Arial"/>
        </w:rPr>
        <w:t xml:space="preserve"> </w:t>
      </w:r>
    </w:p>
    <w:p w:rsidR="0097685F" w:rsidRDefault="00373785">
      <w:pPr>
        <w:tabs>
          <w:tab w:val="left" w:pos="220"/>
          <w:tab w:val="left" w:pos="720"/>
        </w:tabs>
        <w:spacing w:after="240"/>
        <w:rPr>
          <w:rFonts w:ascii="Arial" w:hAnsi="Arial" w:cs="Arial"/>
        </w:rPr>
      </w:pPr>
      <w:proofErr w:type="gramStart"/>
      <w:r>
        <w:rPr>
          <w:rFonts w:ascii="Arial" w:hAnsi="Arial" w:cs="Arial"/>
        </w:rPr>
        <w:t>s</w:t>
      </w:r>
      <w:proofErr w:type="gramEnd"/>
      <w:r>
        <w:rPr>
          <w:rFonts w:ascii="Arial" w:hAnsi="Arial" w:cs="Arial"/>
        </w:rPr>
        <w:t xml:space="preserve"> 25A of the </w:t>
      </w:r>
      <w:r>
        <w:rPr>
          <w:rFonts w:ascii="Arial" w:hAnsi="Arial" w:cs="Arial"/>
          <w:i/>
        </w:rPr>
        <w:t>Crimes Act</w:t>
      </w:r>
      <w:r>
        <w:rPr>
          <w:rFonts w:ascii="Arial" w:hAnsi="Arial" w:cs="Arial"/>
        </w:rPr>
        <w:t xml:space="preserve"> 1900 (NSW)</w:t>
      </w:r>
      <w:r>
        <w:rPr>
          <w:rStyle w:val="FootnoteReference"/>
          <w:rFonts w:ascii="Arial" w:hAnsi="Arial" w:cs="Arial"/>
        </w:rPr>
        <w:footnoteReference w:id="13"/>
      </w:r>
      <w:r>
        <w:rPr>
          <w:rFonts w:ascii="Arial" w:hAnsi="Arial" w:cs="Arial"/>
        </w:rPr>
        <w:t xml:space="preserve"> ‘assault causing death’ is a reflection of Western Australia’s s 281 of </w:t>
      </w:r>
      <w:r>
        <w:rPr>
          <w:rFonts w:ascii="Arial" w:hAnsi="Arial" w:cs="Arial"/>
          <w:i/>
        </w:rPr>
        <w:t>The Criminal Code</w:t>
      </w:r>
      <w:r>
        <w:rPr>
          <w:rFonts w:ascii="Arial" w:hAnsi="Arial" w:cs="Arial"/>
        </w:rPr>
        <w:t xml:space="preserve"> but with one major difference.</w:t>
      </w:r>
      <w:r>
        <w:rPr>
          <w:rStyle w:val="FootnoteReference"/>
          <w:rFonts w:ascii="Arial" w:hAnsi="Arial" w:cs="Arial"/>
        </w:rPr>
        <w:footnoteReference w:id="14"/>
      </w:r>
      <w:r>
        <w:rPr>
          <w:rFonts w:ascii="Arial" w:hAnsi="Arial" w:cs="Arial"/>
        </w:rPr>
        <w:t xml:space="preserve"> </w:t>
      </w:r>
      <w:proofErr w:type="gramStart"/>
      <w:r>
        <w:rPr>
          <w:rFonts w:ascii="Arial" w:hAnsi="Arial" w:cs="Arial"/>
        </w:rPr>
        <w:t>s</w:t>
      </w:r>
      <w:proofErr w:type="gramEnd"/>
      <w:r>
        <w:rPr>
          <w:rFonts w:ascii="Arial" w:hAnsi="Arial" w:cs="Arial"/>
        </w:rPr>
        <w:t xml:space="preserve"> 25A of the </w:t>
      </w:r>
      <w:r>
        <w:rPr>
          <w:rFonts w:ascii="Arial" w:hAnsi="Arial" w:cs="Arial"/>
          <w:i/>
        </w:rPr>
        <w:t>Crimes Act</w:t>
      </w:r>
      <w:r>
        <w:rPr>
          <w:rFonts w:ascii="Arial" w:hAnsi="Arial" w:cs="Arial"/>
        </w:rPr>
        <w:t xml:space="preserve"> has a maximum prison sentence of 20 years (or 25 if the offender is found to be intoxicated at the time the crime took place).</w:t>
      </w:r>
      <w:r>
        <w:rPr>
          <w:rStyle w:val="FootnoteReference"/>
          <w:rFonts w:ascii="Arial" w:hAnsi="Arial" w:cs="Arial"/>
        </w:rPr>
        <w:footnoteReference w:id="15"/>
      </w:r>
      <w:r>
        <w:rPr>
          <w:rFonts w:ascii="Arial" w:hAnsi="Arial" w:cs="Arial"/>
        </w:rPr>
        <w:t xml:space="preserve"> </w:t>
      </w:r>
      <w:proofErr w:type="gramStart"/>
      <w:r>
        <w:rPr>
          <w:rFonts w:ascii="Arial" w:hAnsi="Arial" w:cs="Arial"/>
        </w:rPr>
        <w:t>s</w:t>
      </w:r>
      <w:proofErr w:type="gramEnd"/>
      <w:r>
        <w:rPr>
          <w:rFonts w:ascii="Arial" w:hAnsi="Arial" w:cs="Arial"/>
        </w:rPr>
        <w:t xml:space="preserve"> 25A of the </w:t>
      </w:r>
      <w:r>
        <w:rPr>
          <w:rFonts w:ascii="Arial" w:hAnsi="Arial" w:cs="Arial"/>
          <w:i/>
        </w:rPr>
        <w:t>Crimes Act</w:t>
      </w:r>
      <w:r>
        <w:rPr>
          <w:rFonts w:ascii="Arial" w:hAnsi="Arial" w:cs="Arial"/>
        </w:rPr>
        <w:t xml:space="preserve"> does not specifically consider or apply to persons 60 years or over and/or circumstances of aggravation, but I do believe this is closer to a life sentence and a more fitting penalty in the homicide hierarchy. The application of circumstances of aggravation to s 281 of </w:t>
      </w:r>
      <w:r>
        <w:rPr>
          <w:rFonts w:ascii="Arial" w:hAnsi="Arial" w:cs="Arial"/>
          <w:i/>
        </w:rPr>
        <w:t>The Criminal Code</w:t>
      </w:r>
      <w:r>
        <w:rPr>
          <w:rFonts w:ascii="Arial" w:hAnsi="Arial" w:cs="Arial"/>
        </w:rPr>
        <w:t xml:space="preserve"> would demonstrate the seriousness of the crime as already applied in other jurisdictions.</w:t>
      </w:r>
      <w:r>
        <w:rPr>
          <w:rStyle w:val="FootnoteReference"/>
          <w:rFonts w:ascii="Arial" w:hAnsi="Arial" w:cs="Arial"/>
        </w:rPr>
        <w:footnoteReference w:id="16"/>
      </w:r>
    </w:p>
    <w:p w:rsidR="0097685F" w:rsidRDefault="00373785">
      <w:pPr>
        <w:rPr>
          <w:rFonts w:ascii="Arial" w:hAnsi="Arial" w:cs="Arial"/>
          <w:b/>
        </w:rPr>
      </w:pPr>
      <w:r>
        <w:rPr>
          <w:rFonts w:ascii="Arial" w:hAnsi="Arial" w:cs="Arial"/>
          <w:b/>
        </w:rPr>
        <w:t xml:space="preserve">Case example </w:t>
      </w:r>
    </w:p>
    <w:p w:rsidR="0097685F" w:rsidRDefault="0097685F">
      <w:pPr>
        <w:rPr>
          <w:rFonts w:ascii="Arial" w:hAnsi="Arial" w:cs="Arial"/>
          <w:b/>
        </w:rPr>
      </w:pPr>
    </w:p>
    <w:p w:rsidR="0097685F" w:rsidRDefault="00373785">
      <w:pPr>
        <w:spacing w:after="240"/>
        <w:rPr>
          <w:rFonts w:ascii="Arial" w:hAnsi="Arial" w:cs="Arial"/>
        </w:rPr>
      </w:pPr>
      <w:r>
        <w:rPr>
          <w:rFonts w:ascii="Arial" w:hAnsi="Arial" w:cs="Arial"/>
          <w:i/>
        </w:rPr>
        <w:t xml:space="preserve">R v. PDJ </w:t>
      </w:r>
      <w:r>
        <w:rPr>
          <w:rFonts w:ascii="Arial" w:hAnsi="Arial" w:cs="Arial"/>
        </w:rPr>
        <w:t>[2002] VSCA 211 is a case example of an assault which caused the death of</w:t>
      </w:r>
      <w:r>
        <w:rPr>
          <w:rFonts w:ascii="Arial" w:hAnsi="Arial" w:cs="Arial"/>
          <w:b/>
        </w:rPr>
        <w:t xml:space="preserve"> </w:t>
      </w:r>
      <w:r>
        <w:rPr>
          <w:rFonts w:ascii="Arial" w:hAnsi="Arial" w:cs="Arial"/>
        </w:rPr>
        <w:t>an elderly female victim. The offender and two others planned to assault a random victim in order to steal their car. On the night of the offence, they entered the woman’s home and assaulted her. She died as a result of her wounds and the offenders were sentenced to 16 years’ imprisonment.</w:t>
      </w:r>
      <w:r>
        <w:rPr>
          <w:rStyle w:val="FootnoteReference"/>
          <w:rFonts w:ascii="Arial" w:hAnsi="Arial" w:cs="Arial"/>
        </w:rPr>
        <w:footnoteReference w:id="17"/>
      </w:r>
    </w:p>
    <w:p w:rsidR="0097685F" w:rsidRDefault="00373785">
      <w:pPr>
        <w:spacing w:after="240"/>
        <w:rPr>
          <w:rFonts w:ascii="Arial" w:hAnsi="Arial" w:cs="Arial"/>
        </w:rPr>
      </w:pPr>
      <w:r>
        <w:rPr>
          <w:rFonts w:ascii="Arial" w:hAnsi="Arial" w:cs="Arial"/>
        </w:rPr>
        <w:t xml:space="preserve">Although </w:t>
      </w:r>
      <w:r>
        <w:rPr>
          <w:rFonts w:ascii="Arial" w:hAnsi="Arial" w:cs="Arial"/>
          <w:i/>
        </w:rPr>
        <w:t>R v PDJ</w:t>
      </w:r>
      <w:r>
        <w:rPr>
          <w:rStyle w:val="FootnoteReference"/>
          <w:rFonts w:ascii="Arial" w:hAnsi="Arial" w:cs="Arial"/>
          <w:i/>
        </w:rPr>
        <w:footnoteReference w:id="18"/>
      </w:r>
      <w:r>
        <w:rPr>
          <w:rFonts w:ascii="Arial" w:hAnsi="Arial" w:cs="Arial"/>
          <w:i/>
        </w:rPr>
        <w:t xml:space="preserve"> </w:t>
      </w:r>
      <w:r>
        <w:rPr>
          <w:rFonts w:ascii="Arial" w:hAnsi="Arial" w:cs="Arial"/>
        </w:rPr>
        <w:t xml:space="preserve">is a murder case from a different jurisdiction, it does reflect the elements of s 281 of </w:t>
      </w:r>
      <w:r>
        <w:rPr>
          <w:rFonts w:ascii="Arial" w:hAnsi="Arial" w:cs="Arial"/>
          <w:i/>
        </w:rPr>
        <w:t>The Criminal Code</w:t>
      </w:r>
      <w:r>
        <w:rPr>
          <w:rFonts w:ascii="Arial" w:hAnsi="Arial" w:cs="Arial"/>
        </w:rPr>
        <w:t xml:space="preserve"> as there was an assault on an elderly victim, which caused her death. As persons 60 years or over are more likely to sustain serious injuries during an assault, applying circumstances of aggravation to s 281 of </w:t>
      </w:r>
      <w:r>
        <w:rPr>
          <w:rFonts w:ascii="Arial" w:hAnsi="Arial" w:cs="Arial"/>
          <w:i/>
        </w:rPr>
        <w:t>The Criminal Code</w:t>
      </w:r>
      <w:r>
        <w:rPr>
          <w:rFonts w:ascii="Arial" w:hAnsi="Arial" w:cs="Arial"/>
        </w:rPr>
        <w:t xml:space="preserve"> would enable future cases of unlawful assaults causing death the ability to impose life </w:t>
      </w:r>
      <w:r>
        <w:rPr>
          <w:rFonts w:ascii="Arial" w:hAnsi="Arial" w:cs="Arial"/>
        </w:rPr>
        <w:lastRenderedPageBreak/>
        <w:t>imprisonment on the offender.</w:t>
      </w:r>
      <w:r>
        <w:rPr>
          <w:rStyle w:val="FootnoteReference"/>
          <w:rFonts w:ascii="Arial" w:hAnsi="Arial" w:cs="Arial"/>
        </w:rPr>
        <w:footnoteReference w:id="19"/>
      </w:r>
      <w:r>
        <w:rPr>
          <w:rFonts w:ascii="Arial" w:hAnsi="Arial" w:cs="Arial"/>
        </w:rPr>
        <w:t xml:space="preserve"> This would allow murder s 279, manslaughter s 280 and unlawful assault causing death s 281 uniform life imprisonment sentencing.</w:t>
      </w:r>
      <w:r>
        <w:rPr>
          <w:rStyle w:val="FootnoteReference"/>
          <w:rFonts w:ascii="Arial" w:hAnsi="Arial" w:cs="Arial"/>
        </w:rPr>
        <w:footnoteReference w:id="20"/>
      </w:r>
      <w:r>
        <w:rPr>
          <w:rFonts w:ascii="Arial" w:hAnsi="Arial" w:cs="Arial"/>
        </w:rPr>
        <w:t xml:space="preserve"> The potential to apply such a harsh sanction would work to both prevent assaults on persons 60 years or older, and allow them to be specifically protected.</w:t>
      </w:r>
      <w:r>
        <w:rPr>
          <w:rStyle w:val="FootnoteReference"/>
          <w:rFonts w:ascii="Arial" w:hAnsi="Arial" w:cs="Arial"/>
        </w:rPr>
        <w:footnoteReference w:id="21"/>
      </w:r>
    </w:p>
    <w:p w:rsidR="0097685F" w:rsidRDefault="00373785">
      <w:pPr>
        <w:spacing w:after="240"/>
        <w:rPr>
          <w:rFonts w:ascii="Arial" w:hAnsi="Arial" w:cs="Arial"/>
          <w:b/>
        </w:rPr>
      </w:pPr>
      <w:r>
        <w:rPr>
          <w:rFonts w:ascii="Arial" w:hAnsi="Arial" w:cs="Arial"/>
          <w:b/>
        </w:rPr>
        <w:t xml:space="preserve">The reason behind the insertion of s 281 into </w:t>
      </w:r>
      <w:r>
        <w:rPr>
          <w:rFonts w:ascii="Arial" w:hAnsi="Arial" w:cs="Arial"/>
          <w:b/>
          <w:i/>
        </w:rPr>
        <w:t xml:space="preserve">The Criminal Code </w:t>
      </w:r>
      <w:r>
        <w:rPr>
          <w:rFonts w:ascii="Arial" w:hAnsi="Arial" w:cs="Arial"/>
          <w:b/>
        </w:rPr>
        <w:t>and its difficulty for further amendments</w:t>
      </w:r>
      <w:r>
        <w:rPr>
          <w:rStyle w:val="FootnoteReference"/>
          <w:rFonts w:ascii="Arial" w:hAnsi="Arial" w:cs="Arial"/>
          <w:b/>
        </w:rPr>
        <w:footnoteReference w:id="22"/>
      </w:r>
      <w:r>
        <w:rPr>
          <w:rFonts w:ascii="Arial" w:hAnsi="Arial" w:cs="Arial"/>
          <w:b/>
        </w:rPr>
        <w:t xml:space="preserve">  </w:t>
      </w:r>
    </w:p>
    <w:p w:rsidR="0097685F" w:rsidRDefault="00373785">
      <w:pPr>
        <w:spacing w:after="240"/>
        <w:rPr>
          <w:rFonts w:ascii="Arial" w:hAnsi="Arial" w:cs="Arial"/>
        </w:rPr>
      </w:pPr>
      <w:proofErr w:type="gramStart"/>
      <w:r>
        <w:rPr>
          <w:rFonts w:ascii="Arial" w:hAnsi="Arial" w:cs="Arial"/>
        </w:rPr>
        <w:t>s</w:t>
      </w:r>
      <w:proofErr w:type="gramEnd"/>
      <w:r>
        <w:rPr>
          <w:rFonts w:ascii="Arial" w:hAnsi="Arial" w:cs="Arial"/>
        </w:rPr>
        <w:t xml:space="preserve"> 281 was inserted into </w:t>
      </w:r>
      <w:r>
        <w:rPr>
          <w:rFonts w:ascii="Arial" w:hAnsi="Arial" w:cs="Arial"/>
          <w:i/>
        </w:rPr>
        <w:t>The Criminal Code</w:t>
      </w:r>
      <w:r>
        <w:rPr>
          <w:rFonts w:ascii="Arial" w:hAnsi="Arial" w:cs="Arial"/>
        </w:rPr>
        <w:t xml:space="preserve"> in 2008 due to an increase in ‘one-punch’ deaths not specifically related to persons 60 years or older.</w:t>
      </w:r>
      <w:r>
        <w:rPr>
          <w:rStyle w:val="FootnoteReference"/>
          <w:rFonts w:ascii="Arial" w:hAnsi="Arial" w:cs="Arial"/>
        </w:rPr>
        <w:footnoteReference w:id="23"/>
      </w:r>
      <w:r>
        <w:rPr>
          <w:rFonts w:ascii="Arial" w:hAnsi="Arial" w:cs="Arial"/>
        </w:rPr>
        <w:t xml:space="preserve"> The difficulty in amending s 281 would be that no Australian Law Reform Commission has ever recommended the ‘one-punch’ law. There has been no further clarity as to how s 281 of </w:t>
      </w:r>
      <w:r>
        <w:rPr>
          <w:rFonts w:ascii="Arial" w:hAnsi="Arial" w:cs="Arial"/>
          <w:i/>
        </w:rPr>
        <w:t>The Criminal Code</w:t>
      </w:r>
      <w:r>
        <w:rPr>
          <w:rFonts w:ascii="Arial" w:hAnsi="Arial" w:cs="Arial"/>
        </w:rPr>
        <w:t xml:space="preserve"> sits amongst other homicide offences.</w:t>
      </w:r>
      <w:r>
        <w:rPr>
          <w:rStyle w:val="FootnoteReference"/>
          <w:rFonts w:ascii="Arial" w:hAnsi="Arial" w:cs="Arial"/>
        </w:rPr>
        <w:footnoteReference w:id="24"/>
      </w:r>
      <w:r>
        <w:rPr>
          <w:rFonts w:ascii="Arial" w:hAnsi="Arial" w:cs="Arial"/>
        </w:rPr>
        <w:t xml:space="preserve"> </w:t>
      </w:r>
    </w:p>
    <w:p w:rsidR="0097685F" w:rsidRDefault="00373785">
      <w:pPr>
        <w:spacing w:after="240"/>
        <w:rPr>
          <w:rFonts w:ascii="Arial" w:hAnsi="Arial" w:cs="Arial"/>
          <w:b/>
        </w:rPr>
      </w:pPr>
      <w:r>
        <w:rPr>
          <w:rFonts w:ascii="Arial" w:hAnsi="Arial" w:cs="Arial"/>
          <w:b/>
        </w:rPr>
        <w:t xml:space="preserve">Conclusion </w:t>
      </w:r>
    </w:p>
    <w:p w:rsidR="0097685F" w:rsidRDefault="00373785">
      <w:pPr>
        <w:spacing w:after="240"/>
        <w:rPr>
          <w:rFonts w:ascii="Arial" w:hAnsi="Arial" w:cs="Arial"/>
        </w:rPr>
      </w:pPr>
      <w:r>
        <w:rPr>
          <w:rFonts w:ascii="Arial" w:hAnsi="Arial" w:cs="Arial"/>
        </w:rPr>
        <w:t xml:space="preserve">Although s 281 was inserted into </w:t>
      </w:r>
      <w:r>
        <w:rPr>
          <w:rFonts w:ascii="Arial" w:hAnsi="Arial" w:cs="Arial"/>
          <w:i/>
        </w:rPr>
        <w:t xml:space="preserve">The Criminal Code </w:t>
      </w:r>
      <w:r>
        <w:rPr>
          <w:rFonts w:ascii="Arial" w:hAnsi="Arial" w:cs="Arial"/>
        </w:rPr>
        <w:t>as a result of ‘one-punch’ deaths, records show that persons 60 years or older are more likely to die as a result of an assault than any other age group. With this, s 281 should be amended to apply circumstances of aggravation to specifically protect and prevent further assaults on older people, and to reflect the seriousness of the crime.</w:t>
      </w:r>
      <w:r>
        <w:rPr>
          <w:rStyle w:val="FootnoteReference"/>
          <w:rFonts w:ascii="Arial" w:hAnsi="Arial" w:cs="Arial"/>
        </w:rPr>
        <w:footnoteReference w:id="25"/>
      </w: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p w:rsidR="0097685F" w:rsidRDefault="0097685F">
      <w:pPr>
        <w:spacing w:after="240"/>
        <w:rPr>
          <w:rFonts w:ascii="Arial" w:hAnsi="Arial" w:cs="Arial"/>
          <w:b/>
        </w:rPr>
      </w:pPr>
    </w:p>
    <w:sectPr w:rsidR="0097685F" w:rsidSect="0097685F">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5F" w:rsidRDefault="00373785">
      <w:r>
        <w:separator/>
      </w:r>
    </w:p>
  </w:endnote>
  <w:endnote w:type="continuationSeparator" w:id="0">
    <w:p w:rsidR="0097685F" w:rsidRDefault="0037378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5F" w:rsidRDefault="00420FB3">
    <w:pPr>
      <w:pStyle w:val="Footer"/>
      <w:framePr w:wrap="around" w:vAnchor="text" w:hAnchor="margin" w:xAlign="right" w:y="1"/>
      <w:rPr>
        <w:rStyle w:val="PageNumber"/>
      </w:rPr>
    </w:pPr>
    <w:r>
      <w:rPr>
        <w:rStyle w:val="PageNumber"/>
      </w:rPr>
      <w:fldChar w:fldCharType="begin"/>
    </w:r>
    <w:r w:rsidR="00373785">
      <w:rPr>
        <w:rStyle w:val="PageNumber"/>
      </w:rPr>
      <w:instrText xml:space="preserve">PAGE  </w:instrText>
    </w:r>
    <w:r>
      <w:rPr>
        <w:rStyle w:val="PageNumber"/>
      </w:rPr>
      <w:fldChar w:fldCharType="end"/>
    </w:r>
  </w:p>
  <w:p w:rsidR="0097685F" w:rsidRDefault="009768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5F" w:rsidRDefault="00420FB3">
    <w:pPr>
      <w:pStyle w:val="Footer"/>
      <w:framePr w:wrap="around" w:vAnchor="text" w:hAnchor="margin" w:xAlign="right" w:y="1"/>
      <w:rPr>
        <w:rStyle w:val="PageNumber"/>
      </w:rPr>
    </w:pPr>
    <w:r>
      <w:rPr>
        <w:rStyle w:val="PageNumber"/>
      </w:rPr>
      <w:fldChar w:fldCharType="begin"/>
    </w:r>
    <w:r w:rsidR="00373785">
      <w:rPr>
        <w:rStyle w:val="PageNumber"/>
      </w:rPr>
      <w:instrText xml:space="preserve">PAGE  </w:instrText>
    </w:r>
    <w:r>
      <w:rPr>
        <w:rStyle w:val="PageNumber"/>
      </w:rPr>
      <w:fldChar w:fldCharType="separate"/>
    </w:r>
    <w:r w:rsidR="00C5618F">
      <w:rPr>
        <w:rStyle w:val="PageNumber"/>
        <w:noProof/>
      </w:rPr>
      <w:t>1</w:t>
    </w:r>
    <w:r>
      <w:rPr>
        <w:rStyle w:val="PageNumber"/>
      </w:rPr>
      <w:fldChar w:fldCharType="end"/>
    </w:r>
  </w:p>
  <w:p w:rsidR="0097685F" w:rsidRDefault="0097685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85" w:rsidRDefault="00373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5F" w:rsidRDefault="00373785">
      <w:r>
        <w:separator/>
      </w:r>
    </w:p>
  </w:footnote>
  <w:footnote w:type="continuationSeparator" w:id="0">
    <w:p w:rsidR="0097685F" w:rsidRDefault="00373785">
      <w:r>
        <w:continuationSeparator/>
      </w:r>
    </w:p>
  </w:footnote>
  <w:footnote w:id="1">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sz w:val="20"/>
          <w:szCs w:val="20"/>
        </w:rPr>
        <w:t xml:space="preserve">Criminal Code Act Compilation Act 1913 </w:t>
      </w:r>
      <w:r>
        <w:rPr>
          <w:rFonts w:ascii="Arial" w:hAnsi="Arial" w:cs="Arial"/>
          <w:sz w:val="20"/>
          <w:szCs w:val="20"/>
        </w:rPr>
        <w:t>(WA)</w:t>
      </w:r>
      <w:r>
        <w:rPr>
          <w:rFonts w:ascii="Arial" w:hAnsi="Arial" w:cs="Arial"/>
          <w:i/>
          <w:sz w:val="20"/>
          <w:szCs w:val="20"/>
        </w:rPr>
        <w:t xml:space="preserve"> </w:t>
      </w:r>
      <w:r>
        <w:rPr>
          <w:rFonts w:ascii="Arial" w:hAnsi="Arial" w:cs="Arial"/>
          <w:sz w:val="20"/>
          <w:szCs w:val="20"/>
        </w:rPr>
        <w:t>s 221 (</w:t>
      </w:r>
      <w:proofErr w:type="gramStart"/>
      <w:r>
        <w:rPr>
          <w:rFonts w:ascii="Arial" w:hAnsi="Arial" w:cs="Arial"/>
          <w:sz w:val="20"/>
          <w:szCs w:val="20"/>
        </w:rPr>
        <w:t>‘</w:t>
      </w:r>
      <w:r>
        <w:rPr>
          <w:rFonts w:ascii="Arial" w:hAnsi="Arial" w:cs="Arial"/>
          <w:i/>
          <w:sz w:val="20"/>
          <w:szCs w:val="20"/>
        </w:rPr>
        <w:t>The</w:t>
      </w:r>
      <w:proofErr w:type="gramEnd"/>
      <w:r>
        <w:rPr>
          <w:rFonts w:ascii="Arial" w:hAnsi="Arial" w:cs="Arial"/>
          <w:i/>
          <w:sz w:val="20"/>
          <w:szCs w:val="20"/>
        </w:rPr>
        <w:t xml:space="preserve"> Criminal Code’</w:t>
      </w:r>
      <w:r>
        <w:rPr>
          <w:rFonts w:ascii="Arial" w:hAnsi="Arial" w:cs="Arial"/>
          <w:sz w:val="20"/>
          <w:szCs w:val="20"/>
        </w:rPr>
        <w:t>).</w:t>
      </w:r>
    </w:p>
  </w:footnote>
  <w:footnote w:id="2">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w:t>
      </w:r>
      <w:r>
        <w:rPr>
          <w:rFonts w:ascii="Arial" w:hAnsi="Arial" w:cs="Arial"/>
          <w:i/>
          <w:sz w:val="20"/>
          <w:szCs w:val="20"/>
        </w:rPr>
        <w:t xml:space="preserve"> </w:t>
      </w:r>
      <w:r>
        <w:rPr>
          <w:rFonts w:ascii="Arial" w:hAnsi="Arial" w:cs="Arial"/>
          <w:sz w:val="20"/>
          <w:szCs w:val="20"/>
        </w:rPr>
        <w:t>s 281.</w:t>
      </w:r>
      <w:proofErr w:type="gramEnd"/>
    </w:p>
  </w:footnote>
  <w:footnote w:id="3">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 s 279-80.</w:t>
      </w:r>
      <w:proofErr w:type="gramEnd"/>
    </w:p>
  </w:footnote>
  <w:footnote w:id="4">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i/>
          <w:sz w:val="20"/>
          <w:szCs w:val="20"/>
        </w:rPr>
        <w:t xml:space="preserve">Criminal Code Act Compilation Act 1913 </w:t>
      </w:r>
      <w:r>
        <w:rPr>
          <w:rFonts w:ascii="Arial" w:hAnsi="Arial" w:cs="Arial"/>
          <w:sz w:val="20"/>
          <w:szCs w:val="20"/>
        </w:rPr>
        <w:t>(WA).</w:t>
      </w:r>
      <w:proofErr w:type="gramEnd"/>
    </w:p>
  </w:footnote>
  <w:footnote w:id="5">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Ibid s 221(1</w:t>
      </w:r>
      <w:proofErr w:type="gramStart"/>
      <w:r>
        <w:rPr>
          <w:rFonts w:ascii="Arial" w:hAnsi="Arial" w:cs="Arial"/>
          <w:sz w:val="20"/>
          <w:szCs w:val="20"/>
        </w:rPr>
        <w:t>)(</w:t>
      </w:r>
      <w:proofErr w:type="gramEnd"/>
      <w:r>
        <w:rPr>
          <w:rFonts w:ascii="Arial" w:hAnsi="Arial" w:cs="Arial"/>
          <w:sz w:val="20"/>
          <w:szCs w:val="20"/>
        </w:rPr>
        <w:t>d).</w:t>
      </w:r>
    </w:p>
  </w:footnote>
  <w:footnote w:id="6">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 s 279-80.</w:t>
      </w:r>
      <w:proofErr w:type="gramEnd"/>
    </w:p>
  </w:footnote>
  <w:footnote w:id="7">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 s 281.</w:t>
      </w:r>
      <w:proofErr w:type="gramEnd"/>
    </w:p>
  </w:footnote>
  <w:footnote w:id="8">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 s 281.</w:t>
      </w:r>
      <w:proofErr w:type="gramEnd"/>
      <w:r>
        <w:rPr>
          <w:rFonts w:ascii="Arial" w:hAnsi="Arial" w:cs="Arial"/>
          <w:sz w:val="20"/>
          <w:szCs w:val="20"/>
        </w:rPr>
        <w:t xml:space="preserve"> </w:t>
      </w:r>
    </w:p>
  </w:footnote>
  <w:footnote w:id="9">
    <w:p w:rsidR="0097685F" w:rsidRDefault="00373785">
      <w:pPr>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Joseph Clare, ‘</w:t>
      </w:r>
      <w:r>
        <w:rPr>
          <w:rFonts w:ascii="Arial" w:hAnsi="Arial" w:cs="Arial"/>
          <w:i/>
          <w:sz w:val="20"/>
          <w:szCs w:val="20"/>
        </w:rPr>
        <w:t>Examination of the Extent of Elder Abuse in Western Australia</w:t>
      </w:r>
      <w:r>
        <w:rPr>
          <w:rFonts w:ascii="Arial" w:hAnsi="Arial" w:cs="Arial"/>
          <w:sz w:val="20"/>
          <w:szCs w:val="20"/>
        </w:rPr>
        <w:t xml:space="preserve">: A Qualitative       and Quantitative Investigation of Existing Agency Policy, Service Responses and Recorded Data’ (2011) </w:t>
      </w:r>
      <w:proofErr w:type="gramStart"/>
      <w:r>
        <w:rPr>
          <w:rFonts w:ascii="Arial" w:hAnsi="Arial" w:cs="Arial"/>
          <w:sz w:val="20"/>
          <w:szCs w:val="20"/>
        </w:rPr>
        <w:t>The</w:t>
      </w:r>
      <w:proofErr w:type="gramEnd"/>
      <w:r>
        <w:rPr>
          <w:rFonts w:ascii="Arial" w:hAnsi="Arial" w:cs="Arial"/>
          <w:sz w:val="20"/>
          <w:szCs w:val="20"/>
        </w:rPr>
        <w:t xml:space="preserve"> University of Western Australia</w:t>
      </w:r>
      <w:r>
        <w:rPr>
          <w:rFonts w:ascii="Arial" w:hAnsi="Arial" w:cs="Arial"/>
          <w:i/>
          <w:sz w:val="20"/>
          <w:szCs w:val="20"/>
        </w:rPr>
        <w:t>.</w:t>
      </w:r>
    </w:p>
  </w:footnote>
  <w:footnote w:id="10">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sz w:val="20"/>
          <w:szCs w:val="20"/>
        </w:rPr>
        <w:t xml:space="preserve">R v </w:t>
      </w:r>
      <w:proofErr w:type="spellStart"/>
      <w:r>
        <w:rPr>
          <w:rFonts w:ascii="Arial" w:hAnsi="Arial" w:cs="Arial"/>
          <w:i/>
          <w:sz w:val="20"/>
          <w:szCs w:val="20"/>
        </w:rPr>
        <w:t>Blaue</w:t>
      </w:r>
      <w:proofErr w:type="spellEnd"/>
      <w:r>
        <w:rPr>
          <w:rFonts w:ascii="Arial" w:hAnsi="Arial" w:cs="Arial"/>
          <w:sz w:val="20"/>
          <w:szCs w:val="20"/>
        </w:rPr>
        <w:t xml:space="preserve"> (1975) 61 Cr App R 271.</w:t>
      </w:r>
    </w:p>
  </w:footnote>
  <w:footnote w:id="11">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i/>
          <w:sz w:val="20"/>
          <w:szCs w:val="20"/>
        </w:rPr>
        <w:t xml:space="preserve">Criminal Code Act Compilation Act 1913 </w:t>
      </w:r>
      <w:r>
        <w:rPr>
          <w:rFonts w:ascii="Arial" w:hAnsi="Arial" w:cs="Arial"/>
          <w:sz w:val="20"/>
          <w:szCs w:val="20"/>
        </w:rPr>
        <w:t>(WA)</w:t>
      </w:r>
      <w:r>
        <w:rPr>
          <w:rFonts w:ascii="Arial" w:hAnsi="Arial" w:cs="Arial"/>
          <w:i/>
          <w:sz w:val="20"/>
          <w:szCs w:val="20"/>
        </w:rPr>
        <w:t xml:space="preserve"> </w:t>
      </w:r>
      <w:r>
        <w:rPr>
          <w:rFonts w:ascii="Arial" w:hAnsi="Arial" w:cs="Arial"/>
          <w:sz w:val="20"/>
          <w:szCs w:val="20"/>
        </w:rPr>
        <w:t>s 281.</w:t>
      </w:r>
      <w:proofErr w:type="gramEnd"/>
    </w:p>
  </w:footnote>
  <w:footnote w:id="12">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 s 279-81.</w:t>
      </w:r>
      <w:proofErr w:type="gramEnd"/>
    </w:p>
  </w:footnote>
  <w:footnote w:id="13">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The </w:t>
      </w:r>
      <w:r>
        <w:rPr>
          <w:rFonts w:ascii="Arial" w:hAnsi="Arial" w:cs="Arial"/>
          <w:i/>
          <w:sz w:val="20"/>
          <w:szCs w:val="20"/>
        </w:rPr>
        <w:t>Crimes Act</w:t>
      </w:r>
      <w:r>
        <w:rPr>
          <w:rFonts w:ascii="Arial" w:hAnsi="Arial" w:cs="Arial"/>
          <w:sz w:val="20"/>
          <w:szCs w:val="20"/>
        </w:rPr>
        <w:t xml:space="preserve"> 1900 (NSW) s 25A.</w:t>
      </w:r>
    </w:p>
  </w:footnote>
  <w:footnote w:id="14">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i/>
          <w:sz w:val="20"/>
          <w:szCs w:val="20"/>
        </w:rPr>
        <w:t xml:space="preserve"> </w:t>
      </w:r>
      <w:proofErr w:type="gramStart"/>
      <w:r>
        <w:rPr>
          <w:rFonts w:ascii="Arial" w:hAnsi="Arial" w:cs="Arial"/>
          <w:i/>
          <w:sz w:val="20"/>
          <w:szCs w:val="20"/>
        </w:rPr>
        <w:t xml:space="preserve">Criminal Code Act Compilation Act 1913 </w:t>
      </w:r>
      <w:r>
        <w:rPr>
          <w:rFonts w:ascii="Arial" w:hAnsi="Arial" w:cs="Arial"/>
          <w:sz w:val="20"/>
          <w:szCs w:val="20"/>
        </w:rPr>
        <w:t>(WA)</w:t>
      </w:r>
      <w:r>
        <w:rPr>
          <w:rFonts w:ascii="Arial" w:hAnsi="Arial" w:cs="Arial"/>
          <w:i/>
          <w:sz w:val="20"/>
          <w:szCs w:val="20"/>
        </w:rPr>
        <w:t xml:space="preserve"> </w:t>
      </w:r>
      <w:r>
        <w:rPr>
          <w:rFonts w:ascii="Arial" w:hAnsi="Arial" w:cs="Arial"/>
          <w:sz w:val="20"/>
          <w:szCs w:val="20"/>
        </w:rPr>
        <w:t>s 281.</w:t>
      </w:r>
      <w:proofErr w:type="gramEnd"/>
    </w:p>
  </w:footnote>
  <w:footnote w:id="15">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The </w:t>
      </w:r>
      <w:r>
        <w:rPr>
          <w:rFonts w:ascii="Arial" w:hAnsi="Arial" w:cs="Arial"/>
          <w:i/>
          <w:sz w:val="20"/>
          <w:szCs w:val="20"/>
        </w:rPr>
        <w:t>Crimes Act</w:t>
      </w:r>
      <w:r>
        <w:rPr>
          <w:rFonts w:ascii="Arial" w:hAnsi="Arial" w:cs="Arial"/>
          <w:sz w:val="20"/>
          <w:szCs w:val="20"/>
        </w:rPr>
        <w:t xml:space="preserve"> 1900 (NSW) s 25A.</w:t>
      </w:r>
    </w:p>
  </w:footnote>
  <w:footnote w:id="16">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i/>
          <w:sz w:val="20"/>
          <w:szCs w:val="20"/>
        </w:rPr>
        <w:t xml:space="preserve">Criminal Code Act Compilation Act 1913 </w:t>
      </w:r>
      <w:r>
        <w:rPr>
          <w:rFonts w:ascii="Arial" w:hAnsi="Arial" w:cs="Arial"/>
          <w:sz w:val="20"/>
          <w:szCs w:val="20"/>
        </w:rPr>
        <w:t>(WA)</w:t>
      </w:r>
      <w:r>
        <w:rPr>
          <w:rFonts w:ascii="Arial" w:hAnsi="Arial" w:cs="Arial"/>
          <w:i/>
          <w:sz w:val="20"/>
          <w:szCs w:val="20"/>
        </w:rPr>
        <w:t xml:space="preserve"> </w:t>
      </w:r>
      <w:r>
        <w:rPr>
          <w:rFonts w:ascii="Arial" w:hAnsi="Arial" w:cs="Arial"/>
          <w:sz w:val="20"/>
          <w:szCs w:val="20"/>
        </w:rPr>
        <w:t>s 281.</w:t>
      </w:r>
      <w:proofErr w:type="gramEnd"/>
    </w:p>
  </w:footnote>
  <w:footnote w:id="17">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i/>
          <w:sz w:val="20"/>
          <w:szCs w:val="20"/>
        </w:rPr>
        <w:t xml:space="preserve">R v. PDJ </w:t>
      </w:r>
      <w:r>
        <w:rPr>
          <w:rFonts w:ascii="Arial" w:hAnsi="Arial" w:cs="Arial"/>
          <w:sz w:val="20"/>
          <w:szCs w:val="20"/>
        </w:rPr>
        <w:t>[2002] VSCA 211.</w:t>
      </w:r>
      <w:proofErr w:type="gramEnd"/>
    </w:p>
  </w:footnote>
  <w:footnote w:id="18">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[2002] VSCA 211.</w:t>
      </w:r>
      <w:proofErr w:type="gramEnd"/>
    </w:p>
  </w:footnote>
  <w:footnote w:id="19">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i/>
          <w:sz w:val="20"/>
          <w:szCs w:val="20"/>
        </w:rPr>
        <w:t xml:space="preserve">Criminal Code Act Compilation Act 1913 </w:t>
      </w:r>
      <w:r>
        <w:rPr>
          <w:rFonts w:ascii="Arial" w:hAnsi="Arial" w:cs="Arial"/>
          <w:sz w:val="20"/>
          <w:szCs w:val="20"/>
        </w:rPr>
        <w:t>(WA)</w:t>
      </w:r>
      <w:r>
        <w:rPr>
          <w:rFonts w:ascii="Arial" w:hAnsi="Arial" w:cs="Arial"/>
          <w:i/>
          <w:sz w:val="20"/>
          <w:szCs w:val="20"/>
        </w:rPr>
        <w:t xml:space="preserve"> </w:t>
      </w:r>
      <w:r>
        <w:rPr>
          <w:rFonts w:ascii="Arial" w:hAnsi="Arial" w:cs="Arial"/>
          <w:sz w:val="20"/>
          <w:szCs w:val="20"/>
        </w:rPr>
        <w:t>s 281.</w:t>
      </w:r>
      <w:proofErr w:type="gramEnd"/>
    </w:p>
  </w:footnote>
  <w:footnote w:id="20">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w:t>
      </w:r>
      <w:r>
        <w:rPr>
          <w:rFonts w:ascii="Arial" w:hAnsi="Arial" w:cs="Arial"/>
          <w:i/>
          <w:sz w:val="20"/>
          <w:szCs w:val="20"/>
        </w:rPr>
        <w:t xml:space="preserve"> </w:t>
      </w:r>
      <w:r>
        <w:rPr>
          <w:rFonts w:ascii="Arial" w:hAnsi="Arial" w:cs="Arial"/>
          <w:sz w:val="20"/>
          <w:szCs w:val="20"/>
        </w:rPr>
        <w:t>s 279-81.</w:t>
      </w:r>
      <w:proofErr w:type="gramEnd"/>
    </w:p>
  </w:footnote>
  <w:footnote w:id="21">
    <w:p w:rsidR="0097685F" w:rsidRDefault="00373785">
      <w:pPr>
        <w:spacing w:after="240"/>
        <w:rPr>
          <w:rFonts w:ascii="Arial" w:hAnsi="Arial" w:cs="Arial"/>
          <w:b/>
        </w:rPr>
      </w:pPr>
      <w:r>
        <w:rPr>
          <w:rStyle w:val="FootnoteReference"/>
          <w:rFonts w:ascii="Arial" w:hAnsi="Arial" w:cs="Arial"/>
          <w:sz w:val="20"/>
          <w:szCs w:val="20"/>
        </w:rPr>
        <w:footnoteRef/>
      </w:r>
      <w:r>
        <w:rPr>
          <w:rFonts w:ascii="Arial" w:hAnsi="Arial" w:cs="Arial"/>
          <w:sz w:val="20"/>
          <w:szCs w:val="20"/>
        </w:rPr>
        <w:t xml:space="preserve"> Joseph Clare, ‘</w:t>
      </w:r>
      <w:r>
        <w:rPr>
          <w:rFonts w:ascii="Arial" w:hAnsi="Arial" w:cs="Arial"/>
          <w:i/>
          <w:sz w:val="20"/>
          <w:szCs w:val="20"/>
        </w:rPr>
        <w:t>Examination of the Extent of Elder Abuse in Western Australia</w:t>
      </w:r>
      <w:r>
        <w:rPr>
          <w:rFonts w:ascii="Arial" w:hAnsi="Arial" w:cs="Arial"/>
          <w:sz w:val="20"/>
          <w:szCs w:val="20"/>
        </w:rPr>
        <w:t xml:space="preserve">: A Qualitative     and Quantitative Investigation of Existing Agency Policy, Service Responses and Recorded Data’ (2011) </w:t>
      </w:r>
      <w:proofErr w:type="gramStart"/>
      <w:r>
        <w:rPr>
          <w:rFonts w:ascii="Arial" w:hAnsi="Arial" w:cs="Arial"/>
          <w:sz w:val="20"/>
          <w:szCs w:val="20"/>
        </w:rPr>
        <w:t>The</w:t>
      </w:r>
      <w:proofErr w:type="gramEnd"/>
      <w:r>
        <w:rPr>
          <w:rFonts w:ascii="Arial" w:hAnsi="Arial" w:cs="Arial"/>
          <w:sz w:val="20"/>
          <w:szCs w:val="20"/>
        </w:rPr>
        <w:t xml:space="preserve"> University of Western Australia</w:t>
      </w:r>
      <w:r>
        <w:rPr>
          <w:rFonts w:ascii="Arial" w:hAnsi="Arial" w:cs="Arial"/>
          <w:i/>
          <w:sz w:val="20"/>
          <w:szCs w:val="20"/>
        </w:rPr>
        <w:t>.</w:t>
      </w:r>
    </w:p>
  </w:footnote>
  <w:footnote w:id="22">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i/>
          <w:sz w:val="20"/>
          <w:szCs w:val="20"/>
        </w:rPr>
        <w:t xml:space="preserve">Criminal Code Act Compilation Act 1913 </w:t>
      </w:r>
      <w:r>
        <w:rPr>
          <w:rFonts w:ascii="Arial" w:hAnsi="Arial" w:cs="Arial"/>
          <w:sz w:val="20"/>
          <w:szCs w:val="20"/>
        </w:rPr>
        <w:t>(WA)</w:t>
      </w:r>
      <w:r>
        <w:rPr>
          <w:rFonts w:ascii="Arial" w:hAnsi="Arial" w:cs="Arial"/>
          <w:i/>
          <w:sz w:val="20"/>
          <w:szCs w:val="20"/>
        </w:rPr>
        <w:t xml:space="preserve"> </w:t>
      </w:r>
      <w:r>
        <w:rPr>
          <w:rFonts w:ascii="Arial" w:hAnsi="Arial" w:cs="Arial"/>
          <w:sz w:val="20"/>
          <w:szCs w:val="20"/>
        </w:rPr>
        <w:t>s 281.</w:t>
      </w:r>
      <w:proofErr w:type="gramEnd"/>
    </w:p>
  </w:footnote>
  <w:footnote w:id="23">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Ibid</w:t>
      </w:r>
      <w:r>
        <w:rPr>
          <w:rFonts w:ascii="Arial" w:hAnsi="Arial" w:cs="Arial"/>
          <w:i/>
          <w:sz w:val="20"/>
          <w:szCs w:val="20"/>
        </w:rPr>
        <w:t xml:space="preserve"> </w:t>
      </w:r>
      <w:r>
        <w:rPr>
          <w:rFonts w:ascii="Arial" w:hAnsi="Arial" w:cs="Arial"/>
          <w:sz w:val="20"/>
          <w:szCs w:val="20"/>
        </w:rPr>
        <w:t>s 221.</w:t>
      </w:r>
      <w:proofErr w:type="gramEnd"/>
    </w:p>
  </w:footnote>
  <w:footnote w:id="24">
    <w:p w:rsidR="0097685F" w:rsidRDefault="00373785">
      <w:pPr>
        <w:pStyle w:val="FootnoteText"/>
        <w:rPr>
          <w:rFonts w:ascii="Arial" w:hAnsi="Arial" w:cs="Arial"/>
        </w:rPr>
      </w:pPr>
      <w:r>
        <w:rPr>
          <w:rStyle w:val="FootnoteReference"/>
          <w:rFonts w:ascii="Arial" w:hAnsi="Arial" w:cs="Arial"/>
          <w:sz w:val="20"/>
          <w:szCs w:val="20"/>
        </w:rPr>
        <w:footnoteRef/>
      </w:r>
      <w:r>
        <w:rPr>
          <w:rFonts w:ascii="Arial" w:hAnsi="Arial" w:cs="Arial"/>
          <w:sz w:val="20"/>
          <w:szCs w:val="20"/>
        </w:rPr>
        <w:t xml:space="preserve"> Law Reform Commission of Western Australia (2007) </w:t>
      </w:r>
      <w:r>
        <w:rPr>
          <w:rFonts w:ascii="Arial" w:hAnsi="Arial" w:cs="Arial"/>
          <w:i/>
          <w:sz w:val="20"/>
          <w:szCs w:val="20"/>
        </w:rPr>
        <w:t>Review of the Law of Homicide</w:t>
      </w:r>
      <w:r>
        <w:rPr>
          <w:rFonts w:ascii="Arial" w:hAnsi="Arial" w:cs="Arial"/>
          <w:sz w:val="20"/>
          <w:szCs w:val="20"/>
        </w:rPr>
        <w:t xml:space="preserve">, Final Report, Project No 97. Perth: Government of Western Australia. </w:t>
      </w:r>
    </w:p>
  </w:footnote>
  <w:footnote w:id="25">
    <w:p w:rsidR="0097685F" w:rsidRDefault="00373785">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i/>
          <w:sz w:val="20"/>
          <w:szCs w:val="20"/>
        </w:rPr>
        <w:t xml:space="preserve">Criminal Code Act Compilation Act 1913 </w:t>
      </w:r>
      <w:r>
        <w:rPr>
          <w:rFonts w:ascii="Arial" w:hAnsi="Arial" w:cs="Arial"/>
          <w:sz w:val="20"/>
          <w:szCs w:val="20"/>
        </w:rPr>
        <w:t>(WA)</w:t>
      </w:r>
      <w:r>
        <w:rPr>
          <w:rFonts w:ascii="Arial" w:hAnsi="Arial" w:cs="Arial"/>
          <w:i/>
          <w:sz w:val="20"/>
          <w:szCs w:val="20"/>
        </w:rPr>
        <w:t xml:space="preserve"> </w:t>
      </w:r>
      <w:r>
        <w:rPr>
          <w:rFonts w:ascii="Arial" w:hAnsi="Arial" w:cs="Arial"/>
          <w:sz w:val="20"/>
          <w:szCs w:val="20"/>
        </w:rPr>
        <w:t>s 281.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85" w:rsidRDefault="003737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85" w:rsidRPr="00373785" w:rsidRDefault="00373785">
    <w:pPr>
      <w:pStyle w:val="Header"/>
      <w:rPr>
        <w:lang w:val="en-AU"/>
      </w:rPr>
    </w:pPr>
    <w:r>
      <w:rPr>
        <w:lang w:val="en-AU"/>
      </w:rPr>
      <w:t xml:space="preserve">109. E </w:t>
    </w:r>
    <w:proofErr w:type="spellStart"/>
    <w:r>
      <w:rPr>
        <w:lang w:val="en-AU"/>
      </w:rPr>
      <w:t>Cole_Darby</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85" w:rsidRDefault="003737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04AC0"/>
    <w:multiLevelType w:val="hybridMultilevel"/>
    <w:tmpl w:val="CB3A088A"/>
    <w:lvl w:ilvl="0" w:tplc="E586FB44">
      <w:start w:val="1"/>
      <w:numFmt w:val="bullet"/>
      <w:lvlText w:val="•"/>
      <w:lvlJc w:val="left"/>
      <w:pPr>
        <w:ind w:left="720" w:hanging="360"/>
      </w:pPr>
    </w:lvl>
    <w:lvl w:ilvl="1" w:tplc="04E65722">
      <w:numFmt w:val="decimal"/>
      <w:lvlText w:val=""/>
      <w:lvlJc w:val="left"/>
    </w:lvl>
    <w:lvl w:ilvl="2" w:tplc="49DC0036">
      <w:numFmt w:val="decimal"/>
      <w:lvlText w:val=""/>
      <w:lvlJc w:val="left"/>
    </w:lvl>
    <w:lvl w:ilvl="3" w:tplc="8BCA349E">
      <w:numFmt w:val="decimal"/>
      <w:lvlText w:val=""/>
      <w:lvlJc w:val="left"/>
    </w:lvl>
    <w:lvl w:ilvl="4" w:tplc="02C0CF2A">
      <w:numFmt w:val="decimal"/>
      <w:lvlText w:val=""/>
      <w:lvlJc w:val="left"/>
    </w:lvl>
    <w:lvl w:ilvl="5" w:tplc="1B88AEC6">
      <w:numFmt w:val="decimal"/>
      <w:lvlText w:val=""/>
      <w:lvlJc w:val="left"/>
    </w:lvl>
    <w:lvl w:ilvl="6" w:tplc="8E001900">
      <w:numFmt w:val="decimal"/>
      <w:lvlText w:val=""/>
      <w:lvlJc w:val="left"/>
    </w:lvl>
    <w:lvl w:ilvl="7" w:tplc="6FD25316">
      <w:numFmt w:val="decimal"/>
      <w:lvlText w:val=""/>
      <w:lvlJc w:val="left"/>
    </w:lvl>
    <w:lvl w:ilvl="8" w:tplc="CD4EB126">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64739"/>
    <w:rsid w:val="0003131F"/>
    <w:rsid w:val="000529D9"/>
    <w:rsid w:val="00066E5A"/>
    <w:rsid w:val="00122AA0"/>
    <w:rsid w:val="00186360"/>
    <w:rsid w:val="001B141F"/>
    <w:rsid w:val="001D3E9F"/>
    <w:rsid w:val="00211BD7"/>
    <w:rsid w:val="00216CD5"/>
    <w:rsid w:val="0022503E"/>
    <w:rsid w:val="0026450F"/>
    <w:rsid w:val="00295B19"/>
    <w:rsid w:val="002C20E8"/>
    <w:rsid w:val="00313606"/>
    <w:rsid w:val="0036541A"/>
    <w:rsid w:val="0036670F"/>
    <w:rsid w:val="00373785"/>
    <w:rsid w:val="003E615A"/>
    <w:rsid w:val="00420FB3"/>
    <w:rsid w:val="004B57B5"/>
    <w:rsid w:val="00532420"/>
    <w:rsid w:val="00534BE4"/>
    <w:rsid w:val="005B2657"/>
    <w:rsid w:val="005C723D"/>
    <w:rsid w:val="005D0E6E"/>
    <w:rsid w:val="005E3783"/>
    <w:rsid w:val="005E4EEF"/>
    <w:rsid w:val="00611E4E"/>
    <w:rsid w:val="00634145"/>
    <w:rsid w:val="00642187"/>
    <w:rsid w:val="0065403C"/>
    <w:rsid w:val="00670161"/>
    <w:rsid w:val="006C2B0A"/>
    <w:rsid w:val="006C6E37"/>
    <w:rsid w:val="006D6D77"/>
    <w:rsid w:val="006F60D4"/>
    <w:rsid w:val="00764739"/>
    <w:rsid w:val="00764D24"/>
    <w:rsid w:val="00813111"/>
    <w:rsid w:val="008314A7"/>
    <w:rsid w:val="00875DFB"/>
    <w:rsid w:val="0089345A"/>
    <w:rsid w:val="008C566C"/>
    <w:rsid w:val="008E0ED1"/>
    <w:rsid w:val="008F1C9E"/>
    <w:rsid w:val="0090487B"/>
    <w:rsid w:val="009307C0"/>
    <w:rsid w:val="0097685F"/>
    <w:rsid w:val="00982E29"/>
    <w:rsid w:val="00993538"/>
    <w:rsid w:val="009B1FF3"/>
    <w:rsid w:val="00A20688"/>
    <w:rsid w:val="00A75FFF"/>
    <w:rsid w:val="00AC29EB"/>
    <w:rsid w:val="00AE16D9"/>
    <w:rsid w:val="00AE7148"/>
    <w:rsid w:val="00AF2378"/>
    <w:rsid w:val="00B033CB"/>
    <w:rsid w:val="00B42BBA"/>
    <w:rsid w:val="00B95E45"/>
    <w:rsid w:val="00BE168B"/>
    <w:rsid w:val="00BE5607"/>
    <w:rsid w:val="00C341AA"/>
    <w:rsid w:val="00C5618F"/>
    <w:rsid w:val="00C94F27"/>
    <w:rsid w:val="00D03374"/>
    <w:rsid w:val="00D66A38"/>
    <w:rsid w:val="00D802EB"/>
    <w:rsid w:val="00DA0695"/>
    <w:rsid w:val="00DB023B"/>
    <w:rsid w:val="00DF38F8"/>
    <w:rsid w:val="00E136C4"/>
    <w:rsid w:val="00E20AC8"/>
    <w:rsid w:val="00E27E1A"/>
    <w:rsid w:val="00E463AF"/>
    <w:rsid w:val="00E747C4"/>
    <w:rsid w:val="00E97D95"/>
    <w:rsid w:val="00EA60F1"/>
    <w:rsid w:val="00EA61B6"/>
    <w:rsid w:val="00EC6AF8"/>
    <w:rsid w:val="00EF651C"/>
    <w:rsid w:val="00F00369"/>
    <w:rsid w:val="00F22491"/>
    <w:rsid w:val="00F4002E"/>
    <w:rsid w:val="00F46594"/>
    <w:rsid w:val="00F50F03"/>
    <w:rsid w:val="00F55221"/>
    <w:rsid w:val="00F57B1F"/>
    <w:rsid w:val="00FC00DC"/>
    <w:rsid w:val="00FC705F"/>
    <w:rsid w:val="00FD2D0C"/>
    <w:rsid w:val="00FF55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85F"/>
    <w:pPr>
      <w:ind w:left="720"/>
      <w:contextualSpacing/>
    </w:pPr>
  </w:style>
  <w:style w:type="paragraph" w:styleId="BalloonText">
    <w:name w:val="Balloon Text"/>
    <w:basedOn w:val="Normal"/>
    <w:link w:val="BalloonTextChar"/>
    <w:uiPriority w:val="99"/>
    <w:rsid w:val="0097685F"/>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685F"/>
    <w:rPr>
      <w:rFonts w:ascii="Lucida Grande" w:hAnsi="Lucida Grande" w:cs="Lucida Grande"/>
      <w:sz w:val="18"/>
      <w:szCs w:val="18"/>
    </w:rPr>
  </w:style>
  <w:style w:type="paragraph" w:styleId="FootnoteText">
    <w:name w:val="footnote text"/>
    <w:basedOn w:val="Normal"/>
    <w:link w:val="FootnoteTextChar"/>
    <w:uiPriority w:val="99"/>
    <w:rsid w:val="0097685F"/>
  </w:style>
  <w:style w:type="character" w:customStyle="1" w:styleId="FootnoteTextChar">
    <w:name w:val="Footnote Text Char"/>
    <w:basedOn w:val="DefaultParagraphFont"/>
    <w:link w:val="FootnoteText"/>
    <w:uiPriority w:val="99"/>
    <w:rsid w:val="0097685F"/>
  </w:style>
  <w:style w:type="character" w:styleId="FootnoteReference">
    <w:name w:val="footnote reference"/>
    <w:basedOn w:val="DefaultParagraphFont"/>
    <w:uiPriority w:val="99"/>
    <w:rsid w:val="0097685F"/>
    <w:rPr>
      <w:vertAlign w:val="superscript"/>
    </w:rPr>
  </w:style>
  <w:style w:type="paragraph" w:styleId="NormalWeb">
    <w:name w:val="Normal (Web)"/>
    <w:basedOn w:val="Normal"/>
    <w:uiPriority w:val="99"/>
    <w:rsid w:val="0097685F"/>
    <w:pPr>
      <w:spacing w:before="100" w:beforeAutospacing="1" w:after="100" w:afterAutospacing="1"/>
    </w:pPr>
    <w:rPr>
      <w:rFonts w:ascii="Times" w:hAnsi="Times"/>
      <w:sz w:val="20"/>
      <w:szCs w:val="20"/>
      <w:lang w:val="en-AU"/>
    </w:rPr>
  </w:style>
  <w:style w:type="paragraph" w:styleId="Footer">
    <w:name w:val="footer"/>
    <w:basedOn w:val="Normal"/>
    <w:link w:val="FooterChar"/>
    <w:uiPriority w:val="99"/>
    <w:rsid w:val="0097685F"/>
    <w:pPr>
      <w:tabs>
        <w:tab w:val="center" w:pos="4320"/>
        <w:tab w:val="right" w:pos="8640"/>
      </w:tabs>
    </w:pPr>
  </w:style>
  <w:style w:type="character" w:customStyle="1" w:styleId="FooterChar">
    <w:name w:val="Footer Char"/>
    <w:basedOn w:val="DefaultParagraphFont"/>
    <w:link w:val="Footer"/>
    <w:uiPriority w:val="99"/>
    <w:rsid w:val="0097685F"/>
  </w:style>
  <w:style w:type="character" w:styleId="PageNumber">
    <w:name w:val="page number"/>
    <w:basedOn w:val="DefaultParagraphFont"/>
    <w:uiPriority w:val="99"/>
    <w:rsid w:val="0097685F"/>
  </w:style>
  <w:style w:type="paragraph" w:styleId="Header">
    <w:name w:val="header"/>
    <w:basedOn w:val="Normal"/>
    <w:link w:val="HeaderChar"/>
    <w:uiPriority w:val="99"/>
    <w:semiHidden/>
    <w:unhideWhenUsed/>
    <w:rsid w:val="00373785"/>
    <w:pPr>
      <w:tabs>
        <w:tab w:val="center" w:pos="4513"/>
        <w:tab w:val="right" w:pos="9026"/>
      </w:tabs>
    </w:pPr>
  </w:style>
  <w:style w:type="character" w:customStyle="1" w:styleId="HeaderChar">
    <w:name w:val="Header Char"/>
    <w:basedOn w:val="DefaultParagraphFont"/>
    <w:link w:val="Header"/>
    <w:uiPriority w:val="99"/>
    <w:semiHidden/>
    <w:rsid w:val="003737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360"/>
    <w:pPr>
      <w:ind w:left="720"/>
      <w:contextualSpacing/>
    </w:pPr>
  </w:style>
  <w:style w:type="paragraph" w:styleId="BalloonText">
    <w:name w:val="Balloon Text"/>
    <w:basedOn w:val="Normal"/>
    <w:link w:val="BalloonTextChar"/>
    <w:uiPriority w:val="99"/>
    <w:semiHidden/>
    <w:unhideWhenUsed/>
    <w:rsid w:val="001D3E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3E9F"/>
    <w:rPr>
      <w:rFonts w:ascii="Lucida Grande" w:hAnsi="Lucida Grande" w:cs="Lucida Grande"/>
      <w:sz w:val="18"/>
      <w:szCs w:val="18"/>
    </w:rPr>
  </w:style>
  <w:style w:type="paragraph" w:styleId="FootnoteText">
    <w:name w:val="footnote text"/>
    <w:basedOn w:val="Normal"/>
    <w:link w:val="FootnoteTextChar"/>
    <w:uiPriority w:val="99"/>
    <w:unhideWhenUsed/>
    <w:rsid w:val="0026450F"/>
  </w:style>
  <w:style w:type="character" w:customStyle="1" w:styleId="FootnoteTextChar">
    <w:name w:val="Footnote Text Char"/>
    <w:basedOn w:val="DefaultParagraphFont"/>
    <w:link w:val="FootnoteText"/>
    <w:uiPriority w:val="99"/>
    <w:rsid w:val="0026450F"/>
  </w:style>
  <w:style w:type="character" w:styleId="FootnoteReference">
    <w:name w:val="footnote reference"/>
    <w:basedOn w:val="DefaultParagraphFont"/>
    <w:uiPriority w:val="99"/>
    <w:unhideWhenUsed/>
    <w:rsid w:val="0026450F"/>
    <w:rPr>
      <w:vertAlign w:val="superscript"/>
    </w:rPr>
  </w:style>
  <w:style w:type="paragraph" w:styleId="NormalWeb">
    <w:name w:val="Normal (Web)"/>
    <w:basedOn w:val="Normal"/>
    <w:uiPriority w:val="99"/>
    <w:semiHidden/>
    <w:unhideWhenUsed/>
    <w:rsid w:val="009307C0"/>
    <w:pPr>
      <w:spacing w:before="100" w:beforeAutospacing="1" w:after="100" w:afterAutospacing="1"/>
    </w:pPr>
    <w:rPr>
      <w:rFonts w:ascii="Times" w:hAnsi="Times" w:cs="Times New Roman"/>
      <w:sz w:val="20"/>
      <w:szCs w:val="20"/>
      <w:lang w:val="en-AU"/>
    </w:rPr>
  </w:style>
  <w:style w:type="paragraph" w:styleId="Footer">
    <w:name w:val="footer"/>
    <w:basedOn w:val="Normal"/>
    <w:link w:val="FooterChar"/>
    <w:uiPriority w:val="99"/>
    <w:unhideWhenUsed/>
    <w:rsid w:val="00FC705F"/>
    <w:pPr>
      <w:tabs>
        <w:tab w:val="center" w:pos="4320"/>
        <w:tab w:val="right" w:pos="8640"/>
      </w:tabs>
    </w:pPr>
  </w:style>
  <w:style w:type="character" w:customStyle="1" w:styleId="FooterChar">
    <w:name w:val="Footer Char"/>
    <w:basedOn w:val="DefaultParagraphFont"/>
    <w:link w:val="Footer"/>
    <w:uiPriority w:val="99"/>
    <w:rsid w:val="00FC705F"/>
  </w:style>
  <w:style w:type="character" w:styleId="PageNumber">
    <w:name w:val="page number"/>
    <w:basedOn w:val="DefaultParagraphFont"/>
    <w:uiPriority w:val="99"/>
    <w:semiHidden/>
    <w:unhideWhenUsed/>
    <w:rsid w:val="00FC705F"/>
  </w:style>
</w:styles>
</file>

<file path=word/webSettings.xml><?xml version="1.0" encoding="utf-8"?>
<w:webSettings xmlns:r="http://schemas.openxmlformats.org/officeDocument/2006/relationships" xmlns:w="http://schemas.openxmlformats.org/wordprocessingml/2006/main">
  <w:divs>
    <w:div w:id="102455507">
      <w:bodyDiv w:val="1"/>
      <w:marLeft w:val="0"/>
      <w:marRight w:val="0"/>
      <w:marTop w:val="0"/>
      <w:marBottom w:val="0"/>
      <w:divBdr>
        <w:top w:val="none" w:sz="0" w:space="0" w:color="auto"/>
        <w:left w:val="none" w:sz="0" w:space="0" w:color="auto"/>
        <w:bottom w:val="none" w:sz="0" w:space="0" w:color="auto"/>
        <w:right w:val="none" w:sz="0" w:space="0" w:color="auto"/>
      </w:divBdr>
      <w:divsChild>
        <w:div w:id="1571959535">
          <w:marLeft w:val="0"/>
          <w:marRight w:val="0"/>
          <w:marTop w:val="0"/>
          <w:marBottom w:val="0"/>
          <w:divBdr>
            <w:top w:val="none" w:sz="0" w:space="0" w:color="auto"/>
            <w:left w:val="none" w:sz="0" w:space="0" w:color="auto"/>
            <w:bottom w:val="none" w:sz="0" w:space="0" w:color="auto"/>
            <w:right w:val="none" w:sz="0" w:space="0" w:color="auto"/>
          </w:divBdr>
          <w:divsChild>
            <w:div w:id="1317564389">
              <w:marLeft w:val="0"/>
              <w:marRight w:val="0"/>
              <w:marTop w:val="0"/>
              <w:marBottom w:val="0"/>
              <w:divBdr>
                <w:top w:val="none" w:sz="0" w:space="0" w:color="auto"/>
                <w:left w:val="none" w:sz="0" w:space="0" w:color="auto"/>
                <w:bottom w:val="none" w:sz="0" w:space="0" w:color="auto"/>
                <w:right w:val="none" w:sz="0" w:space="0" w:color="auto"/>
              </w:divBdr>
              <w:divsChild>
                <w:div w:id="19431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8567">
      <w:bodyDiv w:val="1"/>
      <w:marLeft w:val="0"/>
      <w:marRight w:val="0"/>
      <w:marTop w:val="0"/>
      <w:marBottom w:val="0"/>
      <w:divBdr>
        <w:top w:val="none" w:sz="0" w:space="0" w:color="auto"/>
        <w:left w:val="none" w:sz="0" w:space="0" w:color="auto"/>
        <w:bottom w:val="none" w:sz="0" w:space="0" w:color="auto"/>
        <w:right w:val="none" w:sz="0" w:space="0" w:color="auto"/>
      </w:divBdr>
      <w:divsChild>
        <w:div w:id="1628000455">
          <w:marLeft w:val="0"/>
          <w:marRight w:val="0"/>
          <w:marTop w:val="0"/>
          <w:marBottom w:val="0"/>
          <w:divBdr>
            <w:top w:val="none" w:sz="0" w:space="0" w:color="auto"/>
            <w:left w:val="none" w:sz="0" w:space="0" w:color="auto"/>
            <w:bottom w:val="none" w:sz="0" w:space="0" w:color="auto"/>
            <w:right w:val="none" w:sz="0" w:space="0" w:color="auto"/>
          </w:divBdr>
          <w:divsChild>
            <w:div w:id="35128876">
              <w:marLeft w:val="0"/>
              <w:marRight w:val="0"/>
              <w:marTop w:val="0"/>
              <w:marBottom w:val="0"/>
              <w:divBdr>
                <w:top w:val="none" w:sz="0" w:space="0" w:color="auto"/>
                <w:left w:val="none" w:sz="0" w:space="0" w:color="auto"/>
                <w:bottom w:val="none" w:sz="0" w:space="0" w:color="auto"/>
                <w:right w:val="none" w:sz="0" w:space="0" w:color="auto"/>
              </w:divBdr>
              <w:divsChild>
                <w:div w:id="1381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2998">
      <w:bodyDiv w:val="1"/>
      <w:marLeft w:val="0"/>
      <w:marRight w:val="0"/>
      <w:marTop w:val="0"/>
      <w:marBottom w:val="0"/>
      <w:divBdr>
        <w:top w:val="none" w:sz="0" w:space="0" w:color="auto"/>
        <w:left w:val="none" w:sz="0" w:space="0" w:color="auto"/>
        <w:bottom w:val="none" w:sz="0" w:space="0" w:color="auto"/>
        <w:right w:val="none" w:sz="0" w:space="0" w:color="auto"/>
      </w:divBdr>
      <w:divsChild>
        <w:div w:id="280457675">
          <w:marLeft w:val="0"/>
          <w:marRight w:val="0"/>
          <w:marTop w:val="0"/>
          <w:marBottom w:val="0"/>
          <w:divBdr>
            <w:top w:val="none" w:sz="0" w:space="0" w:color="auto"/>
            <w:left w:val="none" w:sz="0" w:space="0" w:color="auto"/>
            <w:bottom w:val="none" w:sz="0" w:space="0" w:color="auto"/>
            <w:right w:val="none" w:sz="0" w:space="0" w:color="auto"/>
          </w:divBdr>
          <w:divsChild>
            <w:div w:id="1019697075">
              <w:marLeft w:val="0"/>
              <w:marRight w:val="0"/>
              <w:marTop w:val="0"/>
              <w:marBottom w:val="0"/>
              <w:divBdr>
                <w:top w:val="none" w:sz="0" w:space="0" w:color="auto"/>
                <w:left w:val="none" w:sz="0" w:space="0" w:color="auto"/>
                <w:bottom w:val="none" w:sz="0" w:space="0" w:color="auto"/>
                <w:right w:val="none" w:sz="0" w:space="0" w:color="auto"/>
              </w:divBdr>
              <w:divsChild>
                <w:div w:id="17266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961">
      <w:bodyDiv w:val="1"/>
      <w:marLeft w:val="0"/>
      <w:marRight w:val="0"/>
      <w:marTop w:val="0"/>
      <w:marBottom w:val="0"/>
      <w:divBdr>
        <w:top w:val="none" w:sz="0" w:space="0" w:color="auto"/>
        <w:left w:val="none" w:sz="0" w:space="0" w:color="auto"/>
        <w:bottom w:val="none" w:sz="0" w:space="0" w:color="auto"/>
        <w:right w:val="none" w:sz="0" w:space="0" w:color="auto"/>
      </w:divBdr>
      <w:divsChild>
        <w:div w:id="195118936">
          <w:marLeft w:val="0"/>
          <w:marRight w:val="0"/>
          <w:marTop w:val="0"/>
          <w:marBottom w:val="0"/>
          <w:divBdr>
            <w:top w:val="none" w:sz="0" w:space="0" w:color="auto"/>
            <w:left w:val="none" w:sz="0" w:space="0" w:color="auto"/>
            <w:bottom w:val="none" w:sz="0" w:space="0" w:color="auto"/>
            <w:right w:val="none" w:sz="0" w:space="0" w:color="auto"/>
          </w:divBdr>
          <w:divsChild>
            <w:div w:id="885290446">
              <w:marLeft w:val="0"/>
              <w:marRight w:val="0"/>
              <w:marTop w:val="0"/>
              <w:marBottom w:val="0"/>
              <w:divBdr>
                <w:top w:val="none" w:sz="0" w:space="0" w:color="auto"/>
                <w:left w:val="none" w:sz="0" w:space="0" w:color="auto"/>
                <w:bottom w:val="none" w:sz="0" w:space="0" w:color="auto"/>
                <w:right w:val="none" w:sz="0" w:space="0" w:color="auto"/>
              </w:divBdr>
              <w:divsChild>
                <w:div w:id="20894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19310">
      <w:bodyDiv w:val="1"/>
      <w:marLeft w:val="0"/>
      <w:marRight w:val="0"/>
      <w:marTop w:val="0"/>
      <w:marBottom w:val="0"/>
      <w:divBdr>
        <w:top w:val="none" w:sz="0" w:space="0" w:color="auto"/>
        <w:left w:val="none" w:sz="0" w:space="0" w:color="auto"/>
        <w:bottom w:val="none" w:sz="0" w:space="0" w:color="auto"/>
        <w:right w:val="none" w:sz="0" w:space="0" w:color="auto"/>
      </w:divBdr>
      <w:divsChild>
        <w:div w:id="831487216">
          <w:marLeft w:val="0"/>
          <w:marRight w:val="0"/>
          <w:marTop w:val="0"/>
          <w:marBottom w:val="0"/>
          <w:divBdr>
            <w:top w:val="none" w:sz="0" w:space="0" w:color="auto"/>
            <w:left w:val="none" w:sz="0" w:space="0" w:color="auto"/>
            <w:bottom w:val="none" w:sz="0" w:space="0" w:color="auto"/>
            <w:right w:val="none" w:sz="0" w:space="0" w:color="auto"/>
          </w:divBdr>
          <w:divsChild>
            <w:div w:id="973295629">
              <w:marLeft w:val="0"/>
              <w:marRight w:val="0"/>
              <w:marTop w:val="0"/>
              <w:marBottom w:val="0"/>
              <w:divBdr>
                <w:top w:val="none" w:sz="0" w:space="0" w:color="auto"/>
                <w:left w:val="none" w:sz="0" w:space="0" w:color="auto"/>
                <w:bottom w:val="none" w:sz="0" w:space="0" w:color="auto"/>
                <w:right w:val="none" w:sz="0" w:space="0" w:color="auto"/>
              </w:divBdr>
              <w:divsChild>
                <w:div w:id="10981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9600">
      <w:bodyDiv w:val="1"/>
      <w:marLeft w:val="0"/>
      <w:marRight w:val="0"/>
      <w:marTop w:val="0"/>
      <w:marBottom w:val="0"/>
      <w:divBdr>
        <w:top w:val="none" w:sz="0" w:space="0" w:color="auto"/>
        <w:left w:val="none" w:sz="0" w:space="0" w:color="auto"/>
        <w:bottom w:val="none" w:sz="0" w:space="0" w:color="auto"/>
        <w:right w:val="none" w:sz="0" w:space="0" w:color="auto"/>
      </w:divBdr>
      <w:divsChild>
        <w:div w:id="2014189108">
          <w:marLeft w:val="0"/>
          <w:marRight w:val="0"/>
          <w:marTop w:val="0"/>
          <w:marBottom w:val="0"/>
          <w:divBdr>
            <w:top w:val="none" w:sz="0" w:space="0" w:color="auto"/>
            <w:left w:val="none" w:sz="0" w:space="0" w:color="auto"/>
            <w:bottom w:val="none" w:sz="0" w:space="0" w:color="auto"/>
            <w:right w:val="none" w:sz="0" w:space="0" w:color="auto"/>
          </w:divBdr>
          <w:divsChild>
            <w:div w:id="279412458">
              <w:marLeft w:val="0"/>
              <w:marRight w:val="0"/>
              <w:marTop w:val="0"/>
              <w:marBottom w:val="0"/>
              <w:divBdr>
                <w:top w:val="none" w:sz="0" w:space="0" w:color="auto"/>
                <w:left w:val="none" w:sz="0" w:space="0" w:color="auto"/>
                <w:bottom w:val="none" w:sz="0" w:space="0" w:color="auto"/>
                <w:right w:val="none" w:sz="0" w:space="0" w:color="auto"/>
              </w:divBdr>
              <w:divsChild>
                <w:div w:id="14500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583">
      <w:bodyDiv w:val="1"/>
      <w:marLeft w:val="0"/>
      <w:marRight w:val="0"/>
      <w:marTop w:val="0"/>
      <w:marBottom w:val="0"/>
      <w:divBdr>
        <w:top w:val="none" w:sz="0" w:space="0" w:color="auto"/>
        <w:left w:val="none" w:sz="0" w:space="0" w:color="auto"/>
        <w:bottom w:val="none" w:sz="0" w:space="0" w:color="auto"/>
        <w:right w:val="none" w:sz="0" w:space="0" w:color="auto"/>
      </w:divBdr>
      <w:divsChild>
        <w:div w:id="1375814676">
          <w:marLeft w:val="0"/>
          <w:marRight w:val="0"/>
          <w:marTop w:val="0"/>
          <w:marBottom w:val="0"/>
          <w:divBdr>
            <w:top w:val="none" w:sz="0" w:space="0" w:color="auto"/>
            <w:left w:val="none" w:sz="0" w:space="0" w:color="auto"/>
            <w:bottom w:val="none" w:sz="0" w:space="0" w:color="auto"/>
            <w:right w:val="none" w:sz="0" w:space="0" w:color="auto"/>
          </w:divBdr>
          <w:divsChild>
            <w:div w:id="1669598411">
              <w:marLeft w:val="0"/>
              <w:marRight w:val="0"/>
              <w:marTop w:val="0"/>
              <w:marBottom w:val="0"/>
              <w:divBdr>
                <w:top w:val="none" w:sz="0" w:space="0" w:color="auto"/>
                <w:left w:val="none" w:sz="0" w:space="0" w:color="auto"/>
                <w:bottom w:val="none" w:sz="0" w:space="0" w:color="auto"/>
                <w:right w:val="none" w:sz="0" w:space="0" w:color="auto"/>
              </w:divBdr>
              <w:divsChild>
                <w:div w:id="9241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983</Words>
  <Characters>4791</Characters>
  <Application>Microsoft Office Word</Application>
  <DocSecurity>0</DocSecurity>
  <Lines>39</Lines>
  <Paragraphs>11</Paragraphs>
  <ScaleCrop>false</ScaleCrop>
  <Company>Hewlett-Packard Company</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Emmarae Cole-Darby</dc:creator>
  <cp:lastModifiedBy>marie-claire.muir</cp:lastModifiedBy>
  <cp:revision>2</cp:revision>
  <dcterms:created xsi:type="dcterms:W3CDTF">2016-08-23T07:02:00Z</dcterms:created>
  <dcterms:modified xsi:type="dcterms:W3CDTF">2016-08-23T07:02:00Z</dcterms:modified>
</cp:coreProperties>
</file>