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47D" w:rsidRDefault="009E147D" w:rsidP="000F5BE3"/>
    <w:p w:rsidR="009E147D" w:rsidRDefault="009E147D" w:rsidP="000F5BE3"/>
    <w:p w:rsidR="00116983" w:rsidRPr="009E147D" w:rsidRDefault="009E147D" w:rsidP="009E147D">
      <w:pPr>
        <w:rPr>
          <w:sz w:val="36"/>
        </w:rPr>
      </w:pPr>
      <w:r>
        <w:rPr>
          <w:sz w:val="36"/>
        </w:rPr>
        <w:t xml:space="preserve">Submission to </w:t>
      </w:r>
      <w:proofErr w:type="gramStart"/>
      <w:r w:rsidRPr="009E147D">
        <w:rPr>
          <w:sz w:val="36"/>
        </w:rPr>
        <w:t>The</w:t>
      </w:r>
      <w:proofErr w:type="gramEnd"/>
      <w:r w:rsidRPr="009E147D">
        <w:rPr>
          <w:sz w:val="36"/>
        </w:rPr>
        <w:t xml:space="preserve"> Australian Law Reform Commission on the Reference On Elder Abuse</w:t>
      </w:r>
    </w:p>
    <w:p w:rsidR="009E147D" w:rsidRDefault="009E147D" w:rsidP="009E147D">
      <w:pPr>
        <w:rPr>
          <w:sz w:val="36"/>
        </w:rPr>
      </w:pPr>
    </w:p>
    <w:p w:rsidR="00116983" w:rsidRDefault="009E147D" w:rsidP="009E147D">
      <w:pPr>
        <w:rPr>
          <w:sz w:val="36"/>
        </w:rPr>
      </w:pPr>
      <w:r w:rsidRPr="009E147D">
        <w:rPr>
          <w:sz w:val="36"/>
        </w:rPr>
        <w:t xml:space="preserve">Making </w:t>
      </w:r>
      <w:r>
        <w:rPr>
          <w:sz w:val="36"/>
        </w:rPr>
        <w:t>t</w:t>
      </w:r>
      <w:r w:rsidRPr="009E147D">
        <w:rPr>
          <w:sz w:val="36"/>
        </w:rPr>
        <w:t xml:space="preserve">he Australian Consumer Law </w:t>
      </w:r>
      <w:r>
        <w:rPr>
          <w:sz w:val="36"/>
        </w:rPr>
        <w:t>a</w:t>
      </w:r>
      <w:r w:rsidRPr="009E147D">
        <w:rPr>
          <w:sz w:val="36"/>
        </w:rPr>
        <w:t xml:space="preserve"> </w:t>
      </w:r>
      <w:r>
        <w:rPr>
          <w:sz w:val="36"/>
        </w:rPr>
        <w:t>r</w:t>
      </w:r>
      <w:r w:rsidRPr="009E147D">
        <w:rPr>
          <w:sz w:val="36"/>
        </w:rPr>
        <w:t xml:space="preserve">eal </w:t>
      </w:r>
      <w:r>
        <w:rPr>
          <w:sz w:val="36"/>
        </w:rPr>
        <w:t>a</w:t>
      </w:r>
      <w:r w:rsidRPr="009E147D">
        <w:rPr>
          <w:sz w:val="36"/>
        </w:rPr>
        <w:t xml:space="preserve">lternative </w:t>
      </w:r>
      <w:r>
        <w:rPr>
          <w:sz w:val="36"/>
        </w:rPr>
        <w:t>f</w:t>
      </w:r>
      <w:r w:rsidRPr="009E147D">
        <w:rPr>
          <w:sz w:val="36"/>
        </w:rPr>
        <w:t xml:space="preserve">or </w:t>
      </w:r>
      <w:r>
        <w:rPr>
          <w:sz w:val="36"/>
        </w:rPr>
        <w:t>s</w:t>
      </w:r>
      <w:r w:rsidRPr="009E147D">
        <w:rPr>
          <w:sz w:val="36"/>
        </w:rPr>
        <w:t xml:space="preserve">erious </w:t>
      </w:r>
      <w:r>
        <w:rPr>
          <w:sz w:val="36"/>
        </w:rPr>
        <w:t>c</w:t>
      </w:r>
      <w:r w:rsidRPr="009E147D">
        <w:rPr>
          <w:sz w:val="36"/>
        </w:rPr>
        <w:t xml:space="preserve">omplaints </w:t>
      </w:r>
      <w:r>
        <w:rPr>
          <w:sz w:val="36"/>
        </w:rPr>
        <w:t>in the aged care system</w:t>
      </w:r>
    </w:p>
    <w:p w:rsidR="009E147D" w:rsidRDefault="009E147D" w:rsidP="00024E98"/>
    <w:p w:rsidR="00024E98" w:rsidRDefault="00024E98" w:rsidP="00024E98">
      <w:pPr>
        <w:pBdr>
          <w:bottom w:val="single" w:sz="4" w:space="1" w:color="92CDDC" w:themeColor="accent5" w:themeTint="99"/>
        </w:pBdr>
      </w:pPr>
    </w:p>
    <w:p w:rsidR="009E147D" w:rsidRPr="00024E98" w:rsidRDefault="009E147D" w:rsidP="009E147D">
      <w:pPr>
        <w:spacing w:after="0"/>
        <w:rPr>
          <w:sz w:val="28"/>
        </w:rPr>
      </w:pPr>
      <w:r w:rsidRPr="00024E98">
        <w:rPr>
          <w:sz w:val="28"/>
        </w:rPr>
        <w:t>Rodney Lewis</w:t>
      </w:r>
    </w:p>
    <w:p w:rsidR="009E147D" w:rsidRPr="00024E98" w:rsidRDefault="009E147D" w:rsidP="009E147D">
      <w:pPr>
        <w:spacing w:after="0"/>
        <w:rPr>
          <w:sz w:val="28"/>
        </w:rPr>
      </w:pPr>
      <w:r w:rsidRPr="00024E98">
        <w:rPr>
          <w:sz w:val="28"/>
        </w:rPr>
        <w:t>Cameron Edwards</w:t>
      </w:r>
    </w:p>
    <w:p w:rsidR="009E147D" w:rsidRPr="009E147D" w:rsidRDefault="009E147D" w:rsidP="009E147D">
      <w:pPr>
        <w:spacing w:after="0"/>
      </w:pPr>
      <w:r w:rsidRPr="009E147D">
        <w:t>Solicitors, Sydney</w:t>
      </w:r>
    </w:p>
    <w:p w:rsidR="009E147D" w:rsidRPr="00024E98" w:rsidRDefault="009E147D" w:rsidP="00024E98">
      <w:pPr>
        <w:spacing w:before="120" w:after="0"/>
      </w:pPr>
      <w:r w:rsidRPr="00024E98">
        <w:t xml:space="preserve">18 </w:t>
      </w:r>
      <w:r w:rsidR="00001863">
        <w:t>August</w:t>
      </w:r>
      <w:r w:rsidRPr="00024E98">
        <w:t xml:space="preserve"> 2016</w:t>
      </w:r>
    </w:p>
    <w:p w:rsidR="009E147D" w:rsidRDefault="009E147D" w:rsidP="009E147D"/>
    <w:p w:rsidR="009E147D" w:rsidRDefault="009E147D">
      <w:pPr>
        <w:spacing w:after="200" w:line="276" w:lineRule="auto"/>
      </w:pPr>
      <w:r>
        <w:br w:type="page"/>
      </w:r>
    </w:p>
    <w:p w:rsidR="002C6D2C" w:rsidRDefault="002C6D2C" w:rsidP="002C6D2C"/>
    <w:p w:rsidR="009E147D" w:rsidRPr="00C041A3" w:rsidRDefault="009E147D" w:rsidP="009E147D">
      <w:pPr>
        <w:rPr>
          <w:sz w:val="52"/>
        </w:rPr>
      </w:pPr>
      <w:r w:rsidRPr="00C041A3">
        <w:rPr>
          <w:sz w:val="52"/>
        </w:rPr>
        <w:t>Contents</w:t>
      </w:r>
    </w:p>
    <w:p w:rsidR="0010542D" w:rsidRDefault="007F0DEB">
      <w:pPr>
        <w:pStyle w:val="TOC1"/>
        <w:tabs>
          <w:tab w:val="left" w:pos="474"/>
        </w:tabs>
        <w:rPr>
          <w:rFonts w:asciiTheme="minorHAnsi" w:eastAsiaTheme="minorEastAsia" w:hAnsiTheme="minorHAnsi" w:cstheme="minorBidi"/>
          <w:b w:val="0"/>
          <w:noProof/>
          <w:color w:val="auto"/>
          <w:sz w:val="24"/>
          <w:lang w:eastAsia="ja-JP"/>
        </w:rPr>
      </w:pPr>
      <w:r w:rsidRPr="007F0DEB">
        <w:fldChar w:fldCharType="begin"/>
      </w:r>
      <w:r w:rsidR="009E147D">
        <w:instrText xml:space="preserve"> TOC \o "2-3" \t "Heading 1,1,Heading,1" </w:instrText>
      </w:r>
      <w:r w:rsidRPr="007F0DEB">
        <w:fldChar w:fldCharType="separate"/>
      </w:r>
      <w:r w:rsidR="0010542D">
        <w:rPr>
          <w:noProof/>
        </w:rPr>
        <w:t>1.</w:t>
      </w:r>
      <w:r w:rsidR="0010542D">
        <w:rPr>
          <w:rFonts w:asciiTheme="minorHAnsi" w:eastAsiaTheme="minorEastAsia" w:hAnsiTheme="minorHAnsi" w:cstheme="minorBidi"/>
          <w:b w:val="0"/>
          <w:noProof/>
          <w:color w:val="auto"/>
          <w:sz w:val="24"/>
          <w:lang w:eastAsia="ja-JP"/>
        </w:rPr>
        <w:tab/>
      </w:r>
      <w:r w:rsidR="0010542D">
        <w:rPr>
          <w:noProof/>
        </w:rPr>
        <w:t>Introduction</w:t>
      </w:r>
      <w:r w:rsidR="0010542D">
        <w:rPr>
          <w:noProof/>
        </w:rPr>
        <w:tab/>
      </w:r>
      <w:r>
        <w:rPr>
          <w:noProof/>
        </w:rPr>
        <w:fldChar w:fldCharType="begin"/>
      </w:r>
      <w:r w:rsidR="0010542D">
        <w:rPr>
          <w:noProof/>
        </w:rPr>
        <w:instrText xml:space="preserve"> PAGEREF _Toc333321343 \h </w:instrText>
      </w:r>
      <w:r>
        <w:rPr>
          <w:noProof/>
        </w:rPr>
      </w:r>
      <w:r>
        <w:rPr>
          <w:noProof/>
        </w:rPr>
        <w:fldChar w:fldCharType="separate"/>
      </w:r>
      <w:r w:rsidR="0028735B">
        <w:rPr>
          <w:noProof/>
        </w:rPr>
        <w:t>3</w:t>
      </w:r>
      <w:r>
        <w:rPr>
          <w:noProof/>
        </w:rPr>
        <w:fldChar w:fldCharType="end"/>
      </w:r>
    </w:p>
    <w:p w:rsidR="0010542D" w:rsidRDefault="0010542D">
      <w:pPr>
        <w:pStyle w:val="TOC1"/>
        <w:tabs>
          <w:tab w:val="left" w:pos="474"/>
        </w:tabs>
        <w:rPr>
          <w:rFonts w:asciiTheme="minorHAnsi" w:eastAsiaTheme="minorEastAsia" w:hAnsiTheme="minorHAnsi" w:cstheme="minorBidi"/>
          <w:b w:val="0"/>
          <w:noProof/>
          <w:color w:val="auto"/>
          <w:sz w:val="24"/>
          <w:lang w:eastAsia="ja-JP"/>
        </w:rPr>
      </w:pPr>
      <w:r>
        <w:rPr>
          <w:noProof/>
        </w:rPr>
        <w:t>2.</w:t>
      </w:r>
      <w:r>
        <w:rPr>
          <w:rFonts w:asciiTheme="minorHAnsi" w:eastAsiaTheme="minorEastAsia" w:hAnsiTheme="minorHAnsi" w:cstheme="minorBidi"/>
          <w:b w:val="0"/>
          <w:noProof/>
          <w:color w:val="auto"/>
          <w:sz w:val="24"/>
          <w:lang w:eastAsia="ja-JP"/>
        </w:rPr>
        <w:tab/>
      </w:r>
      <w:r>
        <w:rPr>
          <w:noProof/>
        </w:rPr>
        <w:t>Aged Care residents are also consumers</w:t>
      </w:r>
      <w:r>
        <w:rPr>
          <w:noProof/>
        </w:rPr>
        <w:tab/>
      </w:r>
      <w:r w:rsidR="007F0DEB">
        <w:rPr>
          <w:noProof/>
        </w:rPr>
        <w:fldChar w:fldCharType="begin"/>
      </w:r>
      <w:r>
        <w:rPr>
          <w:noProof/>
        </w:rPr>
        <w:instrText xml:space="preserve"> PAGEREF _Toc333321344 \h </w:instrText>
      </w:r>
      <w:r w:rsidR="007F0DEB">
        <w:rPr>
          <w:noProof/>
        </w:rPr>
      </w:r>
      <w:r w:rsidR="007F0DEB">
        <w:rPr>
          <w:noProof/>
        </w:rPr>
        <w:fldChar w:fldCharType="separate"/>
      </w:r>
      <w:r w:rsidR="0028735B">
        <w:rPr>
          <w:noProof/>
        </w:rPr>
        <w:t>3</w:t>
      </w:r>
      <w:r w:rsidR="007F0DEB">
        <w:rPr>
          <w:noProof/>
        </w:rPr>
        <w:fldChar w:fldCharType="end"/>
      </w:r>
    </w:p>
    <w:p w:rsidR="0010542D" w:rsidRDefault="0010542D">
      <w:pPr>
        <w:pStyle w:val="TOC1"/>
        <w:tabs>
          <w:tab w:val="left" w:pos="474"/>
        </w:tabs>
        <w:rPr>
          <w:rFonts w:asciiTheme="minorHAnsi" w:eastAsiaTheme="minorEastAsia" w:hAnsiTheme="minorHAnsi" w:cstheme="minorBidi"/>
          <w:b w:val="0"/>
          <w:noProof/>
          <w:color w:val="auto"/>
          <w:sz w:val="24"/>
          <w:lang w:eastAsia="ja-JP"/>
        </w:rPr>
      </w:pPr>
      <w:r>
        <w:rPr>
          <w:noProof/>
        </w:rPr>
        <w:t>3.</w:t>
      </w:r>
      <w:r>
        <w:rPr>
          <w:rFonts w:asciiTheme="minorHAnsi" w:eastAsiaTheme="minorEastAsia" w:hAnsiTheme="minorHAnsi" w:cstheme="minorBidi"/>
          <w:b w:val="0"/>
          <w:noProof/>
          <w:color w:val="auto"/>
          <w:sz w:val="24"/>
          <w:lang w:eastAsia="ja-JP"/>
        </w:rPr>
        <w:tab/>
      </w:r>
      <w:r>
        <w:rPr>
          <w:noProof/>
        </w:rPr>
        <w:t xml:space="preserve">The </w:t>
      </w:r>
      <w:r w:rsidRPr="00D519B8">
        <w:rPr>
          <w:i/>
          <w:noProof/>
        </w:rPr>
        <w:t>Aged Care Act</w:t>
      </w:r>
      <w:r>
        <w:rPr>
          <w:noProof/>
        </w:rPr>
        <w:t xml:space="preserve"> and its complaints scheme</w:t>
      </w:r>
      <w:r>
        <w:rPr>
          <w:noProof/>
        </w:rPr>
        <w:tab/>
      </w:r>
      <w:r w:rsidR="007F0DEB">
        <w:rPr>
          <w:noProof/>
        </w:rPr>
        <w:fldChar w:fldCharType="begin"/>
      </w:r>
      <w:r>
        <w:rPr>
          <w:noProof/>
        </w:rPr>
        <w:instrText xml:space="preserve"> PAGEREF _Toc333321345 \h </w:instrText>
      </w:r>
      <w:r w:rsidR="007F0DEB">
        <w:rPr>
          <w:noProof/>
        </w:rPr>
      </w:r>
      <w:r w:rsidR="007F0DEB">
        <w:rPr>
          <w:noProof/>
        </w:rPr>
        <w:fldChar w:fldCharType="separate"/>
      </w:r>
      <w:r w:rsidR="0028735B">
        <w:rPr>
          <w:noProof/>
        </w:rPr>
        <w:t>4</w:t>
      </w:r>
      <w:r w:rsidR="007F0DEB">
        <w:rPr>
          <w:noProof/>
        </w:rPr>
        <w:fldChar w:fldCharType="end"/>
      </w:r>
    </w:p>
    <w:p w:rsidR="0010542D" w:rsidRDefault="0010542D">
      <w:pPr>
        <w:pStyle w:val="TOC1"/>
        <w:tabs>
          <w:tab w:val="left" w:pos="474"/>
        </w:tabs>
        <w:rPr>
          <w:rFonts w:asciiTheme="minorHAnsi" w:eastAsiaTheme="minorEastAsia" w:hAnsiTheme="minorHAnsi" w:cstheme="minorBidi"/>
          <w:b w:val="0"/>
          <w:noProof/>
          <w:color w:val="auto"/>
          <w:sz w:val="24"/>
          <w:lang w:eastAsia="ja-JP"/>
        </w:rPr>
      </w:pPr>
      <w:r>
        <w:rPr>
          <w:noProof/>
        </w:rPr>
        <w:t>4.</w:t>
      </w:r>
      <w:r>
        <w:rPr>
          <w:rFonts w:asciiTheme="minorHAnsi" w:eastAsiaTheme="minorEastAsia" w:hAnsiTheme="minorHAnsi" w:cstheme="minorBidi"/>
          <w:b w:val="0"/>
          <w:noProof/>
          <w:color w:val="auto"/>
          <w:sz w:val="24"/>
          <w:lang w:eastAsia="ja-JP"/>
        </w:rPr>
        <w:tab/>
      </w:r>
      <w:r>
        <w:rPr>
          <w:noProof/>
        </w:rPr>
        <w:t>What is covered - home care, hostel and nursing home?</w:t>
      </w:r>
      <w:r>
        <w:rPr>
          <w:noProof/>
        </w:rPr>
        <w:tab/>
      </w:r>
      <w:r w:rsidR="007F0DEB">
        <w:rPr>
          <w:noProof/>
        </w:rPr>
        <w:fldChar w:fldCharType="begin"/>
      </w:r>
      <w:r>
        <w:rPr>
          <w:noProof/>
        </w:rPr>
        <w:instrText xml:space="preserve"> PAGEREF _Toc333321346 \h </w:instrText>
      </w:r>
      <w:r w:rsidR="007F0DEB">
        <w:rPr>
          <w:noProof/>
        </w:rPr>
      </w:r>
      <w:r w:rsidR="007F0DEB">
        <w:rPr>
          <w:noProof/>
        </w:rPr>
        <w:fldChar w:fldCharType="separate"/>
      </w:r>
      <w:r w:rsidR="0028735B">
        <w:rPr>
          <w:noProof/>
        </w:rPr>
        <w:t>6</w:t>
      </w:r>
      <w:r w:rsidR="007F0DEB">
        <w:rPr>
          <w:noProof/>
        </w:rPr>
        <w:fldChar w:fldCharType="end"/>
      </w:r>
    </w:p>
    <w:p w:rsidR="0010542D" w:rsidRDefault="0010542D">
      <w:pPr>
        <w:pStyle w:val="TOC1"/>
        <w:tabs>
          <w:tab w:val="left" w:pos="474"/>
        </w:tabs>
        <w:rPr>
          <w:rFonts w:asciiTheme="minorHAnsi" w:eastAsiaTheme="minorEastAsia" w:hAnsiTheme="minorHAnsi" w:cstheme="minorBidi"/>
          <w:b w:val="0"/>
          <w:noProof/>
          <w:color w:val="auto"/>
          <w:sz w:val="24"/>
          <w:lang w:eastAsia="ja-JP"/>
        </w:rPr>
      </w:pPr>
      <w:r>
        <w:rPr>
          <w:noProof/>
        </w:rPr>
        <w:t>5.</w:t>
      </w:r>
      <w:r>
        <w:rPr>
          <w:rFonts w:asciiTheme="minorHAnsi" w:eastAsiaTheme="minorEastAsia" w:hAnsiTheme="minorHAnsi" w:cstheme="minorBidi"/>
          <w:b w:val="0"/>
          <w:noProof/>
          <w:color w:val="auto"/>
          <w:sz w:val="24"/>
          <w:lang w:eastAsia="ja-JP"/>
        </w:rPr>
        <w:tab/>
      </w:r>
      <w:r>
        <w:rPr>
          <w:noProof/>
        </w:rPr>
        <w:t>Advocacy services</w:t>
      </w:r>
      <w:r>
        <w:rPr>
          <w:noProof/>
        </w:rPr>
        <w:tab/>
      </w:r>
      <w:r w:rsidR="007F0DEB">
        <w:rPr>
          <w:noProof/>
        </w:rPr>
        <w:fldChar w:fldCharType="begin"/>
      </w:r>
      <w:r>
        <w:rPr>
          <w:noProof/>
        </w:rPr>
        <w:instrText xml:space="preserve"> PAGEREF _Toc333321347 \h </w:instrText>
      </w:r>
      <w:r w:rsidR="007F0DEB">
        <w:rPr>
          <w:noProof/>
        </w:rPr>
      </w:r>
      <w:r w:rsidR="007F0DEB">
        <w:rPr>
          <w:noProof/>
        </w:rPr>
        <w:fldChar w:fldCharType="separate"/>
      </w:r>
      <w:r w:rsidR="0028735B">
        <w:rPr>
          <w:noProof/>
        </w:rPr>
        <w:t>6</w:t>
      </w:r>
      <w:r w:rsidR="007F0DEB">
        <w:rPr>
          <w:noProof/>
        </w:rPr>
        <w:fldChar w:fldCharType="end"/>
      </w:r>
    </w:p>
    <w:p w:rsidR="0010542D" w:rsidRDefault="0010542D">
      <w:pPr>
        <w:pStyle w:val="TOC1"/>
        <w:tabs>
          <w:tab w:val="left" w:pos="474"/>
        </w:tabs>
        <w:rPr>
          <w:rFonts w:asciiTheme="minorHAnsi" w:eastAsiaTheme="minorEastAsia" w:hAnsiTheme="minorHAnsi" w:cstheme="minorBidi"/>
          <w:b w:val="0"/>
          <w:noProof/>
          <w:color w:val="auto"/>
          <w:sz w:val="24"/>
          <w:lang w:eastAsia="ja-JP"/>
        </w:rPr>
      </w:pPr>
      <w:r>
        <w:rPr>
          <w:noProof/>
        </w:rPr>
        <w:t>6.</w:t>
      </w:r>
      <w:r>
        <w:rPr>
          <w:rFonts w:asciiTheme="minorHAnsi" w:eastAsiaTheme="minorEastAsia" w:hAnsiTheme="minorHAnsi" w:cstheme="minorBidi"/>
          <w:b w:val="0"/>
          <w:noProof/>
          <w:color w:val="auto"/>
          <w:sz w:val="24"/>
          <w:lang w:eastAsia="ja-JP"/>
        </w:rPr>
        <w:tab/>
      </w:r>
      <w:r>
        <w:rPr>
          <w:noProof/>
        </w:rPr>
        <w:t>What kind of service problems could there be?</w:t>
      </w:r>
      <w:r>
        <w:rPr>
          <w:noProof/>
        </w:rPr>
        <w:tab/>
      </w:r>
      <w:r w:rsidR="007F0DEB">
        <w:rPr>
          <w:noProof/>
        </w:rPr>
        <w:fldChar w:fldCharType="begin"/>
      </w:r>
      <w:r>
        <w:rPr>
          <w:noProof/>
        </w:rPr>
        <w:instrText xml:space="preserve"> PAGEREF _Toc333321348 \h </w:instrText>
      </w:r>
      <w:r w:rsidR="007F0DEB">
        <w:rPr>
          <w:noProof/>
        </w:rPr>
      </w:r>
      <w:r w:rsidR="007F0DEB">
        <w:rPr>
          <w:noProof/>
        </w:rPr>
        <w:fldChar w:fldCharType="separate"/>
      </w:r>
      <w:r w:rsidR="0028735B">
        <w:rPr>
          <w:noProof/>
        </w:rPr>
        <w:t>6</w:t>
      </w:r>
      <w:r w:rsidR="007F0DEB">
        <w:rPr>
          <w:noProof/>
        </w:rPr>
        <w:fldChar w:fldCharType="end"/>
      </w:r>
    </w:p>
    <w:p w:rsidR="0010542D" w:rsidRDefault="0010542D">
      <w:pPr>
        <w:pStyle w:val="TOC1"/>
        <w:tabs>
          <w:tab w:val="left" w:pos="474"/>
        </w:tabs>
        <w:rPr>
          <w:rFonts w:asciiTheme="minorHAnsi" w:eastAsiaTheme="minorEastAsia" w:hAnsiTheme="minorHAnsi" w:cstheme="minorBidi"/>
          <w:b w:val="0"/>
          <w:noProof/>
          <w:color w:val="auto"/>
          <w:sz w:val="24"/>
          <w:lang w:eastAsia="ja-JP"/>
        </w:rPr>
      </w:pPr>
      <w:r>
        <w:rPr>
          <w:noProof/>
        </w:rPr>
        <w:t>7.</w:t>
      </w:r>
      <w:r>
        <w:rPr>
          <w:rFonts w:asciiTheme="minorHAnsi" w:eastAsiaTheme="minorEastAsia" w:hAnsiTheme="minorHAnsi" w:cstheme="minorBidi"/>
          <w:b w:val="0"/>
          <w:noProof/>
          <w:color w:val="auto"/>
          <w:sz w:val="24"/>
          <w:lang w:eastAsia="ja-JP"/>
        </w:rPr>
        <w:tab/>
      </w:r>
      <w:r>
        <w:rPr>
          <w:noProof/>
        </w:rPr>
        <w:t>Where else can a complainant go - what are the alternatives?</w:t>
      </w:r>
      <w:r>
        <w:rPr>
          <w:noProof/>
        </w:rPr>
        <w:tab/>
      </w:r>
      <w:r w:rsidR="007F0DEB">
        <w:rPr>
          <w:noProof/>
        </w:rPr>
        <w:fldChar w:fldCharType="begin"/>
      </w:r>
      <w:r>
        <w:rPr>
          <w:noProof/>
        </w:rPr>
        <w:instrText xml:space="preserve"> PAGEREF _Toc333321349 \h </w:instrText>
      </w:r>
      <w:r w:rsidR="007F0DEB">
        <w:rPr>
          <w:noProof/>
        </w:rPr>
      </w:r>
      <w:r w:rsidR="007F0DEB">
        <w:rPr>
          <w:noProof/>
        </w:rPr>
        <w:fldChar w:fldCharType="separate"/>
      </w:r>
      <w:r w:rsidR="0028735B">
        <w:rPr>
          <w:noProof/>
        </w:rPr>
        <w:t>7</w:t>
      </w:r>
      <w:r w:rsidR="007F0DEB">
        <w:rPr>
          <w:noProof/>
        </w:rPr>
        <w:fldChar w:fldCharType="end"/>
      </w:r>
    </w:p>
    <w:p w:rsidR="0010542D" w:rsidRDefault="0010542D">
      <w:pPr>
        <w:pStyle w:val="TOC1"/>
        <w:tabs>
          <w:tab w:val="left" w:pos="474"/>
        </w:tabs>
        <w:rPr>
          <w:rFonts w:asciiTheme="minorHAnsi" w:eastAsiaTheme="minorEastAsia" w:hAnsiTheme="minorHAnsi" w:cstheme="minorBidi"/>
          <w:b w:val="0"/>
          <w:noProof/>
          <w:color w:val="auto"/>
          <w:sz w:val="24"/>
          <w:lang w:eastAsia="ja-JP"/>
        </w:rPr>
      </w:pPr>
      <w:r>
        <w:rPr>
          <w:noProof/>
        </w:rPr>
        <w:t>8.</w:t>
      </w:r>
      <w:r>
        <w:rPr>
          <w:rFonts w:asciiTheme="minorHAnsi" w:eastAsiaTheme="minorEastAsia" w:hAnsiTheme="minorHAnsi" w:cstheme="minorBidi"/>
          <w:b w:val="0"/>
          <w:noProof/>
          <w:color w:val="auto"/>
          <w:sz w:val="24"/>
          <w:lang w:eastAsia="ja-JP"/>
        </w:rPr>
        <w:tab/>
      </w:r>
      <w:r>
        <w:rPr>
          <w:noProof/>
        </w:rPr>
        <w:t>Service guarantees</w:t>
      </w:r>
      <w:r>
        <w:rPr>
          <w:noProof/>
        </w:rPr>
        <w:tab/>
      </w:r>
      <w:r w:rsidR="007F0DEB">
        <w:rPr>
          <w:noProof/>
        </w:rPr>
        <w:fldChar w:fldCharType="begin"/>
      </w:r>
      <w:r>
        <w:rPr>
          <w:noProof/>
        </w:rPr>
        <w:instrText xml:space="preserve"> PAGEREF _Toc333321350 \h </w:instrText>
      </w:r>
      <w:r w:rsidR="007F0DEB">
        <w:rPr>
          <w:noProof/>
        </w:rPr>
      </w:r>
      <w:r w:rsidR="007F0DEB">
        <w:rPr>
          <w:noProof/>
        </w:rPr>
        <w:fldChar w:fldCharType="separate"/>
      </w:r>
      <w:r w:rsidR="0028735B">
        <w:rPr>
          <w:noProof/>
        </w:rPr>
        <w:t>8</w:t>
      </w:r>
      <w:r w:rsidR="007F0DEB">
        <w:rPr>
          <w:noProof/>
        </w:rPr>
        <w:fldChar w:fldCharType="end"/>
      </w:r>
    </w:p>
    <w:p w:rsidR="0010542D" w:rsidRDefault="0010542D">
      <w:pPr>
        <w:pStyle w:val="TOC1"/>
        <w:tabs>
          <w:tab w:val="left" w:pos="474"/>
        </w:tabs>
        <w:rPr>
          <w:rFonts w:asciiTheme="minorHAnsi" w:eastAsiaTheme="minorEastAsia" w:hAnsiTheme="minorHAnsi" w:cstheme="minorBidi"/>
          <w:b w:val="0"/>
          <w:noProof/>
          <w:color w:val="auto"/>
          <w:sz w:val="24"/>
          <w:lang w:eastAsia="ja-JP"/>
        </w:rPr>
      </w:pPr>
      <w:r>
        <w:rPr>
          <w:noProof/>
        </w:rPr>
        <w:t>9.</w:t>
      </w:r>
      <w:r>
        <w:rPr>
          <w:rFonts w:asciiTheme="minorHAnsi" w:eastAsiaTheme="minorEastAsia" w:hAnsiTheme="minorHAnsi" w:cstheme="minorBidi"/>
          <w:b w:val="0"/>
          <w:noProof/>
          <w:color w:val="auto"/>
          <w:sz w:val="24"/>
          <w:lang w:eastAsia="ja-JP"/>
        </w:rPr>
        <w:tab/>
      </w:r>
      <w:r>
        <w:rPr>
          <w:noProof/>
        </w:rPr>
        <w:t>The implied guarantees are mandatory</w:t>
      </w:r>
      <w:r>
        <w:rPr>
          <w:noProof/>
        </w:rPr>
        <w:tab/>
      </w:r>
      <w:r w:rsidR="007F0DEB">
        <w:rPr>
          <w:noProof/>
        </w:rPr>
        <w:fldChar w:fldCharType="begin"/>
      </w:r>
      <w:r>
        <w:rPr>
          <w:noProof/>
        </w:rPr>
        <w:instrText xml:space="preserve"> PAGEREF _Toc333321351 \h </w:instrText>
      </w:r>
      <w:r w:rsidR="007F0DEB">
        <w:rPr>
          <w:noProof/>
        </w:rPr>
      </w:r>
      <w:r w:rsidR="007F0DEB">
        <w:rPr>
          <w:noProof/>
        </w:rPr>
        <w:fldChar w:fldCharType="separate"/>
      </w:r>
      <w:r w:rsidR="0028735B">
        <w:rPr>
          <w:noProof/>
        </w:rPr>
        <w:t>9</w:t>
      </w:r>
      <w:r w:rsidR="007F0DEB">
        <w:rPr>
          <w:noProof/>
        </w:rPr>
        <w:fldChar w:fldCharType="end"/>
      </w:r>
    </w:p>
    <w:p w:rsidR="0010542D" w:rsidRDefault="0010542D">
      <w:pPr>
        <w:pStyle w:val="TOC1"/>
        <w:tabs>
          <w:tab w:val="left" w:pos="629"/>
        </w:tabs>
        <w:rPr>
          <w:rFonts w:asciiTheme="minorHAnsi" w:eastAsiaTheme="minorEastAsia" w:hAnsiTheme="minorHAnsi" w:cstheme="minorBidi"/>
          <w:b w:val="0"/>
          <w:noProof/>
          <w:color w:val="auto"/>
          <w:sz w:val="24"/>
          <w:lang w:eastAsia="ja-JP"/>
        </w:rPr>
      </w:pPr>
      <w:r>
        <w:rPr>
          <w:noProof/>
        </w:rPr>
        <w:t>10.</w:t>
      </w:r>
      <w:r>
        <w:rPr>
          <w:rFonts w:asciiTheme="minorHAnsi" w:eastAsiaTheme="minorEastAsia" w:hAnsiTheme="minorHAnsi" w:cstheme="minorBidi"/>
          <w:b w:val="0"/>
          <w:noProof/>
          <w:color w:val="auto"/>
          <w:sz w:val="24"/>
          <w:lang w:eastAsia="ja-JP"/>
        </w:rPr>
        <w:tab/>
      </w:r>
      <w:r>
        <w:rPr>
          <w:noProof/>
        </w:rPr>
        <w:t>How do the implied consumer guarantees fit with the Aged Care system?</w:t>
      </w:r>
      <w:r>
        <w:rPr>
          <w:noProof/>
        </w:rPr>
        <w:tab/>
      </w:r>
      <w:r w:rsidR="007F0DEB">
        <w:rPr>
          <w:noProof/>
        </w:rPr>
        <w:fldChar w:fldCharType="begin"/>
      </w:r>
      <w:r>
        <w:rPr>
          <w:noProof/>
        </w:rPr>
        <w:instrText xml:space="preserve"> PAGEREF _Toc333321352 \h </w:instrText>
      </w:r>
      <w:r w:rsidR="007F0DEB">
        <w:rPr>
          <w:noProof/>
        </w:rPr>
      </w:r>
      <w:r w:rsidR="007F0DEB">
        <w:rPr>
          <w:noProof/>
        </w:rPr>
        <w:fldChar w:fldCharType="separate"/>
      </w:r>
      <w:r w:rsidR="0028735B">
        <w:rPr>
          <w:noProof/>
        </w:rPr>
        <w:t>9</w:t>
      </w:r>
      <w:r w:rsidR="007F0DEB">
        <w:rPr>
          <w:noProof/>
        </w:rPr>
        <w:fldChar w:fldCharType="end"/>
      </w:r>
    </w:p>
    <w:p w:rsidR="0010542D" w:rsidRDefault="0010542D">
      <w:pPr>
        <w:pStyle w:val="TOC2"/>
        <w:rPr>
          <w:rFonts w:asciiTheme="minorHAnsi" w:eastAsiaTheme="minorEastAsia" w:hAnsiTheme="minorHAnsi" w:cstheme="minorBidi"/>
          <w:b w:val="0"/>
          <w:noProof/>
          <w:color w:val="auto"/>
          <w:sz w:val="24"/>
          <w:szCs w:val="24"/>
          <w:lang w:eastAsia="ja-JP"/>
        </w:rPr>
      </w:pPr>
      <w:r>
        <w:rPr>
          <w:noProof/>
        </w:rPr>
        <w:t>Restraint – a special case?</w:t>
      </w:r>
      <w:r>
        <w:rPr>
          <w:noProof/>
        </w:rPr>
        <w:tab/>
      </w:r>
      <w:r w:rsidR="007F0DEB">
        <w:rPr>
          <w:noProof/>
        </w:rPr>
        <w:fldChar w:fldCharType="begin"/>
      </w:r>
      <w:r>
        <w:rPr>
          <w:noProof/>
        </w:rPr>
        <w:instrText xml:space="preserve"> PAGEREF _Toc333321353 \h </w:instrText>
      </w:r>
      <w:r w:rsidR="007F0DEB">
        <w:rPr>
          <w:noProof/>
        </w:rPr>
      </w:r>
      <w:r w:rsidR="007F0DEB">
        <w:rPr>
          <w:noProof/>
        </w:rPr>
        <w:fldChar w:fldCharType="separate"/>
      </w:r>
      <w:r w:rsidR="0028735B">
        <w:rPr>
          <w:noProof/>
        </w:rPr>
        <w:t>9</w:t>
      </w:r>
      <w:r w:rsidR="007F0DEB">
        <w:rPr>
          <w:noProof/>
        </w:rPr>
        <w:fldChar w:fldCharType="end"/>
      </w:r>
    </w:p>
    <w:p w:rsidR="0010542D" w:rsidRDefault="0010542D">
      <w:pPr>
        <w:pStyle w:val="TOC1"/>
        <w:tabs>
          <w:tab w:val="left" w:pos="629"/>
        </w:tabs>
        <w:rPr>
          <w:rFonts w:asciiTheme="minorHAnsi" w:eastAsiaTheme="minorEastAsia" w:hAnsiTheme="minorHAnsi" w:cstheme="minorBidi"/>
          <w:b w:val="0"/>
          <w:noProof/>
          <w:color w:val="auto"/>
          <w:sz w:val="24"/>
          <w:lang w:eastAsia="ja-JP"/>
        </w:rPr>
      </w:pPr>
      <w:r>
        <w:rPr>
          <w:noProof/>
        </w:rPr>
        <w:t>11.</w:t>
      </w:r>
      <w:r>
        <w:rPr>
          <w:rFonts w:asciiTheme="minorHAnsi" w:eastAsiaTheme="minorEastAsia" w:hAnsiTheme="minorHAnsi" w:cstheme="minorBidi"/>
          <w:b w:val="0"/>
          <w:noProof/>
          <w:color w:val="auto"/>
          <w:sz w:val="24"/>
          <w:lang w:eastAsia="ja-JP"/>
        </w:rPr>
        <w:tab/>
      </w:r>
      <w:r>
        <w:rPr>
          <w:noProof/>
        </w:rPr>
        <w:t>Consumer Claims – Limits on claims</w:t>
      </w:r>
      <w:r>
        <w:rPr>
          <w:noProof/>
        </w:rPr>
        <w:tab/>
      </w:r>
      <w:r w:rsidR="007F0DEB">
        <w:rPr>
          <w:noProof/>
        </w:rPr>
        <w:fldChar w:fldCharType="begin"/>
      </w:r>
      <w:r>
        <w:rPr>
          <w:noProof/>
        </w:rPr>
        <w:instrText xml:space="preserve"> PAGEREF _Toc333321354 \h </w:instrText>
      </w:r>
      <w:r w:rsidR="007F0DEB">
        <w:rPr>
          <w:noProof/>
        </w:rPr>
      </w:r>
      <w:r w:rsidR="007F0DEB">
        <w:rPr>
          <w:noProof/>
        </w:rPr>
        <w:fldChar w:fldCharType="separate"/>
      </w:r>
      <w:r w:rsidR="0028735B">
        <w:rPr>
          <w:noProof/>
        </w:rPr>
        <w:t>10</w:t>
      </w:r>
      <w:r w:rsidR="007F0DEB">
        <w:rPr>
          <w:noProof/>
        </w:rPr>
        <w:fldChar w:fldCharType="end"/>
      </w:r>
    </w:p>
    <w:p w:rsidR="0010542D" w:rsidRDefault="0010542D">
      <w:pPr>
        <w:pStyle w:val="TOC2"/>
        <w:rPr>
          <w:rFonts w:asciiTheme="minorHAnsi" w:eastAsiaTheme="minorEastAsia" w:hAnsiTheme="minorHAnsi" w:cstheme="minorBidi"/>
          <w:b w:val="0"/>
          <w:noProof/>
          <w:color w:val="auto"/>
          <w:sz w:val="24"/>
          <w:szCs w:val="24"/>
          <w:lang w:eastAsia="ja-JP"/>
        </w:rPr>
      </w:pPr>
      <w:r>
        <w:rPr>
          <w:noProof/>
        </w:rPr>
        <w:t>Potential Remedies</w:t>
      </w:r>
      <w:r>
        <w:rPr>
          <w:noProof/>
        </w:rPr>
        <w:tab/>
      </w:r>
      <w:r w:rsidR="007F0DEB">
        <w:rPr>
          <w:noProof/>
        </w:rPr>
        <w:fldChar w:fldCharType="begin"/>
      </w:r>
      <w:r>
        <w:rPr>
          <w:noProof/>
        </w:rPr>
        <w:instrText xml:space="preserve"> PAGEREF _Toc333321355 \h </w:instrText>
      </w:r>
      <w:r w:rsidR="007F0DEB">
        <w:rPr>
          <w:noProof/>
        </w:rPr>
      </w:r>
      <w:r w:rsidR="007F0DEB">
        <w:rPr>
          <w:noProof/>
        </w:rPr>
        <w:fldChar w:fldCharType="separate"/>
      </w:r>
      <w:r w:rsidR="0028735B">
        <w:rPr>
          <w:noProof/>
        </w:rPr>
        <w:t>10</w:t>
      </w:r>
      <w:r w:rsidR="007F0DEB">
        <w:rPr>
          <w:noProof/>
        </w:rPr>
        <w:fldChar w:fldCharType="end"/>
      </w:r>
    </w:p>
    <w:p w:rsidR="0010542D" w:rsidRDefault="0010542D">
      <w:pPr>
        <w:pStyle w:val="TOC2"/>
        <w:rPr>
          <w:rFonts w:asciiTheme="minorHAnsi" w:eastAsiaTheme="minorEastAsia" w:hAnsiTheme="minorHAnsi" w:cstheme="minorBidi"/>
          <w:b w:val="0"/>
          <w:noProof/>
          <w:color w:val="auto"/>
          <w:sz w:val="24"/>
          <w:szCs w:val="24"/>
          <w:lang w:eastAsia="ja-JP"/>
        </w:rPr>
      </w:pPr>
      <w:r>
        <w:rPr>
          <w:noProof/>
        </w:rPr>
        <w:t>Money Damages</w:t>
      </w:r>
      <w:r>
        <w:rPr>
          <w:noProof/>
        </w:rPr>
        <w:tab/>
      </w:r>
      <w:r w:rsidR="007F0DEB">
        <w:rPr>
          <w:noProof/>
        </w:rPr>
        <w:fldChar w:fldCharType="begin"/>
      </w:r>
      <w:r>
        <w:rPr>
          <w:noProof/>
        </w:rPr>
        <w:instrText xml:space="preserve"> PAGEREF _Toc333321356 \h </w:instrText>
      </w:r>
      <w:r w:rsidR="007F0DEB">
        <w:rPr>
          <w:noProof/>
        </w:rPr>
      </w:r>
      <w:r w:rsidR="007F0DEB">
        <w:rPr>
          <w:noProof/>
        </w:rPr>
        <w:fldChar w:fldCharType="separate"/>
      </w:r>
      <w:r w:rsidR="0028735B">
        <w:rPr>
          <w:noProof/>
        </w:rPr>
        <w:t>10</w:t>
      </w:r>
      <w:r w:rsidR="007F0DEB">
        <w:rPr>
          <w:noProof/>
        </w:rPr>
        <w:fldChar w:fldCharType="end"/>
      </w:r>
    </w:p>
    <w:p w:rsidR="0010542D" w:rsidRDefault="0010542D">
      <w:pPr>
        <w:pStyle w:val="TOC1"/>
        <w:tabs>
          <w:tab w:val="left" w:pos="629"/>
        </w:tabs>
        <w:rPr>
          <w:rFonts w:asciiTheme="minorHAnsi" w:eastAsiaTheme="minorEastAsia" w:hAnsiTheme="minorHAnsi" w:cstheme="minorBidi"/>
          <w:b w:val="0"/>
          <w:noProof/>
          <w:color w:val="auto"/>
          <w:sz w:val="24"/>
          <w:lang w:eastAsia="ja-JP"/>
        </w:rPr>
      </w:pPr>
      <w:r>
        <w:rPr>
          <w:noProof/>
        </w:rPr>
        <w:t>12.</w:t>
      </w:r>
      <w:r>
        <w:rPr>
          <w:rFonts w:asciiTheme="minorHAnsi" w:eastAsiaTheme="minorEastAsia" w:hAnsiTheme="minorHAnsi" w:cstheme="minorBidi"/>
          <w:b w:val="0"/>
          <w:noProof/>
          <w:color w:val="auto"/>
          <w:sz w:val="24"/>
          <w:lang w:eastAsia="ja-JP"/>
        </w:rPr>
        <w:tab/>
      </w:r>
      <w:r>
        <w:rPr>
          <w:noProof/>
        </w:rPr>
        <w:t>Are claims for unlawful restraint available?</w:t>
      </w:r>
      <w:r>
        <w:rPr>
          <w:noProof/>
        </w:rPr>
        <w:tab/>
      </w:r>
      <w:r w:rsidR="007F0DEB">
        <w:rPr>
          <w:noProof/>
        </w:rPr>
        <w:fldChar w:fldCharType="begin"/>
      </w:r>
      <w:r>
        <w:rPr>
          <w:noProof/>
        </w:rPr>
        <w:instrText xml:space="preserve"> PAGEREF _Toc333321357 \h </w:instrText>
      </w:r>
      <w:r w:rsidR="007F0DEB">
        <w:rPr>
          <w:noProof/>
        </w:rPr>
      </w:r>
      <w:r w:rsidR="007F0DEB">
        <w:rPr>
          <w:noProof/>
        </w:rPr>
        <w:fldChar w:fldCharType="separate"/>
      </w:r>
      <w:r w:rsidR="0028735B">
        <w:rPr>
          <w:noProof/>
        </w:rPr>
        <w:t>11</w:t>
      </w:r>
      <w:r w:rsidR="007F0DEB">
        <w:rPr>
          <w:noProof/>
        </w:rPr>
        <w:fldChar w:fldCharType="end"/>
      </w:r>
    </w:p>
    <w:p w:rsidR="009E147D" w:rsidRDefault="007F0DEB" w:rsidP="009E147D">
      <w:r>
        <w:fldChar w:fldCharType="end"/>
      </w:r>
    </w:p>
    <w:p w:rsidR="009A2970" w:rsidRPr="009E147D" w:rsidRDefault="009A2970" w:rsidP="00A46BDF">
      <w:pPr>
        <w:pStyle w:val="subsection"/>
        <w:jc w:val="both"/>
        <w:rPr>
          <w:rFonts w:ascii="Cambria" w:hAnsi="Cambria"/>
          <w:b/>
          <w:sz w:val="22"/>
          <w:szCs w:val="22"/>
        </w:rPr>
      </w:pPr>
    </w:p>
    <w:p w:rsidR="009E147D" w:rsidRDefault="009E147D">
      <w:pPr>
        <w:spacing w:after="200" w:line="276" w:lineRule="auto"/>
        <w:rPr>
          <w:rFonts w:asciiTheme="majorHAnsi" w:eastAsiaTheme="majorEastAsia" w:hAnsiTheme="majorHAnsi" w:cstheme="majorBidi"/>
          <w:b/>
          <w:bCs/>
          <w:color w:val="345A8A" w:themeColor="accent1" w:themeShade="B5"/>
          <w:sz w:val="32"/>
          <w:szCs w:val="32"/>
        </w:rPr>
      </w:pPr>
      <w:r>
        <w:br w:type="page"/>
      </w:r>
    </w:p>
    <w:p w:rsidR="002C6D2C" w:rsidRPr="009E147D" w:rsidRDefault="002C6D2C" w:rsidP="002C6D2C">
      <w:pPr>
        <w:pStyle w:val="Heading1"/>
      </w:pPr>
      <w:bookmarkStart w:id="0" w:name="_Toc333321343"/>
      <w:r w:rsidRPr="009E147D">
        <w:lastRenderedPageBreak/>
        <w:t>Introduction</w:t>
      </w:r>
      <w:bookmarkEnd w:id="0"/>
    </w:p>
    <w:p w:rsidR="002C6D2C" w:rsidRPr="009E147D" w:rsidRDefault="002C6D2C" w:rsidP="009F3745">
      <w:r w:rsidRPr="009E147D">
        <w:t xml:space="preserve">This submission is made in response to call for submissions by the ALRC on the subject of Elder Abuse. This paper was originally prepared for the review of the Australian Consumer Law [ACL] </w:t>
      </w:r>
      <w:r w:rsidRPr="009E147D">
        <w:rPr>
          <w:rStyle w:val="Emphasis"/>
          <w:rFonts w:cs="Helvetica"/>
          <w:i w:val="0"/>
          <w:color w:val="333333"/>
          <w:shd w:val="clear" w:color="auto" w:fill="FFFFFF"/>
        </w:rPr>
        <w:t>by the Commonwealth Treasury in early 2016.</w:t>
      </w:r>
    </w:p>
    <w:p w:rsidR="002C6D2C" w:rsidRPr="009E147D" w:rsidRDefault="002C6D2C" w:rsidP="009F3745">
      <w:r w:rsidRPr="009E147D">
        <w:t xml:space="preserve">This submission approaches elder abuse from the viewpoint of a resident who is either in a residential aged care facility [RACF] or is receiving or will receive home care services, provided under the auspices of the </w:t>
      </w:r>
      <w:r w:rsidRPr="002C6D2C">
        <w:rPr>
          <w:i/>
        </w:rPr>
        <w:t xml:space="preserve">Aged Care Act </w:t>
      </w:r>
      <w:r w:rsidRPr="002C6D2C">
        <w:t>1997</w:t>
      </w:r>
      <w:r w:rsidRPr="009E147D">
        <w:t xml:space="preserve">. Such persons are often “most vulnerable” or at greatest disadvantage.  They are often frail, infirm, aged and have disabilities. They are in need of protection, and as consumers of services, need to be heard in the Review as to their special needs. </w:t>
      </w:r>
    </w:p>
    <w:p w:rsidR="002C6D2C" w:rsidRPr="009E147D" w:rsidRDefault="002C6D2C" w:rsidP="009F3745">
      <w:r w:rsidRPr="009E147D">
        <w:t xml:space="preserve">As this submission seeks to show, those in aged care who are seriously affected as an outcome of a shortfall in the quality of the services they receive in a RACF, need more than just access to a complaints system which usually only offers relief for systemic issues affecting a group of residents or for less serious care delivery failures. </w:t>
      </w:r>
    </w:p>
    <w:p w:rsidR="002C6D2C" w:rsidRPr="009E147D" w:rsidRDefault="002C6D2C" w:rsidP="009F3745">
      <w:r w:rsidRPr="009E147D">
        <w:t>Compare for example, at the lower end, issues such as noise or poor food quality [although serious when it affects long term nutrition needs] with more serious situations such as a consumer who has suffered pressure sores and develops serious infection and long-term disability of the affected limb. The latter is not easily susceptible to resolution by mediation or conciliation, yet that is all the Aged Care Complaints Commissioner can offer to the individual complainant.</w:t>
      </w:r>
    </w:p>
    <w:p w:rsidR="002C6D2C" w:rsidRPr="009E147D" w:rsidRDefault="002C6D2C" w:rsidP="009F3745">
      <w:r w:rsidRPr="009E147D">
        <w:t xml:space="preserve">This submission seeks to emphasise and urge the need for:  </w:t>
      </w:r>
    </w:p>
    <w:p w:rsidR="002C6D2C" w:rsidRPr="009E147D" w:rsidRDefault="002C6D2C" w:rsidP="002C6D2C">
      <w:pPr>
        <w:pStyle w:val="ListParagraph"/>
        <w:numPr>
          <w:ilvl w:val="0"/>
          <w:numId w:val="19"/>
        </w:numPr>
        <w:jc w:val="both"/>
      </w:pPr>
      <w:r w:rsidRPr="009E147D">
        <w:t xml:space="preserve">a variety of remedies and offences in the </w:t>
      </w:r>
      <w:r w:rsidRPr="009E147D">
        <w:rPr>
          <w:rStyle w:val="Emphasis"/>
          <w:rFonts w:cs="Helvetica"/>
          <w:color w:val="333333"/>
          <w:shd w:val="clear" w:color="auto" w:fill="FFFFFF"/>
        </w:rPr>
        <w:t>Australian Consumer Law</w:t>
      </w:r>
      <w:r w:rsidRPr="009E147D" w:rsidDel="0068225D">
        <w:t xml:space="preserve"> </w:t>
      </w:r>
      <w:r w:rsidRPr="009E147D">
        <w:t>to ensure flexibility and proportionality in enforcement</w:t>
      </w:r>
    </w:p>
    <w:p w:rsidR="002C6D2C" w:rsidRPr="009E147D" w:rsidRDefault="002C6D2C" w:rsidP="002C6D2C">
      <w:pPr>
        <w:pStyle w:val="ListParagraph"/>
        <w:numPr>
          <w:ilvl w:val="0"/>
          <w:numId w:val="19"/>
        </w:numPr>
        <w:jc w:val="both"/>
      </w:pPr>
      <w:r w:rsidRPr="009E147D">
        <w:t xml:space="preserve">a range of consumer focussed non-punitive measures aimed at rectifying the harm caused to an individual </w:t>
      </w:r>
    </w:p>
    <w:p w:rsidR="002C6D2C" w:rsidRPr="009E147D" w:rsidRDefault="002C6D2C" w:rsidP="002C6D2C">
      <w:pPr>
        <w:pStyle w:val="ListParagraph"/>
        <w:numPr>
          <w:ilvl w:val="0"/>
          <w:numId w:val="19"/>
        </w:numPr>
        <w:spacing w:after="160" w:line="259" w:lineRule="auto"/>
        <w:jc w:val="both"/>
      </w:pPr>
      <w:r w:rsidRPr="009E147D">
        <w:t xml:space="preserve">effective access to remedies for aged consumers </w:t>
      </w:r>
    </w:p>
    <w:p w:rsidR="002C6D2C" w:rsidRPr="009E147D" w:rsidRDefault="002C6D2C" w:rsidP="009F3745">
      <w:proofErr w:type="gramStart"/>
      <w:r w:rsidRPr="009E147D">
        <w:t>and</w:t>
      </w:r>
      <w:proofErr w:type="gramEnd"/>
      <w:r w:rsidRPr="009E147D">
        <w:t xml:space="preserve"> these are matters which it is submitted are desirable objectives [see page 36, Review discussion paper] not only for regulators, but also for private enforcement.</w:t>
      </w:r>
    </w:p>
    <w:p w:rsidR="005D35A8" w:rsidRPr="009E147D" w:rsidRDefault="005D35A8" w:rsidP="002C6D2C">
      <w:pPr>
        <w:pStyle w:val="Heading1"/>
      </w:pPr>
      <w:bookmarkStart w:id="1" w:name="_Toc333321344"/>
      <w:r w:rsidRPr="009E147D">
        <w:t>Aged Care residents are also consumers</w:t>
      </w:r>
      <w:bookmarkEnd w:id="1"/>
    </w:p>
    <w:p w:rsidR="005D35A8" w:rsidRPr="009E147D" w:rsidRDefault="005D35A8" w:rsidP="009F3745">
      <w:r w:rsidRPr="009E147D">
        <w:t xml:space="preserve">Although significant resources are devoted to dealing with complaints by residents and their families and representatives under the aged care system in Australia, it is undeniable that very many of those complaints, even though a minority, are unable to be resolved under the Commonwealth scheme. </w:t>
      </w:r>
      <w:r w:rsidR="004460FA" w:rsidRPr="009E147D">
        <w:t xml:space="preserve"> </w:t>
      </w:r>
      <w:r w:rsidRPr="009E147D">
        <w:t xml:space="preserve">That is because the </w:t>
      </w:r>
      <w:r w:rsidR="004460FA" w:rsidRPr="009E147D">
        <w:t xml:space="preserve">Complaints Scheme </w:t>
      </w:r>
      <w:r w:rsidRPr="009E147D">
        <w:t xml:space="preserve">deals with systemic failure and is not capable of dealing satisfactorily with serious claims of service failure </w:t>
      </w:r>
      <w:r w:rsidR="00A73F10" w:rsidRPr="009E147D">
        <w:t xml:space="preserve">affecting individuals </w:t>
      </w:r>
      <w:r w:rsidRPr="009E147D">
        <w:t xml:space="preserve">and </w:t>
      </w:r>
      <w:r w:rsidR="00A73F10" w:rsidRPr="009E147D">
        <w:t>care shortfalls</w:t>
      </w:r>
      <w:r w:rsidRPr="009E147D">
        <w:t xml:space="preserve"> leading to trauma and injury.  The </w:t>
      </w:r>
      <w:r w:rsidR="00556CDA" w:rsidRPr="009E147D">
        <w:t xml:space="preserve">present </w:t>
      </w:r>
      <w:r w:rsidR="00A73F10" w:rsidRPr="009E147D">
        <w:t>legal</w:t>
      </w:r>
      <w:r w:rsidRPr="009E147D">
        <w:t xml:space="preserve"> remedies for those kinds of issues are to be found in the ordinary common law courts around Australia. These are the Local and District courts and in very serious cases, the Supreme Courts of the States and Territories. </w:t>
      </w:r>
    </w:p>
    <w:p w:rsidR="00556CDA" w:rsidRPr="009E147D" w:rsidRDefault="005D35A8" w:rsidP="009F3745">
      <w:r w:rsidRPr="009E147D">
        <w:t>However</w:t>
      </w:r>
      <w:r w:rsidR="00A73F10" w:rsidRPr="009E147D">
        <w:t>,</w:t>
      </w:r>
      <w:r w:rsidRPr="009E147D">
        <w:t xml:space="preserve"> to bring a claim in a court of law is to take significant risks especially regarding </w:t>
      </w:r>
      <w:r w:rsidR="004460FA" w:rsidRPr="009E147D">
        <w:t xml:space="preserve">the cost of prosecuting the claim against a defendant with “deep pockets”, and the potential </w:t>
      </w:r>
      <w:r w:rsidRPr="009E147D">
        <w:t>liability for legal costs in the event of a</w:t>
      </w:r>
      <w:r w:rsidR="004460FA" w:rsidRPr="009E147D">
        <w:t xml:space="preserve">n unsuccessful </w:t>
      </w:r>
      <w:r w:rsidRPr="009E147D">
        <w:t>claim.</w:t>
      </w:r>
      <w:r w:rsidR="004460FA" w:rsidRPr="009E147D">
        <w:t xml:space="preserve"> </w:t>
      </w:r>
      <w:r w:rsidRPr="009E147D">
        <w:t xml:space="preserve"> There are almost no claims discoverable in the decided case databases which refer to claims by residents for serious harm arising from poor care delivery service in an Australian </w:t>
      </w:r>
      <w:r w:rsidR="004460FA" w:rsidRPr="009E147D">
        <w:t>RACF</w:t>
      </w:r>
      <w:r w:rsidRPr="009E147D">
        <w:t>.   That may be due in part to the risk of taking the claim to a h</w:t>
      </w:r>
      <w:r w:rsidR="00A73F10" w:rsidRPr="009E147D">
        <w:t>earing with its consequent risk of liability for costs</w:t>
      </w:r>
      <w:r w:rsidR="004460FA" w:rsidRPr="009E147D">
        <w:t xml:space="preserve"> i</w:t>
      </w:r>
      <w:r w:rsidR="00A73F10" w:rsidRPr="009E147D">
        <w:t xml:space="preserve">n the event of an adverse decision. </w:t>
      </w:r>
      <w:r w:rsidR="004460FA" w:rsidRPr="009E147D">
        <w:t xml:space="preserve"> </w:t>
      </w:r>
    </w:p>
    <w:p w:rsidR="00A73F10" w:rsidRPr="009E147D" w:rsidRDefault="00A73F10" w:rsidP="009F3745">
      <w:r w:rsidRPr="009E147D">
        <w:lastRenderedPageBreak/>
        <w:t>On the other hand, in New South Wales, there is the requirement for the just, quick and cheap resolution of disputes [s</w:t>
      </w:r>
      <w:r w:rsidR="004460FA" w:rsidRPr="009E147D">
        <w:t>.</w:t>
      </w:r>
      <w:r w:rsidRPr="009E147D">
        <w:t xml:space="preserve">36, </w:t>
      </w:r>
      <w:r w:rsidRPr="009E147D">
        <w:rPr>
          <w:i/>
        </w:rPr>
        <w:t>Civil and Administrative Tribunal Act</w:t>
      </w:r>
      <w:r w:rsidRPr="009E147D">
        <w:t xml:space="preserve"> 2013] which gives some hope to potential litigants that they may avoid the formality which attends claims in the civil law courts</w:t>
      </w:r>
      <w:r w:rsidR="004460FA" w:rsidRPr="009E147D">
        <w:t>,</w:t>
      </w:r>
      <w:r w:rsidRPr="009E147D">
        <w:t xml:space="preserve"> and the intimidation which liability for very significant costs orders presents. </w:t>
      </w:r>
      <w:r w:rsidR="004460FA" w:rsidRPr="009E147D">
        <w:t xml:space="preserve"> </w:t>
      </w:r>
      <w:r w:rsidRPr="009E147D">
        <w:t xml:space="preserve">The award of costs in the New South Wales Civil and Administrative Tribunal </w:t>
      </w:r>
      <w:r w:rsidR="00A443C9" w:rsidRPr="009E147D">
        <w:t xml:space="preserve">[NCAT] </w:t>
      </w:r>
      <w:r w:rsidRPr="009E147D">
        <w:t xml:space="preserve">is dealt with by s.60 of the Act and requires that the Tribunal be satisfied that there are special circumstances warranting an award for costs. </w:t>
      </w:r>
      <w:r w:rsidR="00A443C9" w:rsidRPr="009E147D">
        <w:t xml:space="preserve"> For that reason, a</w:t>
      </w:r>
      <w:r w:rsidRPr="009E147D">
        <w:t>s consumers</w:t>
      </w:r>
      <w:r w:rsidR="004A7E3F" w:rsidRPr="009E147D">
        <w:t>,</w:t>
      </w:r>
      <w:r w:rsidRPr="009E147D">
        <w:t xml:space="preserve"> aged care residents might reasonably expect the threshold for the awarding of adverse costs orders by the Tribunal to be higher than in the ordinary courts. </w:t>
      </w:r>
    </w:p>
    <w:p w:rsidR="005D35A8" w:rsidRPr="009E147D" w:rsidRDefault="00A443C9" w:rsidP="009F3745">
      <w:r w:rsidRPr="009E147D">
        <w:t xml:space="preserve">It is submitted that the very last thing </w:t>
      </w:r>
      <w:r w:rsidR="00A73F10" w:rsidRPr="009E147D">
        <w:t>a person who is a resident in an RACF would want to do is to engage in litigation with their aged care provider, upon whom they are completely dependent for care.</w:t>
      </w:r>
      <w:r w:rsidRPr="009E147D">
        <w:t xml:space="preserve">  This is in addition to any risk of adverse costs decisions such litigation would bring.</w:t>
      </w:r>
    </w:p>
    <w:p w:rsidR="005D35A8" w:rsidRPr="009E147D" w:rsidRDefault="00A207B7" w:rsidP="009F3745">
      <w:r w:rsidRPr="009E147D">
        <w:t xml:space="preserve">If </w:t>
      </w:r>
      <w:r w:rsidR="005D35A8" w:rsidRPr="009E147D">
        <w:t>claims can be brought in the various consumer claims tribunals around the country, relying upon the service guarantees</w:t>
      </w:r>
      <w:r w:rsidRPr="009E147D">
        <w:t xml:space="preserve"> now found in the </w:t>
      </w:r>
      <w:r w:rsidRPr="009E147D">
        <w:rPr>
          <w:i/>
        </w:rPr>
        <w:t>Australian Consumer Law</w:t>
      </w:r>
      <w:r w:rsidR="0068225D" w:rsidRPr="009E147D">
        <w:t xml:space="preserve"> [ACL], </w:t>
      </w:r>
      <w:r w:rsidRPr="009E147D">
        <w:t xml:space="preserve">it may be that a new era of empowerment </w:t>
      </w:r>
      <w:r w:rsidR="00A73F10" w:rsidRPr="009E147D">
        <w:t xml:space="preserve">and restorative justice </w:t>
      </w:r>
      <w:r w:rsidR="00556CDA" w:rsidRPr="009E147D">
        <w:t xml:space="preserve">may arrive, </w:t>
      </w:r>
      <w:r w:rsidRPr="009E147D">
        <w:t xml:space="preserve">to the advantage of aged care residents and others who receive aged care services at home. </w:t>
      </w:r>
    </w:p>
    <w:p w:rsidR="00A207B7" w:rsidRPr="009E147D" w:rsidRDefault="00A207B7" w:rsidP="009F3745">
      <w:r w:rsidRPr="009E147D">
        <w:t xml:space="preserve">The object of this </w:t>
      </w:r>
      <w:r w:rsidR="00A443C9" w:rsidRPr="009E147D">
        <w:t xml:space="preserve">submission </w:t>
      </w:r>
      <w:r w:rsidRPr="009E147D">
        <w:t xml:space="preserve">is to </w:t>
      </w:r>
      <w:r w:rsidR="00A443C9" w:rsidRPr="009E147D">
        <w:t>highlight a</w:t>
      </w:r>
      <w:r w:rsidRPr="009E147D">
        <w:t xml:space="preserve"> more satisfactory pathway for the resolution of </w:t>
      </w:r>
      <w:r w:rsidR="00A443C9" w:rsidRPr="009E147D">
        <w:t xml:space="preserve">these </w:t>
      </w:r>
      <w:r w:rsidRPr="009E147D">
        <w:t>complaints.</w:t>
      </w:r>
      <w:r w:rsidR="00A443C9" w:rsidRPr="009E147D">
        <w:t xml:space="preserve"> </w:t>
      </w:r>
      <w:r w:rsidR="00A73F10" w:rsidRPr="009E147D">
        <w:t xml:space="preserve"> However, there needs to be law reform with an outcome better tailored to meet the special needs of these vulnerable consumers.</w:t>
      </w:r>
    </w:p>
    <w:p w:rsidR="00A207B7" w:rsidRPr="009E147D" w:rsidRDefault="00A207B7" w:rsidP="009F3745">
      <w:r w:rsidRPr="009E147D">
        <w:t xml:space="preserve">Consumer claims tribunals are no ‘El Dorado’ for claimants because limits are placed on claims. However, the prospect of making claims </w:t>
      </w:r>
      <w:r w:rsidR="00A443C9" w:rsidRPr="009E147D">
        <w:t xml:space="preserve">could </w:t>
      </w:r>
      <w:r w:rsidRPr="009E147D">
        <w:t>become far less daunting</w:t>
      </w:r>
      <w:r w:rsidR="00A443C9" w:rsidRPr="009E147D">
        <w:t>,</w:t>
      </w:r>
      <w:r w:rsidRPr="009E147D">
        <w:t xml:space="preserve"> and in addition</w:t>
      </w:r>
      <w:r w:rsidR="00A443C9" w:rsidRPr="009E147D">
        <w:t xml:space="preserve"> it</w:t>
      </w:r>
      <w:r w:rsidRPr="009E147D">
        <w:t xml:space="preserve"> may provide some leverage in </w:t>
      </w:r>
      <w:r w:rsidR="00A443C9" w:rsidRPr="009E147D">
        <w:t>respect of the</w:t>
      </w:r>
      <w:r w:rsidRPr="009E147D">
        <w:t xml:space="preserve"> claims provisions which must be offered to all aged care </w:t>
      </w:r>
      <w:r w:rsidR="00A443C9" w:rsidRPr="009E147D">
        <w:t>consumers in their residential care contracts</w:t>
      </w:r>
      <w:r w:rsidRPr="009E147D">
        <w:t xml:space="preserve">.  </w:t>
      </w:r>
    </w:p>
    <w:p w:rsidR="00116983" w:rsidRPr="009E147D" w:rsidRDefault="00116983" w:rsidP="002C6D2C">
      <w:pPr>
        <w:pStyle w:val="Heading1"/>
      </w:pPr>
      <w:bookmarkStart w:id="2" w:name="_Toc333321345"/>
      <w:r w:rsidRPr="009E147D">
        <w:t xml:space="preserve">The </w:t>
      </w:r>
      <w:r w:rsidRPr="002C6D2C">
        <w:rPr>
          <w:i/>
        </w:rPr>
        <w:t>Aged Care Act</w:t>
      </w:r>
      <w:r w:rsidRPr="009E147D">
        <w:t xml:space="preserve"> </w:t>
      </w:r>
      <w:r w:rsidR="002C6D2C">
        <w:t>and</w:t>
      </w:r>
      <w:r w:rsidRPr="009E147D">
        <w:t xml:space="preserve"> its complaints scheme</w:t>
      </w:r>
      <w:bookmarkEnd w:id="2"/>
    </w:p>
    <w:p w:rsidR="007F2392" w:rsidRPr="009E147D" w:rsidRDefault="00506570" w:rsidP="009F3745">
      <w:r w:rsidRPr="009E147D">
        <w:t>T</w:t>
      </w:r>
      <w:r w:rsidR="007F2392" w:rsidRPr="009E147D">
        <w:t xml:space="preserve">he </w:t>
      </w:r>
      <w:r w:rsidR="007F2392" w:rsidRPr="009E147D">
        <w:rPr>
          <w:i/>
        </w:rPr>
        <w:t>Aged Care Act</w:t>
      </w:r>
      <w:r w:rsidR="007F2392" w:rsidRPr="009E147D">
        <w:t xml:space="preserve"> 1997 contain</w:t>
      </w:r>
      <w:r w:rsidR="002A08DC" w:rsidRPr="009E147D">
        <w:t>ed</w:t>
      </w:r>
      <w:r w:rsidR="007F2392" w:rsidRPr="009E147D">
        <w:t xml:space="preserve"> from its commencement provisions relating to the establishment of an elaborate complaints system. </w:t>
      </w:r>
      <w:r w:rsidR="00145FD0" w:rsidRPr="009E147D">
        <w:t xml:space="preserve"> </w:t>
      </w:r>
      <w:r w:rsidR="007F2392" w:rsidRPr="009E147D">
        <w:t>The legislation has always emphasised the need for complaints first to be taken to the Provider. The Departmental pamphlets, brochures and other communications have always contain</w:t>
      </w:r>
      <w:r w:rsidR="00145FD0" w:rsidRPr="009E147D">
        <w:t>ed</w:t>
      </w:r>
      <w:r w:rsidR="007F2392" w:rsidRPr="009E147D">
        <w:t xml:space="preserve"> that message</w:t>
      </w:r>
      <w:r w:rsidR="00145FD0" w:rsidRPr="009E147D">
        <w:t>,</w:t>
      </w:r>
      <w:r w:rsidR="007F2392" w:rsidRPr="009E147D">
        <w:t xml:space="preserve"> and that is an obviously logical and proper approach to the resolution of complaints. </w:t>
      </w:r>
      <w:r w:rsidR="00145FD0" w:rsidRPr="009E147D">
        <w:t xml:space="preserve"> </w:t>
      </w:r>
      <w:r w:rsidR="007F2392" w:rsidRPr="009E147D">
        <w:t xml:space="preserve">However, if there is no agreement between the parties themselves, namely the resident </w:t>
      </w:r>
      <w:r w:rsidR="00145FD0" w:rsidRPr="009E147D">
        <w:t>[</w:t>
      </w:r>
      <w:r w:rsidR="007F2392" w:rsidRPr="009E147D">
        <w:t>or more commonly</w:t>
      </w:r>
      <w:r w:rsidR="00145FD0" w:rsidRPr="009E147D">
        <w:t>,</w:t>
      </w:r>
      <w:r w:rsidR="007F2392" w:rsidRPr="009E147D">
        <w:t xml:space="preserve"> the </w:t>
      </w:r>
      <w:r w:rsidR="00145FD0" w:rsidRPr="009E147D">
        <w:t xml:space="preserve">resident’s </w:t>
      </w:r>
      <w:r w:rsidR="007F2392" w:rsidRPr="009E147D">
        <w:t>close family</w:t>
      </w:r>
      <w:r w:rsidR="00145FD0" w:rsidRPr="009E147D">
        <w:t xml:space="preserve">], then </w:t>
      </w:r>
      <w:r w:rsidR="007F2392" w:rsidRPr="009E147D">
        <w:t xml:space="preserve">a complaint should be made externally to the </w:t>
      </w:r>
      <w:r w:rsidR="002C6D2C" w:rsidRPr="00001863">
        <w:t>Aged Care Complaints Commissioner</w:t>
      </w:r>
      <w:r w:rsidR="007F2392" w:rsidRPr="009E147D">
        <w:t xml:space="preserve">. </w:t>
      </w:r>
      <w:r w:rsidR="00145FD0" w:rsidRPr="009E147D">
        <w:t xml:space="preserve"> We submit that </w:t>
      </w:r>
      <w:r w:rsidR="007F2392" w:rsidRPr="009E147D">
        <w:t xml:space="preserve">is the understanding that most people have </w:t>
      </w:r>
      <w:r w:rsidR="00145FD0" w:rsidRPr="009E147D">
        <w:t xml:space="preserve">- </w:t>
      </w:r>
      <w:r w:rsidR="007F2392" w:rsidRPr="009E147D">
        <w:t xml:space="preserve">either </w:t>
      </w:r>
      <w:r w:rsidR="00145FD0" w:rsidRPr="009E147D">
        <w:t xml:space="preserve">those </w:t>
      </w:r>
      <w:r w:rsidR="007F2392" w:rsidRPr="009E147D">
        <w:t>engaged by or receiv</w:t>
      </w:r>
      <w:r w:rsidR="00145FD0" w:rsidRPr="009E147D">
        <w:t>ing</w:t>
      </w:r>
      <w:r w:rsidR="007F2392" w:rsidRPr="009E147D">
        <w:t xml:space="preserve"> benefits under the </w:t>
      </w:r>
      <w:r w:rsidR="007F2392" w:rsidRPr="009E147D">
        <w:rPr>
          <w:i/>
        </w:rPr>
        <w:t>Aged Care Act</w:t>
      </w:r>
      <w:r w:rsidR="007F2392" w:rsidRPr="009E147D">
        <w:t xml:space="preserve"> 1997.</w:t>
      </w:r>
    </w:p>
    <w:p w:rsidR="007F2392" w:rsidRPr="009E147D" w:rsidRDefault="007F2392" w:rsidP="009F3745">
      <w:r w:rsidRPr="009E147D">
        <w:t xml:space="preserve">The </w:t>
      </w:r>
      <w:r w:rsidR="00145FD0" w:rsidRPr="009E147D">
        <w:t xml:space="preserve">Complaints Scheme </w:t>
      </w:r>
      <w:r w:rsidRPr="009E147D">
        <w:t xml:space="preserve">has had </w:t>
      </w:r>
      <w:r w:rsidR="00A73F10" w:rsidRPr="009E147D">
        <w:t>several</w:t>
      </w:r>
      <w:r w:rsidRPr="009E147D">
        <w:t xml:space="preserve"> iterations</w:t>
      </w:r>
      <w:r w:rsidR="00145FD0" w:rsidRPr="009E147D">
        <w:t xml:space="preserve">, evolving </w:t>
      </w:r>
      <w:r w:rsidRPr="009E147D">
        <w:t xml:space="preserve">to its present </w:t>
      </w:r>
      <w:r w:rsidR="00A73F10" w:rsidRPr="009E147D">
        <w:t>form</w:t>
      </w:r>
      <w:r w:rsidRPr="009E147D">
        <w:t xml:space="preserve"> as the </w:t>
      </w:r>
      <w:r w:rsidR="00A73F10" w:rsidRPr="009E147D">
        <w:t xml:space="preserve">scheme administered by the </w:t>
      </w:r>
      <w:r w:rsidRPr="009E147D">
        <w:t xml:space="preserve">Aged Care </w:t>
      </w:r>
      <w:r w:rsidR="00A73F10" w:rsidRPr="009E147D">
        <w:t>Complaints Commissioner</w:t>
      </w:r>
      <w:r w:rsidRPr="009E147D">
        <w:t xml:space="preserve">. </w:t>
      </w:r>
    </w:p>
    <w:p w:rsidR="007F2392" w:rsidRPr="009E147D" w:rsidRDefault="007F2392" w:rsidP="009F3745">
      <w:r w:rsidRPr="009E147D">
        <w:t xml:space="preserve">The </w:t>
      </w:r>
      <w:r w:rsidR="00145FD0" w:rsidRPr="009E147D">
        <w:t>C</w:t>
      </w:r>
      <w:r w:rsidRPr="009E147D">
        <w:t xml:space="preserve">omplaints </w:t>
      </w:r>
      <w:r w:rsidR="00145FD0" w:rsidRPr="009E147D">
        <w:t xml:space="preserve">Scheme </w:t>
      </w:r>
      <w:r w:rsidRPr="009E147D">
        <w:t xml:space="preserve">is established by the </w:t>
      </w:r>
      <w:r w:rsidRPr="009E147D">
        <w:rPr>
          <w:i/>
        </w:rPr>
        <w:t>Complaints Principles</w:t>
      </w:r>
      <w:r w:rsidR="002C6D2C">
        <w:rPr>
          <w:rStyle w:val="FootnoteReference"/>
          <w:i/>
        </w:rPr>
        <w:footnoteReference w:id="1"/>
      </w:r>
      <w:r w:rsidR="00145FD0" w:rsidRPr="009E147D">
        <w:t>,</w:t>
      </w:r>
      <w:r w:rsidRPr="009E147D">
        <w:t xml:space="preserve"> which are made as </w:t>
      </w:r>
      <w:r w:rsidR="00A73F10" w:rsidRPr="009E147D">
        <w:t xml:space="preserve">one of a number of such Principles as </w:t>
      </w:r>
      <w:r w:rsidRPr="009E147D">
        <w:t xml:space="preserve">statutory instruments under the </w:t>
      </w:r>
      <w:r w:rsidRPr="009E147D">
        <w:rPr>
          <w:i/>
        </w:rPr>
        <w:t xml:space="preserve">Aged Care Act </w:t>
      </w:r>
      <w:r w:rsidRPr="009E147D">
        <w:t xml:space="preserve">1997. </w:t>
      </w:r>
      <w:r w:rsidR="00145FD0" w:rsidRPr="009E147D">
        <w:t xml:space="preserve"> </w:t>
      </w:r>
      <w:r w:rsidRPr="009E147D">
        <w:t>The Sch</w:t>
      </w:r>
      <w:r w:rsidR="00A73F10" w:rsidRPr="009E147D">
        <w:t xml:space="preserve">eme is </w:t>
      </w:r>
      <w:r w:rsidR="00145FD0" w:rsidRPr="009E147D">
        <w:t>press</w:t>
      </w:r>
      <w:r w:rsidR="00A73F10" w:rsidRPr="009E147D">
        <w:t>ed upon intending residents</w:t>
      </w:r>
      <w:r w:rsidRPr="009E147D">
        <w:t xml:space="preserve"> and imposed upon Providers by the </w:t>
      </w:r>
      <w:r w:rsidRPr="009E147D">
        <w:rPr>
          <w:i/>
        </w:rPr>
        <w:t>User Rights Principles</w:t>
      </w:r>
      <w:r w:rsidR="002C6D2C">
        <w:rPr>
          <w:rStyle w:val="FootnoteReference"/>
          <w:i/>
        </w:rPr>
        <w:footnoteReference w:id="2"/>
      </w:r>
      <w:r w:rsidR="00145FD0" w:rsidRPr="009E147D">
        <w:t xml:space="preserve">, </w:t>
      </w:r>
      <w:r w:rsidRPr="009E147D">
        <w:t>which require that all residential care contracts must contain provision for the resolution of disputes.</w:t>
      </w:r>
    </w:p>
    <w:p w:rsidR="002C6D2C" w:rsidRDefault="002C6D2C">
      <w:pPr>
        <w:spacing w:after="200" w:line="276" w:lineRule="auto"/>
      </w:pPr>
      <w:r>
        <w:br w:type="page"/>
      </w:r>
    </w:p>
    <w:p w:rsidR="00437946" w:rsidRDefault="007F2392" w:rsidP="009F3745">
      <w:r w:rsidRPr="009E147D">
        <w:lastRenderedPageBreak/>
        <w:t xml:space="preserve">It has been this </w:t>
      </w:r>
      <w:r w:rsidR="000C6D4A" w:rsidRPr="009E147D">
        <w:t>writer’s</w:t>
      </w:r>
      <w:r w:rsidRPr="009E147D">
        <w:t xml:space="preserve"> invariable experience over more than </w:t>
      </w:r>
      <w:r w:rsidR="00A73F10" w:rsidRPr="009E147D">
        <w:t>15 years</w:t>
      </w:r>
      <w:r w:rsidRPr="009E147D">
        <w:t xml:space="preserve"> of </w:t>
      </w:r>
      <w:r w:rsidR="00A73F10" w:rsidRPr="009E147D">
        <w:t xml:space="preserve">legal </w:t>
      </w:r>
      <w:r w:rsidRPr="009E147D">
        <w:t xml:space="preserve">practice in this area that the combined effect of </w:t>
      </w:r>
      <w:r w:rsidR="00145FD0" w:rsidRPr="009E147D">
        <w:t xml:space="preserve">this </w:t>
      </w:r>
      <w:r w:rsidRPr="009E147D">
        <w:t>history</w:t>
      </w:r>
      <w:r w:rsidR="00145FD0" w:rsidRPr="009E147D">
        <w:t xml:space="preserve"> and </w:t>
      </w:r>
      <w:r w:rsidRPr="009E147D">
        <w:t>development</w:t>
      </w:r>
      <w:r w:rsidR="00145FD0" w:rsidRPr="009E147D">
        <w:t>,</w:t>
      </w:r>
      <w:r w:rsidRPr="009E147D">
        <w:t xml:space="preserve"> </w:t>
      </w:r>
      <w:r w:rsidR="00145FD0" w:rsidRPr="009E147D">
        <w:t xml:space="preserve">the deployment of </w:t>
      </w:r>
      <w:r w:rsidRPr="009E147D">
        <w:t>departmental resources</w:t>
      </w:r>
      <w:r w:rsidR="00145FD0" w:rsidRPr="009E147D">
        <w:t>,</w:t>
      </w:r>
      <w:r w:rsidRPr="009E147D">
        <w:t xml:space="preserve"> and the provisions of the </w:t>
      </w:r>
      <w:r w:rsidRPr="009E147D">
        <w:rPr>
          <w:i/>
        </w:rPr>
        <w:t>Aged Care Act</w:t>
      </w:r>
      <w:r w:rsidRPr="009E147D">
        <w:t xml:space="preserve"> </w:t>
      </w:r>
      <w:r w:rsidR="00A73F10" w:rsidRPr="009E147D">
        <w:t xml:space="preserve">itself, </w:t>
      </w:r>
      <w:r w:rsidRPr="009E147D">
        <w:t>have produced a mindset among Providers</w:t>
      </w:r>
      <w:r w:rsidR="00941B76" w:rsidRPr="009E147D">
        <w:t xml:space="preserve"> and </w:t>
      </w:r>
      <w:r w:rsidRPr="009E147D">
        <w:t>their staff</w:t>
      </w:r>
      <w:r w:rsidR="00941B76" w:rsidRPr="009E147D">
        <w:t xml:space="preserve"> as well as </w:t>
      </w:r>
      <w:r w:rsidRPr="009E147D">
        <w:t xml:space="preserve">residents and </w:t>
      </w:r>
      <w:r w:rsidR="00A73F10" w:rsidRPr="009E147D">
        <w:t xml:space="preserve">their </w:t>
      </w:r>
      <w:r w:rsidRPr="009E147D">
        <w:t xml:space="preserve">families, that if there is a problem with care delivery, the only </w:t>
      </w:r>
      <w:r w:rsidR="00A73F10" w:rsidRPr="009E147D">
        <w:t xml:space="preserve">and obvious </w:t>
      </w:r>
      <w:r w:rsidRPr="009E147D">
        <w:t xml:space="preserve">way to solve it is to </w:t>
      </w:r>
      <w:r w:rsidR="00A73F10" w:rsidRPr="009E147D">
        <w:t xml:space="preserve">make a </w:t>
      </w:r>
      <w:r w:rsidRPr="009E147D">
        <w:t>complain</w:t>
      </w:r>
      <w:r w:rsidR="00A73F10" w:rsidRPr="009E147D">
        <w:t xml:space="preserve">t. </w:t>
      </w:r>
      <w:r w:rsidR="00941B76" w:rsidRPr="009E147D">
        <w:t xml:space="preserve"> </w:t>
      </w:r>
    </w:p>
    <w:p w:rsidR="007F2392" w:rsidRPr="009E147D" w:rsidRDefault="00941B76" w:rsidP="009F3745">
      <w:r w:rsidRPr="009E147D">
        <w:t>Once made, c</w:t>
      </w:r>
      <w:r w:rsidR="007F2392" w:rsidRPr="009E147D">
        <w:t>omplaints are quickly put on the prescribed regulatory track</w:t>
      </w:r>
      <w:r w:rsidRPr="009E147D">
        <w:t>,</w:t>
      </w:r>
      <w:r w:rsidR="007F2392" w:rsidRPr="009E147D">
        <w:t xml:space="preserve"> and it may be many months before a decision is produced by the </w:t>
      </w:r>
      <w:r w:rsidR="00A73F10" w:rsidRPr="009E147D">
        <w:t xml:space="preserve">system. </w:t>
      </w:r>
      <w:r w:rsidRPr="009E147D">
        <w:t xml:space="preserve"> Such a result </w:t>
      </w:r>
      <w:r w:rsidR="00A73F10" w:rsidRPr="009E147D">
        <w:t xml:space="preserve">may be suitable for </w:t>
      </w:r>
      <w:r w:rsidRPr="009E147D">
        <w:t>a proportion of</w:t>
      </w:r>
      <w:r w:rsidR="00A73F10" w:rsidRPr="009E147D">
        <w:t xml:space="preserve"> complainants, but</w:t>
      </w:r>
      <w:r w:rsidRPr="009E147D">
        <w:t xml:space="preserve"> not,</w:t>
      </w:r>
      <w:r w:rsidR="00A73F10" w:rsidRPr="009E147D">
        <w:t xml:space="preserve"> it is submitted, for those with complaints at the serious end of the scale.</w:t>
      </w:r>
    </w:p>
    <w:p w:rsidR="007F2392" w:rsidRPr="009E147D" w:rsidRDefault="002A08DC" w:rsidP="009F3745">
      <w:r w:rsidRPr="009E147D">
        <w:t>I</w:t>
      </w:r>
      <w:r w:rsidR="007F2392" w:rsidRPr="009E147D">
        <w:t xml:space="preserve">n </w:t>
      </w:r>
      <w:r w:rsidR="00A73F10" w:rsidRPr="009E147D">
        <w:t xml:space="preserve">the years before the Aged Care </w:t>
      </w:r>
      <w:r w:rsidR="002C6D2C" w:rsidRPr="00001863">
        <w:t>Complaints</w:t>
      </w:r>
      <w:r w:rsidR="002C6D2C">
        <w:t xml:space="preserve"> </w:t>
      </w:r>
      <w:r w:rsidR="00A73F10" w:rsidRPr="009E147D">
        <w:t>Commissioner became responsible [</w:t>
      </w:r>
      <w:r w:rsidR="00941B76" w:rsidRPr="009E147D">
        <w:t>on</w:t>
      </w:r>
      <w:r w:rsidR="00A73F10" w:rsidRPr="009E147D">
        <w:t xml:space="preserve"> 1 January 2016]</w:t>
      </w:r>
      <w:r w:rsidR="00941B76" w:rsidRPr="009E147D">
        <w:t xml:space="preserve"> for resolving them,</w:t>
      </w:r>
      <w:r w:rsidR="00A73F10" w:rsidRPr="009E147D">
        <w:t xml:space="preserve"> thousands of </w:t>
      </w:r>
      <w:r w:rsidR="007F2392" w:rsidRPr="009E147D">
        <w:t xml:space="preserve">complaints </w:t>
      </w:r>
      <w:r w:rsidR="00941B76" w:rsidRPr="009E147D">
        <w:t>were</w:t>
      </w:r>
      <w:r w:rsidR="00A73F10" w:rsidRPr="009E147D">
        <w:t xml:space="preserve"> </w:t>
      </w:r>
      <w:r w:rsidR="007F2392" w:rsidRPr="009E147D">
        <w:t>handled by the Aged Care Complaints Sch</w:t>
      </w:r>
      <w:r w:rsidR="000C6D4A" w:rsidRPr="009E147D">
        <w:t xml:space="preserve">eme. </w:t>
      </w:r>
      <w:r w:rsidR="00941B76" w:rsidRPr="009E147D">
        <w:t xml:space="preserve"> </w:t>
      </w:r>
      <w:r w:rsidR="000C6D4A" w:rsidRPr="009E147D">
        <w:t xml:space="preserve">Many thousands of hours </w:t>
      </w:r>
      <w:r w:rsidR="00941B76" w:rsidRPr="009E147D">
        <w:t>were</w:t>
      </w:r>
      <w:r w:rsidR="007F2392" w:rsidRPr="009E147D">
        <w:t xml:space="preserve"> spent in information collection, enquiries, interview, assessment and decision-making by the people employed for the task of evaluation of complaints.</w:t>
      </w:r>
    </w:p>
    <w:p w:rsidR="007F2392" w:rsidRPr="009E147D" w:rsidRDefault="007F2392" w:rsidP="009F3745">
      <w:pPr>
        <w:rPr>
          <w:b/>
        </w:rPr>
      </w:pPr>
      <w:r w:rsidRPr="009E147D">
        <w:t>For those dissatisfied with t</w:t>
      </w:r>
      <w:r w:rsidR="00A73F10" w:rsidRPr="009E147D">
        <w:t>he complaints process there are</w:t>
      </w:r>
      <w:r w:rsidRPr="009E147D">
        <w:t xml:space="preserve"> decision reviews in the first instance, </w:t>
      </w:r>
      <w:r w:rsidR="00A73F10" w:rsidRPr="009E147D">
        <w:t>and then an appeal</w:t>
      </w:r>
      <w:r w:rsidRPr="009E147D">
        <w:t xml:space="preserve"> </w:t>
      </w:r>
      <w:r w:rsidR="00941B76" w:rsidRPr="009E147D">
        <w:t xml:space="preserve">lies </w:t>
      </w:r>
      <w:r w:rsidRPr="009E147D">
        <w:t>to the Commonwealth Ombudsman</w:t>
      </w:r>
      <w:r w:rsidR="00A73F10" w:rsidRPr="009E147D">
        <w:t>.</w:t>
      </w:r>
      <w:r w:rsidRPr="009E147D">
        <w:t xml:space="preserve"> </w:t>
      </w:r>
      <w:r w:rsidR="00941B76" w:rsidRPr="009E147D">
        <w:t xml:space="preserve"> </w:t>
      </w:r>
      <w:r w:rsidR="00A73F10" w:rsidRPr="009E147D">
        <w:t>It is interesting to note that none of the literature published by the Secretary of the Department [of Social Security] makes any mention of the possible alternative of seeking legal advice from a qualified practitioner.</w:t>
      </w:r>
      <w:r w:rsidR="00132B26" w:rsidRPr="009E147D">
        <w:t xml:space="preserve"> Moreover</w:t>
      </w:r>
      <w:r w:rsidR="00941B76" w:rsidRPr="009E147D">
        <w:t>,</w:t>
      </w:r>
      <w:r w:rsidR="00132B26" w:rsidRPr="009E147D">
        <w:t xml:space="preserve"> it appears that no appeals can be taken to the Commonwealth Administrative Appeals Tribunal from the Complaints Scheme (</w:t>
      </w:r>
      <w:r w:rsidR="00132B26" w:rsidRPr="009E147D">
        <w:rPr>
          <w:i/>
        </w:rPr>
        <w:t>Aged Care Act</w:t>
      </w:r>
      <w:r w:rsidR="00132B26" w:rsidRPr="009E147D">
        <w:t xml:space="preserve"> - </w:t>
      </w:r>
      <w:r w:rsidR="00941B76" w:rsidRPr="009E147D">
        <w:t xml:space="preserve">Section </w:t>
      </w:r>
      <w:proofErr w:type="gramStart"/>
      <w:r w:rsidR="00132B26" w:rsidRPr="009E147D">
        <w:t>85.1 )</w:t>
      </w:r>
      <w:proofErr w:type="gramEnd"/>
    </w:p>
    <w:p w:rsidR="007F2392" w:rsidRPr="009E147D" w:rsidRDefault="007F2392" w:rsidP="009F3745">
      <w:r w:rsidRPr="009E147D">
        <w:t xml:space="preserve">The </w:t>
      </w:r>
      <w:r w:rsidR="00A73F10" w:rsidRPr="009E147D">
        <w:t xml:space="preserve">manner in which </w:t>
      </w:r>
      <w:r w:rsidRPr="009E147D">
        <w:t xml:space="preserve">the Department maintains control </w:t>
      </w:r>
      <w:r w:rsidR="00A73F10" w:rsidRPr="009E147D">
        <w:t>of Provider</w:t>
      </w:r>
      <w:r w:rsidR="00B50487" w:rsidRPr="009E147D">
        <w:t>s’</w:t>
      </w:r>
      <w:r w:rsidR="00A73F10" w:rsidRPr="009E147D">
        <w:t xml:space="preserve"> conduct </w:t>
      </w:r>
      <w:r w:rsidRPr="009E147D">
        <w:t>is to be found in the ways in which recourse or rem</w:t>
      </w:r>
      <w:r w:rsidR="00A73F10" w:rsidRPr="009E147D">
        <w:t>edy may find expression in the complaints s</w:t>
      </w:r>
      <w:r w:rsidRPr="009E147D">
        <w:t>cheme. The "tools" for behaviour modif</w:t>
      </w:r>
      <w:r w:rsidR="00A73F10" w:rsidRPr="009E147D">
        <w:t>ication which can be de</w:t>
      </w:r>
      <w:r w:rsidRPr="009E147D">
        <w:t>ployed aga</w:t>
      </w:r>
      <w:r w:rsidR="00A73F10" w:rsidRPr="009E147D">
        <w:t xml:space="preserve">inst an Aged Care Provider are </w:t>
      </w:r>
      <w:r w:rsidRPr="009E147D">
        <w:t>sanctions</w:t>
      </w:r>
      <w:r w:rsidR="00A73F10" w:rsidRPr="009E147D">
        <w:t xml:space="preserve"> which are applied under the </w:t>
      </w:r>
      <w:r w:rsidR="00A73F10" w:rsidRPr="009E147D">
        <w:rPr>
          <w:i/>
        </w:rPr>
        <w:t>Sanctions Principles</w:t>
      </w:r>
      <w:r w:rsidR="00A73F10" w:rsidRPr="009E147D">
        <w:t xml:space="preserve"> 2014. The </w:t>
      </w:r>
      <w:r w:rsidR="00B50487" w:rsidRPr="009E147D">
        <w:t xml:space="preserve">Secretary </w:t>
      </w:r>
      <w:r w:rsidR="00A73F10" w:rsidRPr="009E147D">
        <w:t xml:space="preserve">of the Department must consider certain issues [see Division 67 </w:t>
      </w:r>
      <w:r w:rsidR="00A73F10" w:rsidRPr="009E147D">
        <w:rPr>
          <w:i/>
        </w:rPr>
        <w:t>Aged Care Act</w:t>
      </w:r>
      <w:r w:rsidR="00A73F10" w:rsidRPr="009E147D">
        <w:t xml:space="preserve"> 1997] including whether the non-compliance [for example</w:t>
      </w:r>
      <w:r w:rsidR="00B50487" w:rsidRPr="009E147D">
        <w:t>,</w:t>
      </w:r>
      <w:r w:rsidR="00A73F10" w:rsidRPr="009E147D">
        <w:t xml:space="preserve"> as reported by the Complaints Commissioner] is minor or serious</w:t>
      </w:r>
      <w:r w:rsidR="00B50487" w:rsidRPr="009E147D">
        <w:t>,</w:t>
      </w:r>
      <w:r w:rsidR="00A73F10" w:rsidRPr="009E147D">
        <w:t xml:space="preserve"> and whether the health</w:t>
      </w:r>
      <w:r w:rsidR="00B50487" w:rsidRPr="009E147D">
        <w:t>,</w:t>
      </w:r>
      <w:r w:rsidR="00A73F10" w:rsidRPr="009E147D">
        <w:t xml:space="preserve"> welfare or interests of the care recipient is threatened.</w:t>
      </w:r>
    </w:p>
    <w:p w:rsidR="000C6D4A" w:rsidRPr="009E147D" w:rsidRDefault="007F2392" w:rsidP="009F3745">
      <w:r w:rsidRPr="009E147D">
        <w:t>The process is therefore all about penalising the Provider</w:t>
      </w:r>
      <w:r w:rsidR="00B50487" w:rsidRPr="009E147D">
        <w:t>s</w:t>
      </w:r>
      <w:r w:rsidRPr="009E147D">
        <w:t xml:space="preserve"> </w:t>
      </w:r>
      <w:r w:rsidR="00A73F10" w:rsidRPr="009E147D">
        <w:t>[</w:t>
      </w:r>
      <w:r w:rsidR="00B50487" w:rsidRPr="009E147D">
        <w:t xml:space="preserve">with the </w:t>
      </w:r>
      <w:r w:rsidR="00A73F10" w:rsidRPr="009E147D">
        <w:t>ultimate</w:t>
      </w:r>
      <w:r w:rsidR="00B50487" w:rsidRPr="009E147D">
        <w:t xml:space="preserve"> sanction of</w:t>
      </w:r>
      <w:r w:rsidR="00A73F10" w:rsidRPr="009E147D">
        <w:t xml:space="preserve"> withdrawing approval as an </w:t>
      </w:r>
      <w:r w:rsidR="00B50487" w:rsidRPr="009E147D">
        <w:t>Aged Care Provider</w:t>
      </w:r>
      <w:r w:rsidR="00A73F10" w:rsidRPr="009E147D">
        <w:t xml:space="preserve">] </w:t>
      </w:r>
      <w:r w:rsidRPr="009E147D">
        <w:t xml:space="preserve">rather than </w:t>
      </w:r>
      <w:r w:rsidR="00A73F10" w:rsidRPr="009E147D">
        <w:t>remedial solutions for</w:t>
      </w:r>
      <w:r w:rsidRPr="009E147D">
        <w:t xml:space="preserve"> the resident </w:t>
      </w:r>
      <w:r w:rsidR="00B50487" w:rsidRPr="009E147D">
        <w:t xml:space="preserve">consumers </w:t>
      </w:r>
      <w:r w:rsidRPr="009E147D">
        <w:t xml:space="preserve">or focus upon </w:t>
      </w:r>
      <w:r w:rsidR="00B50487" w:rsidRPr="009E147D">
        <w:t xml:space="preserve">a </w:t>
      </w:r>
      <w:r w:rsidRPr="009E147D">
        <w:t xml:space="preserve">particular </w:t>
      </w:r>
      <w:r w:rsidR="00B50487" w:rsidRPr="009E147D">
        <w:t xml:space="preserve">consumer </w:t>
      </w:r>
      <w:r w:rsidRPr="009E147D">
        <w:t>and that person</w:t>
      </w:r>
      <w:r w:rsidR="000C6D4A" w:rsidRPr="009E147D">
        <w:t>’</w:t>
      </w:r>
      <w:r w:rsidRPr="009E147D">
        <w:t xml:space="preserve">s problems and possible </w:t>
      </w:r>
      <w:r w:rsidR="00B50487" w:rsidRPr="009E147D">
        <w:t>injuries</w:t>
      </w:r>
      <w:r w:rsidRPr="009E147D">
        <w:t>. In particular</w:t>
      </w:r>
      <w:r w:rsidR="00437946">
        <w:t>,</w:t>
      </w:r>
      <w:r w:rsidRPr="009E147D">
        <w:t xml:space="preserve"> the remedies for non-compliance make it clear that there are no circumstances in which a resident may receive compensation</w:t>
      </w:r>
      <w:r w:rsidR="00B50487" w:rsidRPr="009E147D">
        <w:t>;</w:t>
      </w:r>
      <w:r w:rsidRPr="009E147D">
        <w:t xml:space="preserve"> </w:t>
      </w:r>
      <w:r w:rsidR="000C6D4A" w:rsidRPr="009E147D">
        <w:t>only</w:t>
      </w:r>
      <w:r w:rsidRPr="009E147D">
        <w:t xml:space="preserve"> a reduction in fees by reason of a failure in service delivery on the part of the Provider</w:t>
      </w:r>
      <w:r w:rsidR="00B50487" w:rsidRPr="009E147D">
        <w:t xml:space="preserve"> are available</w:t>
      </w:r>
      <w:r w:rsidRPr="009E147D">
        <w:t xml:space="preserve">. </w:t>
      </w:r>
    </w:p>
    <w:p w:rsidR="005B4D6C" w:rsidRPr="009E147D" w:rsidRDefault="005B4D6C" w:rsidP="009F3745">
      <w:r w:rsidRPr="009E147D">
        <w:t>In dealing with a complaint the Complaints Principles [section 7] require the decision maker to take one of three possible actions</w:t>
      </w:r>
      <w:r w:rsidR="00B50487" w:rsidRPr="009E147D">
        <w:t>,</w:t>
      </w:r>
      <w:r w:rsidRPr="009E147D">
        <w:t xml:space="preserve"> namely –</w:t>
      </w:r>
    </w:p>
    <w:p w:rsidR="005B4D6C" w:rsidRPr="009E147D" w:rsidRDefault="005B4D6C" w:rsidP="00437946">
      <w:pPr>
        <w:pStyle w:val="ListParagraph"/>
        <w:numPr>
          <w:ilvl w:val="0"/>
          <w:numId w:val="1"/>
        </w:numPr>
        <w:spacing w:after="120"/>
        <w:ind w:left="714" w:hanging="357"/>
        <w:contextualSpacing w:val="0"/>
        <w:jc w:val="both"/>
      </w:pPr>
      <w:r w:rsidRPr="009E147D">
        <w:t>to take no further action;</w:t>
      </w:r>
    </w:p>
    <w:p w:rsidR="005B4D6C" w:rsidRPr="009E147D" w:rsidRDefault="00B50487" w:rsidP="00437946">
      <w:pPr>
        <w:pStyle w:val="ListParagraph"/>
        <w:numPr>
          <w:ilvl w:val="0"/>
          <w:numId w:val="1"/>
        </w:numPr>
        <w:spacing w:after="120"/>
        <w:ind w:left="714" w:hanging="357"/>
        <w:contextualSpacing w:val="0"/>
        <w:jc w:val="both"/>
      </w:pPr>
      <w:r w:rsidRPr="009E147D">
        <w:t xml:space="preserve">to </w:t>
      </w:r>
      <w:r w:rsidR="005B4D6C" w:rsidRPr="009E147D">
        <w:t>quickly resolve the matter by giving assistance and advice to the complainant;</w:t>
      </w:r>
    </w:p>
    <w:p w:rsidR="005B4D6C" w:rsidRPr="009E147D" w:rsidRDefault="00B50487" w:rsidP="00437946">
      <w:pPr>
        <w:pStyle w:val="ListParagraph"/>
        <w:numPr>
          <w:ilvl w:val="0"/>
          <w:numId w:val="1"/>
        </w:numPr>
        <w:spacing w:after="360"/>
        <w:ind w:left="714" w:hanging="357"/>
        <w:contextualSpacing w:val="0"/>
        <w:jc w:val="both"/>
      </w:pPr>
      <w:proofErr w:type="gramStart"/>
      <w:r w:rsidRPr="009E147D">
        <w:t>to</w:t>
      </w:r>
      <w:proofErr w:type="gramEnd"/>
      <w:r w:rsidRPr="009E147D">
        <w:t xml:space="preserve"> </w:t>
      </w:r>
      <w:r w:rsidR="005B4D6C" w:rsidRPr="009E147D">
        <w:t>undertake a resolution process.</w:t>
      </w:r>
    </w:p>
    <w:p w:rsidR="009D5B59" w:rsidRPr="009E147D" w:rsidRDefault="009D5B59" w:rsidP="009F3745">
      <w:r w:rsidRPr="009E147D">
        <w:t xml:space="preserve">The </w:t>
      </w:r>
      <w:r w:rsidR="00B50487" w:rsidRPr="009E147D">
        <w:t xml:space="preserve">Secretary </w:t>
      </w:r>
      <w:r w:rsidRPr="009E147D">
        <w:t xml:space="preserve">can, by agreement with the Provider, refrain from revoking the </w:t>
      </w:r>
      <w:r w:rsidR="00B50487" w:rsidRPr="009E147D">
        <w:t xml:space="preserve">Provider’s </w:t>
      </w:r>
      <w:r w:rsidRPr="009E147D">
        <w:t>approval</w:t>
      </w:r>
      <w:r w:rsidR="00B50487" w:rsidRPr="009E147D">
        <w:t xml:space="preserve"> </w:t>
      </w:r>
      <w:r w:rsidRPr="009E147D">
        <w:t xml:space="preserve">if measures </w:t>
      </w:r>
      <w:r w:rsidR="005B4D6C" w:rsidRPr="009E147D">
        <w:t xml:space="preserve">are taken </w:t>
      </w:r>
      <w:r w:rsidRPr="009E147D">
        <w:t xml:space="preserve">such as </w:t>
      </w:r>
      <w:r w:rsidR="00B50487" w:rsidRPr="009E147D">
        <w:t xml:space="preserve">the appointment of </w:t>
      </w:r>
      <w:r w:rsidRPr="009E147D">
        <w:t xml:space="preserve">an adviser or administrator, or additional training for employees. </w:t>
      </w:r>
      <w:r w:rsidR="00B50487" w:rsidRPr="009E147D">
        <w:t xml:space="preserve"> In reality</w:t>
      </w:r>
      <w:r w:rsidRPr="009E147D">
        <w:t>, these are quite useless or ineffective outcomes for the individual care recipient who may have suffered serious pain, injury and permanent discomfort.</w:t>
      </w:r>
    </w:p>
    <w:p w:rsidR="00437946" w:rsidRDefault="00437946">
      <w:pPr>
        <w:spacing w:after="200" w:line="276" w:lineRule="auto"/>
      </w:pPr>
      <w:r>
        <w:br w:type="page"/>
      </w:r>
    </w:p>
    <w:p w:rsidR="00A64844" w:rsidRDefault="005B4D6C" w:rsidP="009F3745">
      <w:r w:rsidRPr="009E147D">
        <w:lastRenderedPageBreak/>
        <w:t>The Aged Care Complaints Commissioner may give directions to a Provider which must be complied with [</w:t>
      </w:r>
      <w:r w:rsidRPr="009E147D">
        <w:rPr>
          <w:i/>
        </w:rPr>
        <w:t>Complaints Principles</w:t>
      </w:r>
      <w:r w:rsidRPr="009E147D">
        <w:t xml:space="preserve"> section 15[8]]. </w:t>
      </w:r>
      <w:r w:rsidR="00B50487" w:rsidRPr="009E147D">
        <w:t xml:space="preserve"> </w:t>
      </w:r>
      <w:r w:rsidRPr="009E147D">
        <w:t>However</w:t>
      </w:r>
      <w:r w:rsidR="00437946">
        <w:t>,</w:t>
      </w:r>
      <w:r w:rsidRPr="009E147D">
        <w:t xml:space="preserve"> if the directions are not complied with the Commissioner may only notify the </w:t>
      </w:r>
      <w:r w:rsidR="00437946" w:rsidRPr="00397D84">
        <w:t>S</w:t>
      </w:r>
      <w:r w:rsidRPr="00397D84">
        <w:t>ecretary</w:t>
      </w:r>
      <w:r w:rsidRPr="009E147D">
        <w:t>, but not take further action directly, except to notify another organisation.</w:t>
      </w:r>
    </w:p>
    <w:p w:rsidR="007446B5" w:rsidRPr="009E147D" w:rsidRDefault="007446B5" w:rsidP="009F3745">
      <w:r w:rsidRPr="009E147D">
        <w:t xml:space="preserve">It is submitted that there is a good case for claiming that the Complaints system is inadequate for those whose complaints are serious and not </w:t>
      </w:r>
      <w:r w:rsidR="00B50487" w:rsidRPr="009E147D">
        <w:t xml:space="preserve">amenable </w:t>
      </w:r>
      <w:r w:rsidRPr="009E147D">
        <w:t xml:space="preserve">to settlement by mediation or the </w:t>
      </w:r>
      <w:r w:rsidR="00B50487" w:rsidRPr="009E147D">
        <w:t xml:space="preserve">limited </w:t>
      </w:r>
      <w:r w:rsidRPr="009E147D">
        <w:t xml:space="preserve">pathways which the system offers. </w:t>
      </w:r>
      <w:r w:rsidR="007B3A58" w:rsidRPr="009E147D">
        <w:t xml:space="preserve"> </w:t>
      </w:r>
      <w:r w:rsidRPr="009E147D">
        <w:t xml:space="preserve">That makes reform </w:t>
      </w:r>
      <w:r w:rsidR="007B3A58" w:rsidRPr="009E147D">
        <w:t xml:space="preserve">of </w:t>
      </w:r>
      <w:r w:rsidRPr="009E147D">
        <w:t xml:space="preserve">the law relating to consumer claims </w:t>
      </w:r>
      <w:r w:rsidR="007B3A58" w:rsidRPr="009E147D">
        <w:t xml:space="preserve">vitally </w:t>
      </w:r>
      <w:r w:rsidRPr="009E147D">
        <w:t>important to this vulnerable section of our community.</w:t>
      </w:r>
    </w:p>
    <w:p w:rsidR="00506570" w:rsidRPr="009E147D" w:rsidRDefault="00506570" w:rsidP="00437946">
      <w:pPr>
        <w:pStyle w:val="Heading1"/>
      </w:pPr>
      <w:bookmarkStart w:id="3" w:name="_Toc333321346"/>
      <w:r w:rsidRPr="009E147D">
        <w:t xml:space="preserve">What </w:t>
      </w:r>
      <w:proofErr w:type="gramStart"/>
      <w:r w:rsidRPr="009E147D">
        <w:t>is</w:t>
      </w:r>
      <w:proofErr w:type="gramEnd"/>
      <w:r w:rsidRPr="009E147D">
        <w:t xml:space="preserve"> covered </w:t>
      </w:r>
      <w:r w:rsidR="001B5509">
        <w:t>-</w:t>
      </w:r>
      <w:r w:rsidRPr="009E147D">
        <w:t xml:space="preserve"> home care, hostel and nursing home?</w:t>
      </w:r>
      <w:bookmarkEnd w:id="3"/>
    </w:p>
    <w:p w:rsidR="00F43A15" w:rsidRPr="009E147D" w:rsidRDefault="00506570" w:rsidP="009F3745">
      <w:r w:rsidRPr="009E147D">
        <w:t xml:space="preserve">The </w:t>
      </w:r>
      <w:r w:rsidR="00437946">
        <w:t>Aged Care C</w:t>
      </w:r>
      <w:r w:rsidR="0002770D" w:rsidRPr="009E147D">
        <w:t xml:space="preserve">omplaints </w:t>
      </w:r>
      <w:r w:rsidR="0079679A" w:rsidRPr="009E147D">
        <w:t xml:space="preserve">regime </w:t>
      </w:r>
      <w:r w:rsidRPr="009E147D">
        <w:t xml:space="preserve">applies to Commonwealth funded </w:t>
      </w:r>
      <w:r w:rsidR="005B4D6C" w:rsidRPr="009E147D">
        <w:t>and residential aged care</w:t>
      </w:r>
      <w:r w:rsidRPr="009E147D">
        <w:t xml:space="preserve">. It has been estimated by the </w:t>
      </w:r>
      <w:r w:rsidR="00437946">
        <w:t>P</w:t>
      </w:r>
      <w:r w:rsidRPr="009E147D">
        <w:t>roductivity Commission that by 2016-17</w:t>
      </w:r>
      <w:r w:rsidR="00437946">
        <w:t>,</w:t>
      </w:r>
      <w:r w:rsidRPr="009E147D">
        <w:t xml:space="preserve"> there will be 747,000 over 65 receiving supported home care and 208,000 in residential care (high and low care) [</w:t>
      </w:r>
      <w:r w:rsidRPr="009E147D">
        <w:rPr>
          <w:i/>
        </w:rPr>
        <w:t>Trends in Aged Care Services: Some implications</w:t>
      </w:r>
      <w:r w:rsidRPr="009E147D">
        <w:t xml:space="preserve">, Productivity Commission, </w:t>
      </w:r>
      <w:r w:rsidR="00F43A15" w:rsidRPr="009E147D">
        <w:t>Canberra,</w:t>
      </w:r>
      <w:r w:rsidR="005B4D6C" w:rsidRPr="009E147D">
        <w:t xml:space="preserve"> </w:t>
      </w:r>
      <w:r w:rsidRPr="009E147D">
        <w:t>Sept 2008].</w:t>
      </w:r>
    </w:p>
    <w:p w:rsidR="00966A0E" w:rsidRPr="009E147D" w:rsidRDefault="00C84245" w:rsidP="00437946">
      <w:pPr>
        <w:pStyle w:val="Heading1"/>
      </w:pPr>
      <w:bookmarkStart w:id="4" w:name="_Toc333321347"/>
      <w:r w:rsidRPr="009E147D">
        <w:t>Advocacy services</w:t>
      </w:r>
      <w:bookmarkEnd w:id="4"/>
    </w:p>
    <w:p w:rsidR="00C84245" w:rsidRPr="009E147D" w:rsidRDefault="00C84245" w:rsidP="009F3745">
      <w:r w:rsidRPr="009E147D">
        <w:t>There are Commonwealth funded advocacy services available for telephone advice and referral to other advice or advocacy service providers when necessary, in all States and Territories. As the Department puts it</w:t>
      </w:r>
      <w:r w:rsidR="009F3745">
        <w:t>:</w:t>
      </w:r>
      <w:r w:rsidRPr="009E147D">
        <w:t xml:space="preserve"> </w:t>
      </w:r>
    </w:p>
    <w:p w:rsidR="00966A0E" w:rsidRPr="009E147D" w:rsidRDefault="00966A0E" w:rsidP="009F3745">
      <w:pPr>
        <w:pStyle w:val="ListParagraph"/>
        <w:spacing w:before="120" w:after="60"/>
        <w:ind w:left="0" w:firstLine="360"/>
        <w:contextualSpacing w:val="0"/>
        <w:jc w:val="both"/>
      </w:pPr>
      <w:r w:rsidRPr="009E147D">
        <w:t xml:space="preserve">An advocate can: </w:t>
      </w:r>
    </w:p>
    <w:p w:rsidR="00966A0E" w:rsidRPr="009E147D" w:rsidRDefault="00966A0E" w:rsidP="00437946">
      <w:pPr>
        <w:pStyle w:val="ListParagraph"/>
        <w:numPr>
          <w:ilvl w:val="0"/>
          <w:numId w:val="22"/>
        </w:numPr>
        <w:spacing w:after="60"/>
        <w:contextualSpacing w:val="0"/>
        <w:jc w:val="both"/>
      </w:pPr>
      <w:r w:rsidRPr="009E147D">
        <w:t xml:space="preserve">provide you with information about your rights and responsibilities </w:t>
      </w:r>
    </w:p>
    <w:p w:rsidR="00966A0E" w:rsidRPr="009E147D" w:rsidRDefault="00966A0E" w:rsidP="00437946">
      <w:pPr>
        <w:pStyle w:val="ListParagraph"/>
        <w:numPr>
          <w:ilvl w:val="0"/>
          <w:numId w:val="22"/>
        </w:numPr>
        <w:spacing w:after="60"/>
        <w:contextualSpacing w:val="0"/>
        <w:jc w:val="both"/>
      </w:pPr>
      <w:r w:rsidRPr="009E147D">
        <w:t xml:space="preserve">help you resolve your problem with the service provider, including speaking for you if you want them to </w:t>
      </w:r>
    </w:p>
    <w:p w:rsidR="00966A0E" w:rsidRPr="009E147D" w:rsidRDefault="00966A0E" w:rsidP="00437946">
      <w:pPr>
        <w:pStyle w:val="ListParagraph"/>
        <w:numPr>
          <w:ilvl w:val="0"/>
          <w:numId w:val="22"/>
        </w:numPr>
        <w:spacing w:after="240"/>
        <w:contextualSpacing w:val="0"/>
        <w:jc w:val="both"/>
      </w:pPr>
      <w:proofErr w:type="gramStart"/>
      <w:r w:rsidRPr="009E147D">
        <w:t>listen</w:t>
      </w:r>
      <w:proofErr w:type="gramEnd"/>
      <w:r w:rsidRPr="009E147D">
        <w:t xml:space="preserve"> to your concerns about the complaints process.</w:t>
      </w:r>
    </w:p>
    <w:p w:rsidR="00966A0E" w:rsidRPr="009E147D" w:rsidRDefault="00506570" w:rsidP="009F3745">
      <w:r w:rsidRPr="009E147D">
        <w:t>So it is evident that there are limits on the extent to which the advocacy services can support a serious claim involving an impact on health, or injury.</w:t>
      </w:r>
    </w:p>
    <w:p w:rsidR="00EB287A" w:rsidRPr="009E147D" w:rsidRDefault="00116983" w:rsidP="00437946">
      <w:pPr>
        <w:pStyle w:val="Heading1"/>
      </w:pPr>
      <w:bookmarkStart w:id="5" w:name="_Toc333321348"/>
      <w:r w:rsidRPr="009E147D">
        <w:t>What kind of service problems could there be?</w:t>
      </w:r>
      <w:bookmarkEnd w:id="5"/>
    </w:p>
    <w:p w:rsidR="00EB287A" w:rsidRPr="009E147D" w:rsidRDefault="00EB287A" w:rsidP="009F3745">
      <w:r w:rsidRPr="009E147D">
        <w:t xml:space="preserve">Here is a list of just some of the service </w:t>
      </w:r>
      <w:r w:rsidR="001614ED" w:rsidRPr="009E147D">
        <w:t xml:space="preserve">delivery </w:t>
      </w:r>
      <w:r w:rsidRPr="009E147D">
        <w:t>problems which can arise in the course of caring for aged persons</w:t>
      </w:r>
      <w:r w:rsidR="0002770D" w:rsidRPr="009E147D">
        <w:t xml:space="preserve">, </w:t>
      </w:r>
      <w:r w:rsidR="001614ED" w:rsidRPr="009E147D">
        <w:t>which may in some cases be due to inadequate staffing</w:t>
      </w:r>
      <w:r w:rsidR="0002770D" w:rsidRPr="009E147D">
        <w:t>, and which</w:t>
      </w:r>
      <w:r w:rsidR="001614ED" w:rsidRPr="009E147D">
        <w:t xml:space="preserve"> lead to poor quality care</w:t>
      </w:r>
      <w:r w:rsidR="005C6EE4">
        <w:t>:</w:t>
      </w:r>
      <w:r w:rsidRPr="009E147D">
        <w:t xml:space="preserve"> </w:t>
      </w:r>
    </w:p>
    <w:p w:rsidR="00EB287A" w:rsidRPr="009E147D" w:rsidRDefault="00EB287A" w:rsidP="00A64844">
      <w:pPr>
        <w:pStyle w:val="ListParagraph"/>
        <w:numPr>
          <w:ilvl w:val="0"/>
          <w:numId w:val="22"/>
        </w:numPr>
        <w:spacing w:after="40"/>
        <w:contextualSpacing w:val="0"/>
        <w:jc w:val="both"/>
      </w:pPr>
      <w:r w:rsidRPr="009E147D">
        <w:t>Pressure sores</w:t>
      </w:r>
    </w:p>
    <w:p w:rsidR="00EB287A" w:rsidRPr="009E147D" w:rsidRDefault="00EB287A" w:rsidP="00A64844">
      <w:pPr>
        <w:pStyle w:val="ListParagraph"/>
        <w:numPr>
          <w:ilvl w:val="0"/>
          <w:numId w:val="22"/>
        </w:numPr>
        <w:spacing w:after="40"/>
        <w:contextualSpacing w:val="0"/>
        <w:jc w:val="both"/>
      </w:pPr>
      <w:r w:rsidRPr="009E147D">
        <w:t>Infected pressure sores</w:t>
      </w:r>
    </w:p>
    <w:p w:rsidR="00EB287A" w:rsidRPr="009E147D" w:rsidRDefault="00EB287A" w:rsidP="00A64844">
      <w:pPr>
        <w:pStyle w:val="ListParagraph"/>
        <w:numPr>
          <w:ilvl w:val="0"/>
          <w:numId w:val="22"/>
        </w:numPr>
        <w:spacing w:after="40"/>
        <w:contextualSpacing w:val="0"/>
        <w:jc w:val="both"/>
      </w:pPr>
      <w:r w:rsidRPr="009E147D">
        <w:t>Severe dehydration</w:t>
      </w:r>
    </w:p>
    <w:p w:rsidR="00EB287A" w:rsidRPr="009E147D" w:rsidRDefault="00EB287A" w:rsidP="00A64844">
      <w:pPr>
        <w:pStyle w:val="ListParagraph"/>
        <w:numPr>
          <w:ilvl w:val="0"/>
          <w:numId w:val="22"/>
        </w:numPr>
        <w:spacing w:after="40"/>
        <w:contextualSpacing w:val="0"/>
        <w:jc w:val="both"/>
      </w:pPr>
      <w:r w:rsidRPr="009E147D">
        <w:t>Severe malnutrition</w:t>
      </w:r>
    </w:p>
    <w:p w:rsidR="00EB287A" w:rsidRPr="009E147D" w:rsidRDefault="00EB287A" w:rsidP="00A64844">
      <w:pPr>
        <w:pStyle w:val="ListParagraph"/>
        <w:numPr>
          <w:ilvl w:val="0"/>
          <w:numId w:val="22"/>
        </w:numPr>
        <w:spacing w:after="40"/>
        <w:contextualSpacing w:val="0"/>
        <w:jc w:val="both"/>
      </w:pPr>
      <w:r w:rsidRPr="009E147D">
        <w:t>Aspiration pneumonia</w:t>
      </w:r>
    </w:p>
    <w:p w:rsidR="00EB287A" w:rsidRPr="009E147D" w:rsidRDefault="00EB287A" w:rsidP="00A64844">
      <w:pPr>
        <w:pStyle w:val="ListParagraph"/>
        <w:numPr>
          <w:ilvl w:val="0"/>
          <w:numId w:val="22"/>
        </w:numPr>
        <w:spacing w:after="40"/>
        <w:contextualSpacing w:val="0"/>
        <w:jc w:val="both"/>
      </w:pPr>
      <w:r w:rsidRPr="009E147D">
        <w:t>Medication error</w:t>
      </w:r>
    </w:p>
    <w:p w:rsidR="00EB287A" w:rsidRPr="009E147D" w:rsidRDefault="00EB287A" w:rsidP="00A64844">
      <w:pPr>
        <w:pStyle w:val="ListParagraph"/>
        <w:numPr>
          <w:ilvl w:val="0"/>
          <w:numId w:val="22"/>
        </w:numPr>
        <w:spacing w:after="40"/>
        <w:contextualSpacing w:val="0"/>
        <w:jc w:val="both"/>
      </w:pPr>
      <w:r w:rsidRPr="009E147D">
        <w:t>Falling &amp; injury</w:t>
      </w:r>
    </w:p>
    <w:p w:rsidR="00EB287A" w:rsidRPr="009E147D" w:rsidRDefault="00EB287A" w:rsidP="00A64844">
      <w:pPr>
        <w:pStyle w:val="ListParagraph"/>
        <w:numPr>
          <w:ilvl w:val="0"/>
          <w:numId w:val="22"/>
        </w:numPr>
        <w:spacing w:after="40"/>
        <w:contextualSpacing w:val="0"/>
        <w:jc w:val="both"/>
      </w:pPr>
      <w:r w:rsidRPr="009E147D">
        <w:t>Scalding</w:t>
      </w:r>
    </w:p>
    <w:p w:rsidR="001614ED" w:rsidRPr="009E147D" w:rsidRDefault="001614ED" w:rsidP="00A64844">
      <w:pPr>
        <w:pStyle w:val="ListParagraph"/>
        <w:numPr>
          <w:ilvl w:val="0"/>
          <w:numId w:val="22"/>
        </w:numPr>
        <w:spacing w:after="40"/>
        <w:contextualSpacing w:val="0"/>
        <w:jc w:val="both"/>
      </w:pPr>
      <w:r w:rsidRPr="009E147D">
        <w:t>Toileting – delay and neglect</w:t>
      </w:r>
    </w:p>
    <w:p w:rsidR="007446B5" w:rsidRPr="009E147D" w:rsidRDefault="007446B5" w:rsidP="003075BF">
      <w:pPr>
        <w:pStyle w:val="ListParagraph"/>
        <w:numPr>
          <w:ilvl w:val="0"/>
          <w:numId w:val="22"/>
        </w:numPr>
        <w:jc w:val="both"/>
      </w:pPr>
      <w:r w:rsidRPr="009E147D">
        <w:t>Effective pain management</w:t>
      </w:r>
    </w:p>
    <w:p w:rsidR="00EB287A" w:rsidRPr="009F3745" w:rsidRDefault="0002770D" w:rsidP="00683B38">
      <w:pPr>
        <w:spacing w:line="320" w:lineRule="atLeast"/>
        <w:rPr>
          <w:sz w:val="24"/>
          <w:szCs w:val="24"/>
        </w:rPr>
      </w:pPr>
      <w:r w:rsidRPr="009F3745">
        <w:rPr>
          <w:b/>
          <w:sz w:val="24"/>
          <w:szCs w:val="24"/>
        </w:rPr>
        <w:lastRenderedPageBreak/>
        <w:t>We submit that m</w:t>
      </w:r>
      <w:r w:rsidR="00EB287A" w:rsidRPr="009F3745">
        <w:rPr>
          <w:b/>
          <w:sz w:val="24"/>
          <w:szCs w:val="24"/>
        </w:rPr>
        <w:t xml:space="preserve">any </w:t>
      </w:r>
      <w:r w:rsidR="001B5509" w:rsidRPr="009F3745">
        <w:rPr>
          <w:b/>
          <w:sz w:val="24"/>
          <w:szCs w:val="24"/>
        </w:rPr>
        <w:t>problems, which arise from service delivery,</w:t>
      </w:r>
      <w:r w:rsidR="00EB287A" w:rsidRPr="009F3745">
        <w:rPr>
          <w:b/>
          <w:sz w:val="24"/>
          <w:szCs w:val="24"/>
        </w:rPr>
        <w:t xml:space="preserve"> are actually a function of lack of </w:t>
      </w:r>
      <w:r w:rsidR="00906012" w:rsidRPr="009F3745">
        <w:rPr>
          <w:b/>
          <w:sz w:val="24"/>
          <w:szCs w:val="24"/>
        </w:rPr>
        <w:t>supervision, which</w:t>
      </w:r>
      <w:r w:rsidR="00EB287A" w:rsidRPr="009F3745">
        <w:rPr>
          <w:b/>
          <w:sz w:val="24"/>
          <w:szCs w:val="24"/>
        </w:rPr>
        <w:t xml:space="preserve"> in turn arises from inadequate staffing.</w:t>
      </w:r>
      <w:r w:rsidR="00EB287A" w:rsidRPr="009F3745">
        <w:rPr>
          <w:sz w:val="24"/>
          <w:szCs w:val="24"/>
        </w:rPr>
        <w:t xml:space="preserve"> </w:t>
      </w:r>
      <w:r w:rsidRPr="009F3745">
        <w:rPr>
          <w:sz w:val="24"/>
          <w:szCs w:val="24"/>
        </w:rPr>
        <w:t xml:space="preserve"> </w:t>
      </w:r>
      <w:r w:rsidR="00EB287A" w:rsidRPr="009F3745">
        <w:rPr>
          <w:sz w:val="24"/>
          <w:szCs w:val="24"/>
        </w:rPr>
        <w:t xml:space="preserve">This is a chronic issue in aged care nursing and leads to problems, complaints and occasionally to injury and trauma. </w:t>
      </w:r>
      <w:r w:rsidR="0079679A" w:rsidRPr="009F3745">
        <w:rPr>
          <w:sz w:val="24"/>
          <w:szCs w:val="24"/>
        </w:rPr>
        <w:t>For further information</w:t>
      </w:r>
      <w:r w:rsidR="00437946" w:rsidRPr="009F3745">
        <w:rPr>
          <w:sz w:val="24"/>
          <w:szCs w:val="24"/>
        </w:rPr>
        <w:t>,</w:t>
      </w:r>
      <w:r w:rsidR="0079679A" w:rsidRPr="009F3745">
        <w:rPr>
          <w:sz w:val="24"/>
          <w:szCs w:val="24"/>
        </w:rPr>
        <w:t xml:space="preserve"> we suggest reference to the Australian website </w:t>
      </w:r>
      <w:hyperlink r:id="rId8" w:history="1">
        <w:r w:rsidR="00437946" w:rsidRPr="009F3745">
          <w:rPr>
            <w:rStyle w:val="Hyperlink"/>
            <w:sz w:val="24"/>
            <w:szCs w:val="24"/>
          </w:rPr>
          <w:t>www.agedcarecrisis.com</w:t>
        </w:r>
      </w:hyperlink>
      <w:r w:rsidR="00437946" w:rsidRPr="009F3745">
        <w:rPr>
          <w:sz w:val="24"/>
          <w:szCs w:val="24"/>
        </w:rPr>
        <w:t xml:space="preserve"> </w:t>
      </w:r>
      <w:r w:rsidR="0079679A" w:rsidRPr="009F3745">
        <w:rPr>
          <w:sz w:val="24"/>
          <w:szCs w:val="24"/>
        </w:rPr>
        <w:t>which has an extensive amount of information on many of these issues.</w:t>
      </w:r>
    </w:p>
    <w:p w:rsidR="006E3173" w:rsidRPr="009E147D" w:rsidRDefault="006E3173" w:rsidP="009F3745">
      <w:r w:rsidRPr="009E147D">
        <w:t xml:space="preserve">There is in addition another very important issue which arises in the course of service delivery, care and supervision. </w:t>
      </w:r>
      <w:r w:rsidR="0002770D" w:rsidRPr="009E147D">
        <w:t xml:space="preserve"> </w:t>
      </w:r>
      <w:r w:rsidRPr="009E147D">
        <w:t>That is the issue of restraint</w:t>
      </w:r>
      <w:r w:rsidR="0002770D" w:rsidRPr="009E147D">
        <w:t>,</w:t>
      </w:r>
      <w:r w:rsidRPr="009E147D">
        <w:t xml:space="preserve"> which in turn gives rise to the question when and whether the restraint is lawful or unlawful. </w:t>
      </w:r>
      <w:r w:rsidR="0002770D" w:rsidRPr="009E147D">
        <w:t xml:space="preserve"> </w:t>
      </w:r>
      <w:r w:rsidRPr="009E147D">
        <w:t xml:space="preserve">We </w:t>
      </w:r>
      <w:r w:rsidR="007446B5" w:rsidRPr="009E147D">
        <w:t>submit</w:t>
      </w:r>
      <w:r w:rsidRPr="009E147D">
        <w:t xml:space="preserve"> that in such cases, there is a remedy </w:t>
      </w:r>
      <w:r w:rsidR="000E7ABE" w:rsidRPr="009E147D">
        <w:t xml:space="preserve">to be found in the </w:t>
      </w:r>
      <w:r w:rsidR="0002770D" w:rsidRPr="009E147D">
        <w:rPr>
          <w:i/>
        </w:rPr>
        <w:t xml:space="preserve">Australian </w:t>
      </w:r>
      <w:r w:rsidR="000E7ABE" w:rsidRPr="009E147D">
        <w:rPr>
          <w:i/>
        </w:rPr>
        <w:t>Consumer Law</w:t>
      </w:r>
      <w:r w:rsidR="000E7ABE" w:rsidRPr="009E147D">
        <w:t xml:space="preserve"> </w:t>
      </w:r>
      <w:r w:rsidR="0002770D" w:rsidRPr="009E147D">
        <w:t xml:space="preserve">which is superior to </w:t>
      </w:r>
      <w:r w:rsidRPr="009E147D">
        <w:t>that offered by the Aged Care Complaints Scheme</w:t>
      </w:r>
      <w:r w:rsidR="000E7ABE" w:rsidRPr="009E147D">
        <w:t xml:space="preserve"> and more ‘user friendly’ that the common law courts.</w:t>
      </w:r>
    </w:p>
    <w:p w:rsidR="00116983" w:rsidRPr="009E147D" w:rsidRDefault="00116983" w:rsidP="00437946">
      <w:pPr>
        <w:pStyle w:val="Heading1"/>
      </w:pPr>
      <w:bookmarkStart w:id="6" w:name="_Toc333321349"/>
      <w:r w:rsidRPr="009E147D">
        <w:t>Where else can a complainant go</w:t>
      </w:r>
      <w:r w:rsidR="0067506B" w:rsidRPr="009E147D">
        <w:t xml:space="preserve"> </w:t>
      </w:r>
      <w:r w:rsidR="00E12C37">
        <w:t>-</w:t>
      </w:r>
      <w:r w:rsidR="0067506B" w:rsidRPr="009E147D">
        <w:t xml:space="preserve"> what are the alternatives</w:t>
      </w:r>
      <w:r w:rsidRPr="009E147D">
        <w:t>?</w:t>
      </w:r>
      <w:bookmarkEnd w:id="6"/>
    </w:p>
    <w:p w:rsidR="00EF2825" w:rsidRPr="009E147D" w:rsidRDefault="00EF2825" w:rsidP="009F3745">
      <w:r w:rsidRPr="009E147D">
        <w:t>The</w:t>
      </w:r>
      <w:r w:rsidR="001614ED" w:rsidRPr="009E147D">
        <w:t>re are at least</w:t>
      </w:r>
      <w:r w:rsidRPr="009E147D">
        <w:t xml:space="preserve"> four possible alternatives for taking action in the event of a claim for a</w:t>
      </w:r>
      <w:r w:rsidR="00316351" w:rsidRPr="009E147D">
        <w:t>n</w:t>
      </w:r>
      <w:r w:rsidRPr="009E147D">
        <w:t xml:space="preserve"> injury or damage experienced or sustained by a resident of an </w:t>
      </w:r>
      <w:r w:rsidR="00316351" w:rsidRPr="009E147D">
        <w:t>RACF</w:t>
      </w:r>
      <w:r w:rsidR="00883402" w:rsidRPr="009E147D">
        <w:t xml:space="preserve"> </w:t>
      </w:r>
      <w:r w:rsidRPr="009E147D">
        <w:t xml:space="preserve">or </w:t>
      </w:r>
      <w:r w:rsidR="00316351" w:rsidRPr="009E147D">
        <w:t>during</w:t>
      </w:r>
      <w:r w:rsidRPr="009E147D">
        <w:t xml:space="preserve"> the course of delivering care and treatment under a funded home care scheme or package</w:t>
      </w:r>
      <w:r w:rsidR="00883402" w:rsidRPr="009E147D">
        <w:t xml:space="preserve"> of home care services</w:t>
      </w:r>
      <w:r w:rsidRPr="009E147D">
        <w:t>.</w:t>
      </w:r>
    </w:p>
    <w:p w:rsidR="00EF2825" w:rsidRPr="00C82903" w:rsidRDefault="000E7ABE" w:rsidP="009F3745">
      <w:pPr>
        <w:pStyle w:val="ListParagraph"/>
        <w:numPr>
          <w:ilvl w:val="0"/>
          <w:numId w:val="20"/>
        </w:numPr>
        <w:ind w:left="697" w:hanging="357"/>
        <w:contextualSpacing w:val="0"/>
        <w:rPr>
          <w:b/>
        </w:rPr>
      </w:pPr>
      <w:r w:rsidRPr="009E147D">
        <w:t>T</w:t>
      </w:r>
      <w:r w:rsidR="00EF2825" w:rsidRPr="009E147D">
        <w:t>here is the possibility of a common law claim for negligence which arises from the failure to deliver an appropriate standard of care where there is a pre-existing</w:t>
      </w:r>
      <w:r w:rsidRPr="009E147D">
        <w:t xml:space="preserve"> [and non-delegable]</w:t>
      </w:r>
      <w:r w:rsidR="00EF2825" w:rsidRPr="009E147D">
        <w:t xml:space="preserve"> duty of care to </w:t>
      </w:r>
      <w:r w:rsidR="00883402" w:rsidRPr="009E147D">
        <w:t>the</w:t>
      </w:r>
      <w:r w:rsidR="00EF2825" w:rsidRPr="009E147D">
        <w:t xml:space="preserve"> care recipient.</w:t>
      </w:r>
    </w:p>
    <w:p w:rsidR="00EF2825" w:rsidRPr="00C82903" w:rsidRDefault="000E7ABE" w:rsidP="009F3745">
      <w:pPr>
        <w:pStyle w:val="ListParagraph"/>
        <w:numPr>
          <w:ilvl w:val="0"/>
          <w:numId w:val="20"/>
        </w:numPr>
        <w:ind w:left="697" w:hanging="357"/>
        <w:contextualSpacing w:val="0"/>
        <w:rPr>
          <w:b/>
        </w:rPr>
      </w:pPr>
      <w:r w:rsidRPr="009E147D">
        <w:t>T</w:t>
      </w:r>
      <w:r w:rsidR="00EF2825" w:rsidRPr="009E147D">
        <w:t>here is a potential common law claim for trespass to the person which may arise in the case of treatment or sup</w:t>
      </w:r>
      <w:r w:rsidR="00F43A15" w:rsidRPr="009E147D">
        <w:t>ervision involving physic</w:t>
      </w:r>
      <w:r w:rsidR="00EF2825" w:rsidRPr="009E147D">
        <w:t xml:space="preserve">al handling of the resident but in circumstances where lawful consent has not been given. </w:t>
      </w:r>
      <w:r w:rsidR="0002770D" w:rsidRPr="009E147D">
        <w:t xml:space="preserve"> </w:t>
      </w:r>
      <w:r w:rsidR="00EF2825" w:rsidRPr="009E147D">
        <w:t xml:space="preserve">This can arise for example in cases involving persons who do not have full capacity </w:t>
      </w:r>
      <w:r w:rsidR="00F43A15" w:rsidRPr="009E147D">
        <w:t xml:space="preserve">for decision making </w:t>
      </w:r>
      <w:r w:rsidR="00EF2825" w:rsidRPr="009E147D">
        <w:t>and where lawful consent can only be given by their duly authorised delegate, such as an appointed guardian</w:t>
      </w:r>
      <w:r w:rsidR="00F43A15" w:rsidRPr="009E147D">
        <w:t>, but that consent has either not been sought or has not been given in the particular case</w:t>
      </w:r>
      <w:r w:rsidR="00EF2825" w:rsidRPr="009E147D">
        <w:t>.</w:t>
      </w:r>
      <w:r w:rsidRPr="009E147D">
        <w:t xml:space="preserve"> </w:t>
      </w:r>
      <w:r w:rsidR="0002770D" w:rsidRPr="009E147D">
        <w:t xml:space="preserve"> </w:t>
      </w:r>
      <w:r w:rsidRPr="009E147D">
        <w:t>Moreover there can be misunderstanding as to the identity of the person who may lawfully give consent on behalf the disabled person</w:t>
      </w:r>
      <w:r w:rsidR="0002770D" w:rsidRPr="009E147D">
        <w:t>.</w:t>
      </w:r>
    </w:p>
    <w:p w:rsidR="006E3173" w:rsidRPr="00C82903" w:rsidRDefault="000E7ABE" w:rsidP="009F3745">
      <w:pPr>
        <w:pStyle w:val="ListParagraph"/>
        <w:numPr>
          <w:ilvl w:val="0"/>
          <w:numId w:val="20"/>
        </w:numPr>
        <w:ind w:left="697" w:hanging="357"/>
        <w:contextualSpacing w:val="0"/>
        <w:rPr>
          <w:b/>
        </w:rPr>
      </w:pPr>
      <w:r w:rsidRPr="009E147D">
        <w:t>I</w:t>
      </w:r>
      <w:r w:rsidR="00EF2825" w:rsidRPr="009E147D">
        <w:t xml:space="preserve">n cases where a residential care contract has actually been made at the time the service has commenced or the person has entered into residential care, and assuming that the contract includes promises to render care to a standard </w:t>
      </w:r>
      <w:r w:rsidR="0002770D" w:rsidRPr="009E147D">
        <w:t xml:space="preserve">defined </w:t>
      </w:r>
      <w:r w:rsidR="00EF2825" w:rsidRPr="009E147D">
        <w:t>in the contract, it may be possible for a claim to be brought for breach of</w:t>
      </w:r>
      <w:r w:rsidR="0002770D" w:rsidRPr="009E147D">
        <w:t xml:space="preserve"> that</w:t>
      </w:r>
      <w:r w:rsidR="00EF2825" w:rsidRPr="009E147D">
        <w:t xml:space="preserve"> contract.</w:t>
      </w:r>
    </w:p>
    <w:p w:rsidR="00EF2825" w:rsidRPr="00C82903" w:rsidRDefault="00EF2825" w:rsidP="009F3745">
      <w:pPr>
        <w:pStyle w:val="ListParagraph"/>
        <w:numPr>
          <w:ilvl w:val="0"/>
          <w:numId w:val="20"/>
        </w:numPr>
        <w:ind w:left="697" w:hanging="357"/>
        <w:rPr>
          <w:b/>
        </w:rPr>
      </w:pPr>
      <w:r w:rsidRPr="009E147D">
        <w:t xml:space="preserve">Finally, there is a cause of action which arises from consumer type transactions in which there are implied guarantees </w:t>
      </w:r>
      <w:r w:rsidR="0002770D" w:rsidRPr="009E147D">
        <w:t xml:space="preserve">in respect </w:t>
      </w:r>
      <w:r w:rsidRPr="009E147D">
        <w:t>of</w:t>
      </w:r>
      <w:r w:rsidR="00316351" w:rsidRPr="009E147D">
        <w:t xml:space="preserve"> the quality of</w:t>
      </w:r>
      <w:r w:rsidRPr="009E147D">
        <w:t xml:space="preserve"> service</w:t>
      </w:r>
      <w:r w:rsidR="00316351" w:rsidRPr="009E147D">
        <w:t>s provided</w:t>
      </w:r>
      <w:r w:rsidRPr="009E147D">
        <w:t xml:space="preserve">. </w:t>
      </w:r>
      <w:r w:rsidR="00316351" w:rsidRPr="009E147D">
        <w:t xml:space="preserve"> </w:t>
      </w:r>
      <w:r w:rsidRPr="009E147D">
        <w:t xml:space="preserve">Even in cases </w:t>
      </w:r>
      <w:r w:rsidR="000E7ABE" w:rsidRPr="009E147D">
        <w:t xml:space="preserve">where there </w:t>
      </w:r>
      <w:r w:rsidR="00883402" w:rsidRPr="009E147D">
        <w:t>is no written contract</w:t>
      </w:r>
      <w:r w:rsidRPr="009E147D">
        <w:t xml:space="preserve">, </w:t>
      </w:r>
      <w:r w:rsidR="00316351" w:rsidRPr="009E147D">
        <w:t xml:space="preserve">when </w:t>
      </w:r>
      <w:r w:rsidRPr="009E147D">
        <w:t xml:space="preserve">a contractual </w:t>
      </w:r>
      <w:r w:rsidR="00883402" w:rsidRPr="009E147D">
        <w:t xml:space="preserve">responsibility for </w:t>
      </w:r>
      <w:r w:rsidR="000E7ABE" w:rsidRPr="009E147D">
        <w:t xml:space="preserve">delivery of </w:t>
      </w:r>
      <w:r w:rsidR="00883402" w:rsidRPr="009E147D">
        <w:t>care services</w:t>
      </w:r>
      <w:r w:rsidRPr="009E147D">
        <w:t xml:space="preserve"> </w:t>
      </w:r>
      <w:r w:rsidR="00316351" w:rsidRPr="009E147D">
        <w:t>is</w:t>
      </w:r>
      <w:r w:rsidRPr="009E147D">
        <w:t xml:space="preserve"> found to exist, the implied guarantees will also be present and will be enforceable</w:t>
      </w:r>
      <w:r w:rsidR="002F5E33" w:rsidRPr="009E147D">
        <w:t xml:space="preserve"> by virtue of the </w:t>
      </w:r>
      <w:r w:rsidR="002F5E33" w:rsidRPr="009E147D">
        <w:rPr>
          <w:i/>
        </w:rPr>
        <w:t>Australian Consumer Law</w:t>
      </w:r>
      <w:r w:rsidRPr="009E147D">
        <w:t>.</w:t>
      </w:r>
    </w:p>
    <w:p w:rsidR="00C84245" w:rsidRPr="009E147D" w:rsidRDefault="00C84245" w:rsidP="009F3745">
      <w:r w:rsidRPr="009E147D">
        <w:t xml:space="preserve">The first three alternatives involve bringing a claim in the common law courts. There is a hierarchy for these </w:t>
      </w:r>
      <w:r w:rsidR="009F3745" w:rsidRPr="009E147D">
        <w:t>courts, which</w:t>
      </w:r>
      <w:r w:rsidRPr="009E147D">
        <w:t xml:space="preserve"> is partly defined by the amount involved in the claim. </w:t>
      </w:r>
      <w:r w:rsidR="00316351" w:rsidRPr="009E147D">
        <w:t xml:space="preserve"> </w:t>
      </w:r>
      <w:r w:rsidRPr="009E147D">
        <w:t>In aged care claims the Local or Magistrates Court</w:t>
      </w:r>
      <w:r w:rsidR="00316351" w:rsidRPr="009E147D">
        <w:t>s</w:t>
      </w:r>
      <w:r w:rsidRPr="009E147D">
        <w:t>, often geographically distributed throughout the States and Territories and mandated to deal quickly and efficiently with legal claims, is the most obviously suitable to seek any kind of compensation or damages at law.</w:t>
      </w:r>
    </w:p>
    <w:p w:rsidR="00230166" w:rsidRPr="009E147D" w:rsidRDefault="00230166" w:rsidP="009F3745">
      <w:r w:rsidRPr="009E147D">
        <w:t>The fourth alternative involves a consumer claim for which a special tribunal can normally be identified in every State or Territory</w:t>
      </w:r>
      <w:r w:rsidR="00F43A15" w:rsidRPr="009E147D">
        <w:t xml:space="preserve">, set up to enforce fair trading laws for the benefit of consumers. </w:t>
      </w:r>
      <w:r w:rsidR="00F43A15" w:rsidRPr="009E147D">
        <w:lastRenderedPageBreak/>
        <w:t>Those</w:t>
      </w:r>
      <w:r w:rsidRPr="009E147D">
        <w:t xml:space="preserve"> tribunal</w:t>
      </w:r>
      <w:r w:rsidR="00F43A15" w:rsidRPr="009E147D">
        <w:t>s are</w:t>
      </w:r>
      <w:r w:rsidR="00397D84">
        <w:t xml:space="preserve"> authoris</w:t>
      </w:r>
      <w:r w:rsidRPr="009E147D">
        <w:t xml:space="preserve">ed to enforce the </w:t>
      </w:r>
      <w:r w:rsidRPr="009E147D">
        <w:rPr>
          <w:i/>
        </w:rPr>
        <w:t>Australian Consumer Law</w:t>
      </w:r>
      <w:r w:rsidRPr="009E147D">
        <w:t xml:space="preserve"> which commenced in early 2011.</w:t>
      </w:r>
    </w:p>
    <w:p w:rsidR="00591CAD" w:rsidRPr="009E147D" w:rsidRDefault="00591CAD" w:rsidP="009F3745">
      <w:pPr>
        <w:pStyle w:val="Heading1"/>
      </w:pPr>
      <w:bookmarkStart w:id="7" w:name="_Toc333321350"/>
      <w:r w:rsidRPr="009E147D">
        <w:t>Service guarantees</w:t>
      </w:r>
      <w:bookmarkEnd w:id="7"/>
    </w:p>
    <w:p w:rsidR="00F56C2C" w:rsidRPr="009E147D" w:rsidRDefault="002F5E33" w:rsidP="009F3745">
      <w:r w:rsidRPr="009E147D">
        <w:t>For completeness, t</w:t>
      </w:r>
      <w:r w:rsidR="00F56C2C" w:rsidRPr="009E147D">
        <w:t>he</w:t>
      </w:r>
      <w:r w:rsidR="00F43A15" w:rsidRPr="009E147D">
        <w:t xml:space="preserve"> four</w:t>
      </w:r>
      <w:r w:rsidR="00F56C2C" w:rsidRPr="009E147D">
        <w:t xml:space="preserve"> </w:t>
      </w:r>
      <w:r w:rsidRPr="009E147D">
        <w:t xml:space="preserve">applicable </w:t>
      </w:r>
      <w:r w:rsidR="00F56C2C" w:rsidRPr="009E147D">
        <w:t xml:space="preserve">guarantees </w:t>
      </w:r>
      <w:r w:rsidRPr="009E147D">
        <w:t xml:space="preserve">in the ACL </w:t>
      </w:r>
      <w:r w:rsidR="00F56C2C" w:rsidRPr="009E147D">
        <w:t>can be shortly summarised as follows:</w:t>
      </w:r>
    </w:p>
    <w:p w:rsidR="00591FBD" w:rsidRPr="009E147D" w:rsidRDefault="00316351" w:rsidP="009F3745">
      <w:pPr>
        <w:pStyle w:val="ListParagraph"/>
        <w:numPr>
          <w:ilvl w:val="0"/>
          <w:numId w:val="3"/>
        </w:numPr>
        <w:spacing w:after="120"/>
        <w:rPr>
          <w:i/>
        </w:rPr>
      </w:pPr>
      <w:bookmarkStart w:id="8" w:name="param122"/>
      <w:bookmarkStart w:id="9" w:name="_Toc280879083"/>
      <w:bookmarkEnd w:id="8"/>
      <w:r w:rsidRPr="009E147D">
        <w:rPr>
          <w:rStyle w:val="charsectno"/>
          <w:i/>
        </w:rPr>
        <w:t>Section</w:t>
      </w:r>
      <w:r w:rsidR="00F56C2C" w:rsidRPr="009E147D">
        <w:rPr>
          <w:rStyle w:val="charsectno"/>
          <w:i/>
        </w:rPr>
        <w:t xml:space="preserve"> </w:t>
      </w:r>
      <w:r w:rsidR="00591FBD" w:rsidRPr="009E147D">
        <w:rPr>
          <w:rStyle w:val="charsectno"/>
          <w:i/>
        </w:rPr>
        <w:t>60</w:t>
      </w:r>
      <w:r w:rsidR="00591FBD" w:rsidRPr="009E147D">
        <w:rPr>
          <w:i/>
        </w:rPr>
        <w:t xml:space="preserve">  Guarantee as to </w:t>
      </w:r>
      <w:proofErr w:type="spellStart"/>
      <w:r w:rsidR="00591FBD" w:rsidRPr="009E147D">
        <w:rPr>
          <w:i/>
        </w:rPr>
        <w:t>due</w:t>
      </w:r>
      <w:proofErr w:type="spellEnd"/>
      <w:r w:rsidR="00591FBD" w:rsidRPr="009E147D">
        <w:rPr>
          <w:i/>
        </w:rPr>
        <w:t xml:space="preserve"> care and skill</w:t>
      </w:r>
      <w:bookmarkEnd w:id="9"/>
    </w:p>
    <w:p w:rsidR="00F56C2C" w:rsidRPr="009E147D" w:rsidRDefault="00591FBD" w:rsidP="009F3745">
      <w:pPr>
        <w:pStyle w:val="subsection"/>
        <w:ind w:left="720"/>
        <w:rPr>
          <w:rFonts w:ascii="Cambria" w:hAnsi="Cambria"/>
          <w:sz w:val="22"/>
          <w:szCs w:val="22"/>
        </w:rPr>
      </w:pPr>
      <w:r w:rsidRPr="009E147D">
        <w:rPr>
          <w:rFonts w:ascii="Cambria" w:hAnsi="Cambria"/>
          <w:sz w:val="22"/>
          <w:szCs w:val="22"/>
        </w:rPr>
        <w:t>If a person supplies, in trade or commerce, services to a consumer, there is a guarantee that the services will be rendered with due care and skill.</w:t>
      </w:r>
    </w:p>
    <w:p w:rsidR="00591FBD" w:rsidRPr="009E147D" w:rsidRDefault="00F56C2C" w:rsidP="009F3745">
      <w:pPr>
        <w:pStyle w:val="subsection"/>
        <w:numPr>
          <w:ilvl w:val="0"/>
          <w:numId w:val="3"/>
        </w:numPr>
        <w:rPr>
          <w:rFonts w:ascii="Cambria" w:hAnsi="Cambria"/>
          <w:i/>
          <w:sz w:val="22"/>
          <w:szCs w:val="22"/>
        </w:rPr>
      </w:pPr>
      <w:bookmarkStart w:id="10" w:name="param123"/>
      <w:bookmarkStart w:id="11" w:name="_Toc280879084"/>
      <w:bookmarkEnd w:id="10"/>
      <w:r w:rsidRPr="009E147D">
        <w:rPr>
          <w:rStyle w:val="charsectno"/>
          <w:rFonts w:ascii="Cambria" w:hAnsi="Cambria"/>
          <w:i/>
          <w:sz w:val="22"/>
          <w:szCs w:val="22"/>
        </w:rPr>
        <w:t>Sec</w:t>
      </w:r>
      <w:r w:rsidR="00316351" w:rsidRPr="009E147D">
        <w:rPr>
          <w:rStyle w:val="charsectno"/>
          <w:rFonts w:ascii="Cambria" w:hAnsi="Cambria"/>
          <w:i/>
          <w:sz w:val="22"/>
          <w:szCs w:val="22"/>
        </w:rPr>
        <w:t>tion</w:t>
      </w:r>
      <w:r w:rsidRPr="009E147D">
        <w:rPr>
          <w:rStyle w:val="charsectno"/>
          <w:rFonts w:ascii="Cambria" w:hAnsi="Cambria"/>
          <w:i/>
          <w:sz w:val="22"/>
          <w:szCs w:val="22"/>
        </w:rPr>
        <w:t xml:space="preserve"> </w:t>
      </w:r>
      <w:r w:rsidR="00591FBD" w:rsidRPr="009E147D">
        <w:rPr>
          <w:rStyle w:val="charsectno"/>
          <w:rFonts w:ascii="Cambria" w:hAnsi="Cambria"/>
          <w:i/>
          <w:sz w:val="22"/>
          <w:szCs w:val="22"/>
        </w:rPr>
        <w:t>61</w:t>
      </w:r>
      <w:proofErr w:type="gramStart"/>
      <w:r w:rsidR="00591FBD" w:rsidRPr="009E147D">
        <w:rPr>
          <w:rFonts w:ascii="Cambria" w:hAnsi="Cambria"/>
          <w:i/>
          <w:sz w:val="22"/>
          <w:szCs w:val="22"/>
        </w:rPr>
        <w:t>  Guarantees</w:t>
      </w:r>
      <w:proofErr w:type="gramEnd"/>
      <w:r w:rsidR="00591FBD" w:rsidRPr="009E147D">
        <w:rPr>
          <w:rFonts w:ascii="Cambria" w:hAnsi="Cambria"/>
          <w:i/>
          <w:sz w:val="22"/>
          <w:szCs w:val="22"/>
        </w:rPr>
        <w:t xml:space="preserve"> as to fitness for a particular purpose etc.</w:t>
      </w:r>
      <w:bookmarkEnd w:id="11"/>
    </w:p>
    <w:p w:rsidR="00591FBD" w:rsidRPr="009E147D" w:rsidRDefault="00591FBD" w:rsidP="009F3745">
      <w:pPr>
        <w:pStyle w:val="subsection"/>
        <w:rPr>
          <w:rFonts w:ascii="Cambria" w:hAnsi="Cambria"/>
          <w:sz w:val="22"/>
          <w:szCs w:val="22"/>
        </w:rPr>
      </w:pPr>
      <w:r w:rsidRPr="009E147D">
        <w:rPr>
          <w:rFonts w:ascii="Cambria" w:hAnsi="Cambria"/>
          <w:sz w:val="22"/>
          <w:szCs w:val="22"/>
        </w:rPr>
        <w:t>             (1)  If:</w:t>
      </w:r>
    </w:p>
    <w:p w:rsidR="00F56C2C" w:rsidRPr="009E147D" w:rsidRDefault="00591FBD" w:rsidP="009F3745">
      <w:pPr>
        <w:pStyle w:val="paragraph"/>
        <w:rPr>
          <w:rFonts w:ascii="Cambria" w:hAnsi="Cambria"/>
          <w:sz w:val="22"/>
          <w:szCs w:val="22"/>
        </w:rPr>
      </w:pPr>
      <w:r w:rsidRPr="009E147D">
        <w:rPr>
          <w:rFonts w:ascii="Cambria" w:hAnsi="Cambria"/>
          <w:sz w:val="22"/>
          <w:szCs w:val="22"/>
        </w:rPr>
        <w:t xml:space="preserve">                     (a)  </w:t>
      </w:r>
      <w:proofErr w:type="gramStart"/>
      <w:r w:rsidRPr="009E147D">
        <w:rPr>
          <w:rFonts w:ascii="Cambria" w:hAnsi="Cambria"/>
          <w:sz w:val="22"/>
          <w:szCs w:val="22"/>
        </w:rPr>
        <w:t>a</w:t>
      </w:r>
      <w:proofErr w:type="gramEnd"/>
      <w:r w:rsidRPr="009E147D">
        <w:rPr>
          <w:rFonts w:ascii="Cambria" w:hAnsi="Cambria"/>
          <w:sz w:val="22"/>
          <w:szCs w:val="22"/>
        </w:rPr>
        <w:t xml:space="preserve"> person (the </w:t>
      </w:r>
      <w:r w:rsidRPr="009E147D">
        <w:rPr>
          <w:rFonts w:ascii="Cambria" w:hAnsi="Cambria"/>
          <w:bCs/>
          <w:i/>
          <w:iCs/>
          <w:sz w:val="22"/>
          <w:szCs w:val="22"/>
        </w:rPr>
        <w:t>supplier</w:t>
      </w:r>
      <w:r w:rsidRPr="009E147D">
        <w:rPr>
          <w:rFonts w:ascii="Cambria" w:hAnsi="Cambria"/>
          <w:sz w:val="22"/>
          <w:szCs w:val="22"/>
        </w:rPr>
        <w:t>) supplies, in trade or commer</w:t>
      </w:r>
      <w:r w:rsidR="00F56C2C" w:rsidRPr="009E147D">
        <w:rPr>
          <w:rFonts w:ascii="Cambria" w:hAnsi="Cambria"/>
          <w:sz w:val="22"/>
          <w:szCs w:val="22"/>
        </w:rPr>
        <w:t>ce, services to a consumer; and</w:t>
      </w:r>
      <w:r w:rsidRPr="009E147D">
        <w:rPr>
          <w:rFonts w:ascii="Cambria" w:hAnsi="Cambria"/>
          <w:sz w:val="22"/>
          <w:szCs w:val="22"/>
        </w:rPr>
        <w:t xml:space="preserve"> </w:t>
      </w:r>
    </w:p>
    <w:p w:rsidR="00591FBD" w:rsidRPr="009E147D" w:rsidRDefault="00591FBD" w:rsidP="009F3745">
      <w:pPr>
        <w:pStyle w:val="paragraph"/>
        <w:ind w:left="720"/>
        <w:rPr>
          <w:rFonts w:ascii="Cambria" w:hAnsi="Cambria"/>
          <w:sz w:val="22"/>
          <w:szCs w:val="22"/>
        </w:rPr>
      </w:pPr>
      <w:r w:rsidRPr="009E147D">
        <w:rPr>
          <w:rFonts w:ascii="Cambria" w:hAnsi="Cambria"/>
          <w:sz w:val="22"/>
          <w:szCs w:val="22"/>
        </w:rPr>
        <w:t xml:space="preserve">(b)  </w:t>
      </w:r>
      <w:proofErr w:type="gramStart"/>
      <w:r w:rsidRPr="009E147D">
        <w:rPr>
          <w:rFonts w:ascii="Cambria" w:hAnsi="Cambria"/>
          <w:sz w:val="22"/>
          <w:szCs w:val="22"/>
        </w:rPr>
        <w:t>the</w:t>
      </w:r>
      <w:proofErr w:type="gramEnd"/>
      <w:r w:rsidRPr="009E147D">
        <w:rPr>
          <w:rFonts w:ascii="Cambria" w:hAnsi="Cambria"/>
          <w:sz w:val="22"/>
          <w:szCs w:val="22"/>
        </w:rPr>
        <w:t xml:space="preserve"> consumer, expressly or by implication, makes known to the supplier any particular purpose for which the services are being acquired by the consumer;</w:t>
      </w:r>
    </w:p>
    <w:p w:rsidR="00591FBD" w:rsidRPr="009E147D" w:rsidRDefault="00591FBD" w:rsidP="009F3745">
      <w:pPr>
        <w:pStyle w:val="subsection2"/>
        <w:ind w:left="720"/>
        <w:rPr>
          <w:rFonts w:ascii="Cambria" w:hAnsi="Cambria"/>
          <w:sz w:val="22"/>
          <w:szCs w:val="22"/>
        </w:rPr>
      </w:pPr>
      <w:proofErr w:type="gramStart"/>
      <w:r w:rsidRPr="009E147D">
        <w:rPr>
          <w:rFonts w:ascii="Cambria" w:hAnsi="Cambria"/>
          <w:sz w:val="22"/>
          <w:szCs w:val="22"/>
        </w:rPr>
        <w:t>there</w:t>
      </w:r>
      <w:proofErr w:type="gramEnd"/>
      <w:r w:rsidRPr="009E147D">
        <w:rPr>
          <w:rFonts w:ascii="Cambria" w:hAnsi="Cambria"/>
          <w:sz w:val="22"/>
          <w:szCs w:val="22"/>
        </w:rPr>
        <w:t xml:space="preserve"> is a guarantee that the services, and any product resulting from the services, will be reasonably fit for that purpose.</w:t>
      </w:r>
    </w:p>
    <w:p w:rsidR="001614ED" w:rsidRPr="009E147D" w:rsidRDefault="001614ED" w:rsidP="009F3745">
      <w:pPr>
        <w:pStyle w:val="subsection"/>
        <w:numPr>
          <w:ilvl w:val="0"/>
          <w:numId w:val="3"/>
        </w:numPr>
        <w:rPr>
          <w:rFonts w:ascii="Cambria" w:hAnsi="Cambria"/>
          <w:sz w:val="22"/>
          <w:szCs w:val="22"/>
        </w:rPr>
      </w:pPr>
      <w:r w:rsidRPr="009E147D">
        <w:rPr>
          <w:rFonts w:ascii="Cambria" w:hAnsi="Cambria"/>
          <w:i/>
          <w:sz w:val="22"/>
          <w:szCs w:val="22"/>
        </w:rPr>
        <w:t>Sec</w:t>
      </w:r>
      <w:r w:rsidR="00316351" w:rsidRPr="009E147D">
        <w:rPr>
          <w:rFonts w:ascii="Cambria" w:hAnsi="Cambria"/>
          <w:i/>
          <w:sz w:val="22"/>
          <w:szCs w:val="22"/>
        </w:rPr>
        <w:t>tion</w:t>
      </w:r>
      <w:r w:rsidRPr="009E147D">
        <w:rPr>
          <w:rFonts w:ascii="Cambria" w:hAnsi="Cambria"/>
          <w:i/>
          <w:sz w:val="22"/>
          <w:szCs w:val="22"/>
        </w:rPr>
        <w:t xml:space="preserve"> 61 Service to achieve reasonably expected result</w:t>
      </w:r>
    </w:p>
    <w:p w:rsidR="00591FBD" w:rsidRPr="009E147D" w:rsidRDefault="00F56C2C" w:rsidP="009F3745">
      <w:pPr>
        <w:pStyle w:val="subsection"/>
        <w:ind w:left="720"/>
        <w:rPr>
          <w:rFonts w:ascii="Cambria" w:hAnsi="Cambria"/>
          <w:sz w:val="22"/>
          <w:szCs w:val="22"/>
        </w:rPr>
      </w:pPr>
      <w:r w:rsidRPr="009E147D">
        <w:rPr>
          <w:rFonts w:ascii="Cambria" w:hAnsi="Cambria"/>
          <w:sz w:val="22"/>
          <w:szCs w:val="22"/>
        </w:rPr>
        <w:t>There is a second part to th</w:t>
      </w:r>
      <w:r w:rsidR="001614ED" w:rsidRPr="009E147D">
        <w:rPr>
          <w:rFonts w:ascii="Cambria" w:hAnsi="Cambria"/>
          <w:sz w:val="22"/>
          <w:szCs w:val="22"/>
        </w:rPr>
        <w:t>e</w:t>
      </w:r>
      <w:r w:rsidRPr="009E147D">
        <w:rPr>
          <w:rFonts w:ascii="Cambria" w:hAnsi="Cambria"/>
          <w:sz w:val="22"/>
          <w:szCs w:val="22"/>
        </w:rPr>
        <w:t xml:space="preserve"> </w:t>
      </w:r>
      <w:r w:rsidR="001614ED" w:rsidRPr="009E147D">
        <w:rPr>
          <w:rFonts w:ascii="Cambria" w:hAnsi="Cambria"/>
          <w:sz w:val="22"/>
          <w:szCs w:val="22"/>
        </w:rPr>
        <w:t xml:space="preserve">last </w:t>
      </w:r>
      <w:r w:rsidRPr="009E147D">
        <w:rPr>
          <w:rFonts w:ascii="Cambria" w:hAnsi="Cambria"/>
          <w:sz w:val="22"/>
          <w:szCs w:val="22"/>
        </w:rPr>
        <w:t xml:space="preserve">guarantee </w:t>
      </w:r>
      <w:r w:rsidR="001614ED" w:rsidRPr="009E147D">
        <w:rPr>
          <w:rFonts w:ascii="Cambria" w:hAnsi="Cambria"/>
          <w:sz w:val="22"/>
          <w:szCs w:val="22"/>
        </w:rPr>
        <w:t xml:space="preserve">(above) </w:t>
      </w:r>
      <w:r w:rsidRPr="009E147D">
        <w:rPr>
          <w:rFonts w:ascii="Cambria" w:hAnsi="Cambria"/>
          <w:sz w:val="22"/>
          <w:szCs w:val="22"/>
        </w:rPr>
        <w:t xml:space="preserve">with a slightly different result, namely, </w:t>
      </w:r>
      <w:r w:rsidR="00591FBD" w:rsidRPr="009E147D">
        <w:rPr>
          <w:rFonts w:ascii="Cambria" w:hAnsi="Cambria"/>
          <w:sz w:val="22"/>
          <w:szCs w:val="22"/>
        </w:rPr>
        <w:t>If</w:t>
      </w:r>
      <w:r w:rsidRPr="009E147D">
        <w:rPr>
          <w:rFonts w:ascii="Cambria" w:hAnsi="Cambria"/>
          <w:sz w:val="22"/>
          <w:szCs w:val="22"/>
        </w:rPr>
        <w:t xml:space="preserve"> the consumer makes known to the supplier </w:t>
      </w:r>
      <w:r w:rsidR="00591FBD" w:rsidRPr="009E147D">
        <w:rPr>
          <w:rFonts w:ascii="Cambria" w:hAnsi="Cambria"/>
          <w:sz w:val="22"/>
          <w:szCs w:val="22"/>
        </w:rPr>
        <w:t>the result that the consumer wishes the services to achieve;</w:t>
      </w:r>
    </w:p>
    <w:p w:rsidR="00591FBD" w:rsidRPr="009E147D" w:rsidRDefault="00591FBD" w:rsidP="009F3745">
      <w:pPr>
        <w:pStyle w:val="subsection2"/>
        <w:ind w:left="720"/>
        <w:rPr>
          <w:rFonts w:ascii="Cambria" w:hAnsi="Cambria"/>
          <w:sz w:val="22"/>
          <w:szCs w:val="22"/>
        </w:rPr>
      </w:pPr>
      <w:r w:rsidRPr="009E147D">
        <w:rPr>
          <w:rFonts w:ascii="Cambria" w:hAnsi="Cambria"/>
          <w:sz w:val="22"/>
          <w:szCs w:val="22"/>
        </w:rPr>
        <w:t>there is a guarantee that the services, and any product resulting from the services, will be of such a nature, and quality, state or condition, that they might reasonably be expected to achieve that result.</w:t>
      </w:r>
    </w:p>
    <w:p w:rsidR="00591FBD" w:rsidRPr="009E147D" w:rsidRDefault="00F56C2C" w:rsidP="009F3745">
      <w:pPr>
        <w:pStyle w:val="subsection2"/>
        <w:ind w:left="720"/>
        <w:rPr>
          <w:rFonts w:ascii="Cambria" w:hAnsi="Cambria"/>
          <w:sz w:val="22"/>
          <w:szCs w:val="22"/>
        </w:rPr>
      </w:pPr>
      <w:r w:rsidRPr="009E147D">
        <w:rPr>
          <w:rFonts w:ascii="Cambria" w:hAnsi="Cambria"/>
          <w:sz w:val="22"/>
          <w:szCs w:val="22"/>
        </w:rPr>
        <w:t xml:space="preserve">The guarantee is not available </w:t>
      </w:r>
      <w:r w:rsidR="00591FBD" w:rsidRPr="009E147D">
        <w:rPr>
          <w:rFonts w:ascii="Cambria" w:hAnsi="Cambria"/>
          <w:sz w:val="22"/>
          <w:szCs w:val="22"/>
        </w:rPr>
        <w:t>if the circumstances show that the consumer did not rely on, or that it was unreasonable for the consumer to rely on, the skill or judgment of the supplier.</w:t>
      </w:r>
    </w:p>
    <w:p w:rsidR="00591FBD" w:rsidRPr="009E147D" w:rsidRDefault="00F56C2C" w:rsidP="009F3745">
      <w:pPr>
        <w:pStyle w:val="acthead5"/>
        <w:numPr>
          <w:ilvl w:val="0"/>
          <w:numId w:val="3"/>
        </w:numPr>
        <w:rPr>
          <w:rFonts w:ascii="Cambria" w:hAnsi="Cambria"/>
          <w:i/>
          <w:sz w:val="22"/>
          <w:szCs w:val="22"/>
        </w:rPr>
      </w:pPr>
      <w:bookmarkStart w:id="12" w:name="param124"/>
      <w:bookmarkStart w:id="13" w:name="_Toc280879085"/>
      <w:bookmarkEnd w:id="12"/>
      <w:r w:rsidRPr="009E147D">
        <w:rPr>
          <w:rStyle w:val="charsectno"/>
          <w:rFonts w:ascii="Cambria" w:hAnsi="Cambria"/>
          <w:i/>
          <w:sz w:val="22"/>
          <w:szCs w:val="22"/>
        </w:rPr>
        <w:t>Sec</w:t>
      </w:r>
      <w:r w:rsidR="00316351" w:rsidRPr="009E147D">
        <w:rPr>
          <w:rStyle w:val="charsectno"/>
          <w:rFonts w:ascii="Cambria" w:hAnsi="Cambria"/>
          <w:i/>
          <w:sz w:val="22"/>
          <w:szCs w:val="22"/>
        </w:rPr>
        <w:t>tion</w:t>
      </w:r>
      <w:r w:rsidRPr="009E147D">
        <w:rPr>
          <w:rStyle w:val="charsectno"/>
          <w:rFonts w:ascii="Cambria" w:hAnsi="Cambria"/>
          <w:i/>
          <w:sz w:val="22"/>
          <w:szCs w:val="22"/>
        </w:rPr>
        <w:t xml:space="preserve"> </w:t>
      </w:r>
      <w:r w:rsidR="00591FBD" w:rsidRPr="009E147D">
        <w:rPr>
          <w:rStyle w:val="charsectno"/>
          <w:rFonts w:ascii="Cambria" w:hAnsi="Cambria"/>
          <w:i/>
          <w:sz w:val="22"/>
          <w:szCs w:val="22"/>
        </w:rPr>
        <w:t>62</w:t>
      </w:r>
      <w:r w:rsidR="00591FBD" w:rsidRPr="009E147D">
        <w:rPr>
          <w:rFonts w:ascii="Cambria" w:hAnsi="Cambria"/>
          <w:i/>
          <w:sz w:val="22"/>
          <w:szCs w:val="22"/>
        </w:rPr>
        <w:t>  Guarantee as to reasonable time for supply</w:t>
      </w:r>
      <w:bookmarkEnd w:id="13"/>
    </w:p>
    <w:p w:rsidR="00591FBD" w:rsidRPr="009E147D" w:rsidRDefault="00591FBD" w:rsidP="009F3745">
      <w:pPr>
        <w:pStyle w:val="subsection"/>
        <w:rPr>
          <w:rFonts w:ascii="Cambria" w:hAnsi="Cambria"/>
          <w:sz w:val="22"/>
          <w:szCs w:val="22"/>
        </w:rPr>
      </w:pPr>
      <w:r w:rsidRPr="009E147D">
        <w:rPr>
          <w:rFonts w:ascii="Cambria" w:hAnsi="Cambria"/>
          <w:sz w:val="22"/>
          <w:szCs w:val="22"/>
        </w:rPr>
        <w:t>                   If:</w:t>
      </w:r>
    </w:p>
    <w:p w:rsidR="00591FBD" w:rsidRPr="009E147D" w:rsidRDefault="00591FBD" w:rsidP="009F3745">
      <w:pPr>
        <w:pStyle w:val="paragraph"/>
        <w:rPr>
          <w:rFonts w:ascii="Cambria" w:hAnsi="Cambria"/>
          <w:sz w:val="22"/>
          <w:szCs w:val="22"/>
        </w:rPr>
      </w:pPr>
      <w:r w:rsidRPr="009E147D">
        <w:rPr>
          <w:rFonts w:ascii="Cambria" w:hAnsi="Cambria"/>
          <w:sz w:val="22"/>
          <w:szCs w:val="22"/>
        </w:rPr>
        <w:t xml:space="preserve">                     (a)  </w:t>
      </w:r>
      <w:proofErr w:type="gramStart"/>
      <w:r w:rsidRPr="009E147D">
        <w:rPr>
          <w:rFonts w:ascii="Cambria" w:hAnsi="Cambria"/>
          <w:sz w:val="22"/>
          <w:szCs w:val="22"/>
        </w:rPr>
        <w:t>a</w:t>
      </w:r>
      <w:proofErr w:type="gramEnd"/>
      <w:r w:rsidRPr="009E147D">
        <w:rPr>
          <w:rFonts w:ascii="Cambria" w:hAnsi="Cambria"/>
          <w:sz w:val="22"/>
          <w:szCs w:val="22"/>
        </w:rPr>
        <w:t xml:space="preserve"> person (the </w:t>
      </w:r>
      <w:r w:rsidRPr="009E147D">
        <w:rPr>
          <w:rFonts w:ascii="Cambria" w:hAnsi="Cambria"/>
          <w:bCs/>
          <w:i/>
          <w:iCs/>
          <w:sz w:val="22"/>
          <w:szCs w:val="22"/>
        </w:rPr>
        <w:t>supplier</w:t>
      </w:r>
      <w:r w:rsidRPr="009E147D">
        <w:rPr>
          <w:rFonts w:ascii="Cambria" w:hAnsi="Cambria"/>
          <w:sz w:val="22"/>
          <w:szCs w:val="22"/>
        </w:rPr>
        <w:t>) supplies, in trade or commerce, services to a consumer; and</w:t>
      </w:r>
    </w:p>
    <w:p w:rsidR="00591FBD" w:rsidRPr="009E147D" w:rsidRDefault="00591FBD" w:rsidP="009F3745">
      <w:pPr>
        <w:pStyle w:val="paragraph"/>
        <w:rPr>
          <w:rFonts w:ascii="Cambria" w:hAnsi="Cambria"/>
          <w:sz w:val="22"/>
          <w:szCs w:val="22"/>
        </w:rPr>
      </w:pPr>
      <w:r w:rsidRPr="009E147D">
        <w:rPr>
          <w:rFonts w:ascii="Cambria" w:hAnsi="Cambria"/>
          <w:sz w:val="22"/>
          <w:szCs w:val="22"/>
        </w:rPr>
        <w:t xml:space="preserve">                     (b)  </w:t>
      </w:r>
      <w:proofErr w:type="gramStart"/>
      <w:r w:rsidRPr="009E147D">
        <w:rPr>
          <w:rFonts w:ascii="Cambria" w:hAnsi="Cambria"/>
          <w:sz w:val="22"/>
          <w:szCs w:val="22"/>
        </w:rPr>
        <w:t>the</w:t>
      </w:r>
      <w:proofErr w:type="gramEnd"/>
      <w:r w:rsidRPr="009E147D">
        <w:rPr>
          <w:rFonts w:ascii="Cambria" w:hAnsi="Cambria"/>
          <w:sz w:val="22"/>
          <w:szCs w:val="22"/>
        </w:rPr>
        <w:t xml:space="preserve"> time within which the services are to be supplied:</w:t>
      </w:r>
    </w:p>
    <w:p w:rsidR="00591FBD" w:rsidRPr="009E147D" w:rsidRDefault="00591FBD" w:rsidP="009F3745">
      <w:pPr>
        <w:pStyle w:val="paragraphsub"/>
        <w:rPr>
          <w:rFonts w:ascii="Cambria" w:hAnsi="Cambria"/>
          <w:sz w:val="22"/>
          <w:szCs w:val="22"/>
        </w:rPr>
      </w:pPr>
      <w:r w:rsidRPr="009E147D">
        <w:rPr>
          <w:rFonts w:ascii="Cambria" w:hAnsi="Cambria"/>
          <w:sz w:val="22"/>
          <w:szCs w:val="22"/>
        </w:rPr>
        <w:t>                              (</w:t>
      </w:r>
      <w:proofErr w:type="spellStart"/>
      <w:r w:rsidRPr="009E147D">
        <w:rPr>
          <w:rFonts w:ascii="Cambria" w:hAnsi="Cambria"/>
          <w:sz w:val="22"/>
          <w:szCs w:val="22"/>
        </w:rPr>
        <w:t>i</w:t>
      </w:r>
      <w:proofErr w:type="spellEnd"/>
      <w:r w:rsidRPr="009E147D">
        <w:rPr>
          <w:rFonts w:ascii="Cambria" w:hAnsi="Cambria"/>
          <w:sz w:val="22"/>
          <w:szCs w:val="22"/>
        </w:rPr>
        <w:t xml:space="preserve">)  </w:t>
      </w:r>
      <w:proofErr w:type="gramStart"/>
      <w:r w:rsidRPr="009E147D">
        <w:rPr>
          <w:rFonts w:ascii="Cambria" w:hAnsi="Cambria"/>
          <w:sz w:val="22"/>
          <w:szCs w:val="22"/>
        </w:rPr>
        <w:t>is</w:t>
      </w:r>
      <w:proofErr w:type="gramEnd"/>
      <w:r w:rsidRPr="009E147D">
        <w:rPr>
          <w:rFonts w:ascii="Cambria" w:hAnsi="Cambria"/>
          <w:sz w:val="22"/>
          <w:szCs w:val="22"/>
        </w:rPr>
        <w:t xml:space="preserve"> not fixed by the contract for the supply of the services; or</w:t>
      </w:r>
    </w:p>
    <w:p w:rsidR="00591FBD" w:rsidRPr="009E147D" w:rsidRDefault="00591FBD" w:rsidP="009F3745">
      <w:pPr>
        <w:pStyle w:val="paragraphsub"/>
        <w:rPr>
          <w:rFonts w:ascii="Cambria" w:hAnsi="Cambria"/>
          <w:sz w:val="22"/>
          <w:szCs w:val="22"/>
        </w:rPr>
      </w:pPr>
      <w:r w:rsidRPr="009E147D">
        <w:rPr>
          <w:rFonts w:ascii="Cambria" w:hAnsi="Cambria"/>
          <w:sz w:val="22"/>
          <w:szCs w:val="22"/>
        </w:rPr>
        <w:t>                             (</w:t>
      </w:r>
      <w:proofErr w:type="gramStart"/>
      <w:r w:rsidRPr="009E147D">
        <w:rPr>
          <w:rFonts w:ascii="Cambria" w:hAnsi="Cambria"/>
          <w:sz w:val="22"/>
          <w:szCs w:val="22"/>
        </w:rPr>
        <w:t>ii</w:t>
      </w:r>
      <w:proofErr w:type="gramEnd"/>
      <w:r w:rsidRPr="009E147D">
        <w:rPr>
          <w:rFonts w:ascii="Cambria" w:hAnsi="Cambria"/>
          <w:sz w:val="22"/>
          <w:szCs w:val="22"/>
        </w:rPr>
        <w:t>)  is not to be determined in a manner agreed to by the consumer and supplier;</w:t>
      </w:r>
    </w:p>
    <w:p w:rsidR="00591FBD" w:rsidRPr="009E147D" w:rsidRDefault="00591FBD" w:rsidP="009F3745">
      <w:pPr>
        <w:pStyle w:val="subsection2"/>
        <w:ind w:firstLine="720"/>
        <w:rPr>
          <w:rFonts w:ascii="Cambria" w:hAnsi="Cambria"/>
          <w:sz w:val="22"/>
          <w:szCs w:val="22"/>
        </w:rPr>
      </w:pPr>
      <w:proofErr w:type="gramStart"/>
      <w:r w:rsidRPr="009E147D">
        <w:rPr>
          <w:rFonts w:ascii="Cambria" w:hAnsi="Cambria"/>
          <w:sz w:val="22"/>
          <w:szCs w:val="22"/>
        </w:rPr>
        <w:t>there</w:t>
      </w:r>
      <w:proofErr w:type="gramEnd"/>
      <w:r w:rsidRPr="009E147D">
        <w:rPr>
          <w:rFonts w:ascii="Cambria" w:hAnsi="Cambria"/>
          <w:sz w:val="22"/>
          <w:szCs w:val="22"/>
        </w:rPr>
        <w:t xml:space="preserve"> is a guarantee that the services will be supplied within a reasonable time.</w:t>
      </w:r>
    </w:p>
    <w:p w:rsidR="00591FBD" w:rsidRPr="009E147D" w:rsidRDefault="001614ED" w:rsidP="00397D84">
      <w:pPr>
        <w:pStyle w:val="Heading1"/>
      </w:pPr>
      <w:bookmarkStart w:id="14" w:name="param125"/>
      <w:bookmarkStart w:id="15" w:name="param126"/>
      <w:bookmarkStart w:id="16" w:name="_Toc333321351"/>
      <w:bookmarkEnd w:id="14"/>
      <w:bookmarkEnd w:id="15"/>
      <w:r w:rsidRPr="00397D84">
        <w:lastRenderedPageBreak/>
        <w:t>The implied guarantees are mandatory</w:t>
      </w:r>
      <w:bookmarkEnd w:id="16"/>
    </w:p>
    <w:p w:rsidR="00591FBD" w:rsidRPr="009E147D" w:rsidRDefault="00F56C2C" w:rsidP="009F3745">
      <w:bookmarkStart w:id="17" w:name="param127"/>
      <w:bookmarkStart w:id="18" w:name="_Toc280879088"/>
      <w:bookmarkEnd w:id="17"/>
      <w:r w:rsidRPr="009E147D">
        <w:rPr>
          <w:rStyle w:val="charsectno"/>
        </w:rPr>
        <w:t xml:space="preserve">Section 64 of the ACL provides that the guarantees cannot be excluded from a contract </w:t>
      </w:r>
      <w:bookmarkEnd w:id="18"/>
      <w:r w:rsidRPr="009E147D">
        <w:rPr>
          <w:rStyle w:val="charsectno"/>
        </w:rPr>
        <w:t xml:space="preserve">and </w:t>
      </w:r>
      <w:r w:rsidR="002F5E33" w:rsidRPr="009E147D">
        <w:rPr>
          <w:rStyle w:val="charsectno"/>
        </w:rPr>
        <w:t xml:space="preserve">a party </w:t>
      </w:r>
      <w:r w:rsidRPr="009E147D">
        <w:rPr>
          <w:rStyle w:val="charsectno"/>
        </w:rPr>
        <w:t>cannot change them.</w:t>
      </w:r>
    </w:p>
    <w:p w:rsidR="00591FBD" w:rsidRPr="009E147D" w:rsidRDefault="00F56C2C" w:rsidP="009F3745">
      <w:r w:rsidRPr="009E147D">
        <w:t>In a written</w:t>
      </w:r>
      <w:r w:rsidR="002F5E33" w:rsidRPr="009E147D">
        <w:t xml:space="preserve"> contract it is possible for a p</w:t>
      </w:r>
      <w:r w:rsidRPr="009E147D">
        <w:t xml:space="preserve">rovider of services </w:t>
      </w:r>
      <w:r w:rsidR="008B0BB8" w:rsidRPr="009E147D">
        <w:t>to limit the impact of the guarantees by</w:t>
      </w:r>
      <w:r w:rsidR="00316351" w:rsidRPr="009E147D">
        <w:t>,</w:t>
      </w:r>
      <w:r w:rsidR="008B0BB8" w:rsidRPr="009E147D">
        <w:t xml:space="preserve"> for example</w:t>
      </w:r>
      <w:r w:rsidR="00316351" w:rsidRPr="009E147D">
        <w:t>,</w:t>
      </w:r>
      <w:r w:rsidR="008B0BB8" w:rsidRPr="009E147D">
        <w:t xml:space="preserve"> re-supplying the services, or paying for them to be supplied again. </w:t>
      </w:r>
      <w:r w:rsidR="00316351" w:rsidRPr="009E147D">
        <w:t xml:space="preserve"> </w:t>
      </w:r>
      <w:r w:rsidR="008B0BB8" w:rsidRPr="009E147D">
        <w:t xml:space="preserve">However that only </w:t>
      </w:r>
      <w:r w:rsidR="00316351" w:rsidRPr="009E147D">
        <w:t xml:space="preserve">applies </w:t>
      </w:r>
      <w:r w:rsidR="008B0BB8" w:rsidRPr="009E147D">
        <w:t xml:space="preserve">where it is fair and reasonable (for the determination of which there are tests) </w:t>
      </w:r>
      <w:r w:rsidR="00316351" w:rsidRPr="009E147D">
        <w:t xml:space="preserve">AND </w:t>
      </w:r>
      <w:r w:rsidR="008B0BB8" w:rsidRPr="009E147D">
        <w:t xml:space="preserve">where the services are not ordinarily for personal, domestic or household use or consumption. </w:t>
      </w:r>
      <w:r w:rsidR="00316351" w:rsidRPr="009E147D">
        <w:t xml:space="preserve"> We submit that in </w:t>
      </w:r>
      <w:r w:rsidR="008B0BB8" w:rsidRPr="009E147D">
        <w:t xml:space="preserve">the case of accommodation and care delivery services, it would be hard to argue that </w:t>
      </w:r>
      <w:r w:rsidR="00316351" w:rsidRPr="009E147D">
        <w:t xml:space="preserve">the services </w:t>
      </w:r>
      <w:r w:rsidR="008B0BB8" w:rsidRPr="009E147D">
        <w:t>were not for personal use or consumption.</w:t>
      </w:r>
    </w:p>
    <w:p w:rsidR="0092358B" w:rsidRPr="009E147D" w:rsidRDefault="0092358B" w:rsidP="00397D84">
      <w:pPr>
        <w:pStyle w:val="Heading1"/>
      </w:pPr>
      <w:bookmarkStart w:id="19" w:name="_Toc333321352"/>
      <w:r w:rsidRPr="009E147D">
        <w:t>How do the implied consumer guarantees fit with the Aged Care system?</w:t>
      </w:r>
      <w:bookmarkEnd w:id="19"/>
    </w:p>
    <w:p w:rsidR="0092358B" w:rsidRPr="00397D84" w:rsidRDefault="00316351" w:rsidP="009F3745">
      <w:r w:rsidRPr="00397D84">
        <w:t>The following</w:t>
      </w:r>
      <w:r w:rsidR="0092358B" w:rsidRPr="00397D84">
        <w:t xml:space="preserve"> table suggests how the </w:t>
      </w:r>
      <w:r w:rsidRPr="00397D84">
        <w:t xml:space="preserve">ACL’s </w:t>
      </w:r>
      <w:r w:rsidR="0092358B" w:rsidRPr="00397D84">
        <w:t xml:space="preserve">consumer guarantees might apply to some of the more serious issues arising </w:t>
      </w:r>
      <w:r w:rsidR="00F40C8D" w:rsidRPr="00397D84">
        <w:t xml:space="preserve">in the delivery of </w:t>
      </w:r>
      <w:r w:rsidR="0092358B" w:rsidRPr="00397D84">
        <w:t>aged care service</w:t>
      </w:r>
      <w:r w:rsidR="00F40C8D" w:rsidRPr="00397D84">
        <w:t>:</w:t>
      </w:r>
    </w:p>
    <w:tbl>
      <w:tblPr>
        <w:tblStyle w:val="TableGrid"/>
        <w:tblW w:w="0" w:type="auto"/>
        <w:tblInd w:w="108"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45" w:type="dxa"/>
          <w:bottom w:w="45" w:type="dxa"/>
        </w:tblCellMar>
        <w:tblLook w:val="04A0"/>
      </w:tblPr>
      <w:tblGrid>
        <w:gridCol w:w="1807"/>
        <w:gridCol w:w="1915"/>
        <w:gridCol w:w="1915"/>
        <w:gridCol w:w="1915"/>
        <w:gridCol w:w="1916"/>
      </w:tblGrid>
      <w:tr w:rsidR="00BD2CF7" w:rsidRPr="009F3745" w:rsidTr="009F3745">
        <w:tc>
          <w:tcPr>
            <w:tcW w:w="1807" w:type="dxa"/>
            <w:shd w:val="clear" w:color="auto" w:fill="114E6F"/>
          </w:tcPr>
          <w:p w:rsidR="00BD2CF7" w:rsidRPr="009F3745" w:rsidRDefault="00BD2CF7" w:rsidP="00A8757D">
            <w:pPr>
              <w:pStyle w:val="subsection"/>
              <w:spacing w:before="0" w:beforeAutospacing="0" w:after="0" w:afterAutospacing="0"/>
              <w:rPr>
                <w:rFonts w:ascii="Cambria" w:hAnsi="Cambria"/>
                <w:b/>
                <w:color w:val="FFFFFF" w:themeColor="background1"/>
                <w:sz w:val="22"/>
                <w:szCs w:val="22"/>
              </w:rPr>
            </w:pPr>
            <w:r w:rsidRPr="009F3745">
              <w:rPr>
                <w:rFonts w:ascii="Cambria" w:hAnsi="Cambria"/>
                <w:b/>
                <w:color w:val="FFFFFF" w:themeColor="background1"/>
                <w:sz w:val="22"/>
                <w:szCs w:val="22"/>
              </w:rPr>
              <w:t>Care delivery complaint</w:t>
            </w:r>
          </w:p>
        </w:tc>
        <w:tc>
          <w:tcPr>
            <w:tcW w:w="1915" w:type="dxa"/>
            <w:shd w:val="clear" w:color="auto" w:fill="114E6F"/>
          </w:tcPr>
          <w:p w:rsidR="00BD2CF7" w:rsidRPr="009F3745" w:rsidRDefault="00E4490F" w:rsidP="00A8757D">
            <w:pPr>
              <w:pStyle w:val="subsection"/>
              <w:spacing w:before="0" w:beforeAutospacing="0" w:after="0" w:afterAutospacing="0"/>
              <w:jc w:val="center"/>
              <w:rPr>
                <w:rFonts w:ascii="Cambria" w:hAnsi="Cambria"/>
                <w:b/>
                <w:color w:val="FFFFFF" w:themeColor="background1"/>
                <w:sz w:val="22"/>
                <w:szCs w:val="22"/>
              </w:rPr>
            </w:pPr>
            <w:r w:rsidRPr="009F3745">
              <w:rPr>
                <w:rFonts w:ascii="Cambria" w:hAnsi="Cambria"/>
                <w:b/>
                <w:color w:val="FFFFFF" w:themeColor="background1"/>
                <w:sz w:val="22"/>
                <w:szCs w:val="22"/>
              </w:rPr>
              <w:t xml:space="preserve">(1) </w:t>
            </w:r>
            <w:r w:rsidR="00BD2CF7" w:rsidRPr="009F3745">
              <w:rPr>
                <w:rFonts w:ascii="Cambria" w:hAnsi="Cambria"/>
                <w:b/>
                <w:color w:val="FFFFFF" w:themeColor="background1"/>
                <w:sz w:val="22"/>
                <w:szCs w:val="22"/>
              </w:rPr>
              <w:t>Due care &amp; skill</w:t>
            </w:r>
          </w:p>
        </w:tc>
        <w:tc>
          <w:tcPr>
            <w:tcW w:w="1915" w:type="dxa"/>
            <w:shd w:val="clear" w:color="auto" w:fill="114E6F"/>
          </w:tcPr>
          <w:p w:rsidR="00BD2CF7" w:rsidRPr="009F3745" w:rsidRDefault="00BD2CF7" w:rsidP="00A8757D">
            <w:pPr>
              <w:pStyle w:val="subsection"/>
              <w:spacing w:before="0" w:beforeAutospacing="0" w:after="0" w:afterAutospacing="0"/>
              <w:jc w:val="center"/>
              <w:rPr>
                <w:rFonts w:ascii="Cambria" w:hAnsi="Cambria"/>
                <w:b/>
                <w:color w:val="FFFFFF" w:themeColor="background1"/>
                <w:sz w:val="22"/>
                <w:szCs w:val="22"/>
              </w:rPr>
            </w:pPr>
            <w:r w:rsidRPr="009F3745">
              <w:rPr>
                <w:rFonts w:ascii="Cambria" w:hAnsi="Cambria"/>
                <w:b/>
                <w:color w:val="FFFFFF" w:themeColor="background1"/>
                <w:sz w:val="22"/>
                <w:szCs w:val="22"/>
              </w:rPr>
              <w:t>(2)</w:t>
            </w:r>
            <w:r w:rsidR="00F40C8D" w:rsidRPr="009F3745">
              <w:rPr>
                <w:rFonts w:ascii="Cambria" w:hAnsi="Cambria"/>
                <w:b/>
                <w:color w:val="FFFFFF" w:themeColor="background1"/>
                <w:sz w:val="22"/>
                <w:szCs w:val="22"/>
              </w:rPr>
              <w:t xml:space="preserve"> Reasonably </w:t>
            </w:r>
            <w:r w:rsidRPr="009F3745">
              <w:rPr>
                <w:rFonts w:ascii="Cambria" w:hAnsi="Cambria"/>
                <w:b/>
                <w:color w:val="FFFFFF" w:themeColor="background1"/>
                <w:sz w:val="22"/>
                <w:szCs w:val="22"/>
              </w:rPr>
              <w:t>fit</w:t>
            </w:r>
          </w:p>
        </w:tc>
        <w:tc>
          <w:tcPr>
            <w:tcW w:w="1915" w:type="dxa"/>
            <w:shd w:val="clear" w:color="auto" w:fill="114E6F"/>
          </w:tcPr>
          <w:p w:rsidR="00BD2CF7" w:rsidRPr="009F3745" w:rsidRDefault="00BD2CF7" w:rsidP="00A8757D">
            <w:pPr>
              <w:pStyle w:val="subsection"/>
              <w:spacing w:before="0" w:beforeAutospacing="0" w:after="0" w:afterAutospacing="0"/>
              <w:jc w:val="center"/>
              <w:rPr>
                <w:rFonts w:ascii="Cambria" w:hAnsi="Cambria"/>
                <w:b/>
                <w:color w:val="FFFFFF" w:themeColor="background1"/>
                <w:sz w:val="22"/>
                <w:szCs w:val="22"/>
              </w:rPr>
            </w:pPr>
            <w:r w:rsidRPr="009F3745">
              <w:rPr>
                <w:rFonts w:ascii="Cambria" w:hAnsi="Cambria"/>
                <w:b/>
                <w:color w:val="FFFFFF" w:themeColor="background1"/>
                <w:sz w:val="22"/>
                <w:szCs w:val="22"/>
              </w:rPr>
              <w:t>(3)</w:t>
            </w:r>
            <w:r w:rsidR="00F40C8D" w:rsidRPr="009F3745">
              <w:rPr>
                <w:rFonts w:ascii="Cambria" w:hAnsi="Cambria"/>
                <w:b/>
                <w:color w:val="FFFFFF" w:themeColor="background1"/>
                <w:sz w:val="22"/>
                <w:szCs w:val="22"/>
              </w:rPr>
              <w:t xml:space="preserve"> Achieve </w:t>
            </w:r>
            <w:r w:rsidRPr="009F3745">
              <w:rPr>
                <w:rFonts w:ascii="Cambria" w:hAnsi="Cambria"/>
                <w:b/>
                <w:color w:val="FFFFFF" w:themeColor="background1"/>
                <w:sz w:val="22"/>
                <w:szCs w:val="22"/>
              </w:rPr>
              <w:t>desired result</w:t>
            </w:r>
          </w:p>
        </w:tc>
        <w:tc>
          <w:tcPr>
            <w:tcW w:w="1916" w:type="dxa"/>
            <w:shd w:val="clear" w:color="auto" w:fill="114E6F"/>
          </w:tcPr>
          <w:p w:rsidR="00BD2CF7" w:rsidRPr="009F3745" w:rsidRDefault="00BD2CF7" w:rsidP="00A8757D">
            <w:pPr>
              <w:pStyle w:val="subsection"/>
              <w:spacing w:before="0" w:beforeAutospacing="0" w:after="0" w:afterAutospacing="0"/>
              <w:jc w:val="center"/>
              <w:rPr>
                <w:rFonts w:ascii="Cambria" w:hAnsi="Cambria"/>
                <w:b/>
                <w:color w:val="FFFFFF" w:themeColor="background1"/>
                <w:sz w:val="22"/>
                <w:szCs w:val="22"/>
              </w:rPr>
            </w:pPr>
            <w:r w:rsidRPr="009F3745">
              <w:rPr>
                <w:rFonts w:ascii="Cambria" w:hAnsi="Cambria"/>
                <w:b/>
                <w:color w:val="FFFFFF" w:themeColor="background1"/>
                <w:sz w:val="22"/>
                <w:szCs w:val="22"/>
              </w:rPr>
              <w:t>(4)</w:t>
            </w:r>
            <w:r w:rsidR="00F40C8D" w:rsidRPr="009F3745">
              <w:rPr>
                <w:rFonts w:ascii="Cambria" w:hAnsi="Cambria"/>
                <w:b/>
                <w:color w:val="FFFFFF" w:themeColor="background1"/>
                <w:sz w:val="22"/>
                <w:szCs w:val="22"/>
              </w:rPr>
              <w:t xml:space="preserve"> Supplied </w:t>
            </w:r>
            <w:r w:rsidR="00E4490F" w:rsidRPr="009F3745">
              <w:rPr>
                <w:rFonts w:ascii="Cambria" w:hAnsi="Cambria"/>
                <w:b/>
                <w:color w:val="FFFFFF" w:themeColor="background1"/>
                <w:sz w:val="22"/>
                <w:szCs w:val="22"/>
              </w:rPr>
              <w:t>in a reasonable time</w:t>
            </w:r>
          </w:p>
        </w:tc>
      </w:tr>
      <w:tr w:rsidR="00E4490F" w:rsidRPr="009E147D" w:rsidTr="009F3745">
        <w:tc>
          <w:tcPr>
            <w:tcW w:w="1807" w:type="dxa"/>
          </w:tcPr>
          <w:p w:rsidR="00E4490F" w:rsidRPr="00A8757D" w:rsidRDefault="00E4490F" w:rsidP="00A8757D">
            <w:pPr>
              <w:pStyle w:val="subsection"/>
              <w:spacing w:before="0" w:beforeAutospacing="0" w:after="0" w:afterAutospacing="0"/>
              <w:rPr>
                <w:rFonts w:ascii="Cambria" w:hAnsi="Cambria"/>
                <w:sz w:val="20"/>
                <w:szCs w:val="20"/>
              </w:rPr>
            </w:pPr>
            <w:r w:rsidRPr="00A8757D">
              <w:rPr>
                <w:rFonts w:ascii="Cambria" w:hAnsi="Cambria"/>
                <w:sz w:val="20"/>
                <w:szCs w:val="20"/>
              </w:rPr>
              <w:t>Pressure sores</w:t>
            </w:r>
          </w:p>
        </w:tc>
        <w:tc>
          <w:tcPr>
            <w:tcW w:w="1915" w:type="dxa"/>
          </w:tcPr>
          <w:p w:rsidR="00E4490F" w:rsidRPr="00A8757D" w:rsidRDefault="00E4490F" w:rsidP="00A8757D">
            <w:pPr>
              <w:pStyle w:val="subsection"/>
              <w:numPr>
                <w:ilvl w:val="0"/>
                <w:numId w:val="6"/>
              </w:numPr>
              <w:spacing w:before="0" w:beforeAutospacing="0" w:after="0" w:afterAutospacing="0"/>
              <w:ind w:left="714" w:hanging="357"/>
              <w:jc w:val="center"/>
              <w:rPr>
                <w:rFonts w:ascii="Cambria" w:hAnsi="Cambria"/>
                <w:color w:val="17365D" w:themeColor="text2" w:themeShade="BF"/>
                <w:sz w:val="28"/>
                <w:szCs w:val="28"/>
              </w:rPr>
            </w:pPr>
          </w:p>
        </w:tc>
        <w:tc>
          <w:tcPr>
            <w:tcW w:w="1915" w:type="dxa"/>
          </w:tcPr>
          <w:p w:rsidR="00E4490F" w:rsidRPr="00A8757D" w:rsidRDefault="00E4490F" w:rsidP="00A8757D">
            <w:pPr>
              <w:pStyle w:val="subsection"/>
              <w:spacing w:before="0" w:beforeAutospacing="0" w:after="0" w:afterAutospacing="0"/>
              <w:jc w:val="center"/>
              <w:rPr>
                <w:rFonts w:ascii="Cambria" w:hAnsi="Cambria"/>
                <w:color w:val="17365D" w:themeColor="text2" w:themeShade="BF"/>
                <w:sz w:val="28"/>
                <w:szCs w:val="28"/>
              </w:rPr>
            </w:pPr>
          </w:p>
        </w:tc>
        <w:tc>
          <w:tcPr>
            <w:tcW w:w="1915" w:type="dxa"/>
          </w:tcPr>
          <w:p w:rsidR="00E4490F" w:rsidRPr="00A8757D" w:rsidRDefault="00E4490F" w:rsidP="00A8757D">
            <w:pPr>
              <w:pStyle w:val="subsection"/>
              <w:spacing w:before="0" w:beforeAutospacing="0" w:after="0" w:afterAutospacing="0"/>
              <w:jc w:val="center"/>
              <w:rPr>
                <w:rFonts w:ascii="Cambria" w:hAnsi="Cambria"/>
                <w:color w:val="17365D" w:themeColor="text2" w:themeShade="BF"/>
                <w:sz w:val="28"/>
                <w:szCs w:val="28"/>
              </w:rPr>
            </w:pPr>
          </w:p>
        </w:tc>
        <w:tc>
          <w:tcPr>
            <w:tcW w:w="1916" w:type="dxa"/>
          </w:tcPr>
          <w:p w:rsidR="00E4490F" w:rsidRPr="00A8757D" w:rsidRDefault="00E4490F" w:rsidP="00A8757D">
            <w:pPr>
              <w:pStyle w:val="subsection"/>
              <w:spacing w:before="0" w:beforeAutospacing="0" w:after="0" w:afterAutospacing="0"/>
              <w:jc w:val="center"/>
              <w:rPr>
                <w:rFonts w:ascii="Cambria" w:hAnsi="Cambria"/>
                <w:color w:val="17365D" w:themeColor="text2" w:themeShade="BF"/>
                <w:sz w:val="28"/>
                <w:szCs w:val="28"/>
              </w:rPr>
            </w:pPr>
          </w:p>
        </w:tc>
      </w:tr>
      <w:tr w:rsidR="00E4490F" w:rsidRPr="009E147D" w:rsidTr="009F3745">
        <w:tc>
          <w:tcPr>
            <w:tcW w:w="1807" w:type="dxa"/>
          </w:tcPr>
          <w:p w:rsidR="00E4490F" w:rsidRPr="00A8757D" w:rsidRDefault="00E4490F" w:rsidP="00A8757D">
            <w:pPr>
              <w:pStyle w:val="subsection"/>
              <w:spacing w:before="0" w:beforeAutospacing="0" w:after="0" w:afterAutospacing="0"/>
              <w:rPr>
                <w:rFonts w:ascii="Cambria" w:hAnsi="Cambria"/>
                <w:sz w:val="20"/>
                <w:szCs w:val="20"/>
              </w:rPr>
            </w:pPr>
            <w:r w:rsidRPr="00A8757D">
              <w:rPr>
                <w:rFonts w:ascii="Cambria" w:hAnsi="Cambria"/>
                <w:sz w:val="20"/>
                <w:szCs w:val="20"/>
              </w:rPr>
              <w:t>Infected pressure sores</w:t>
            </w:r>
          </w:p>
        </w:tc>
        <w:tc>
          <w:tcPr>
            <w:tcW w:w="1915" w:type="dxa"/>
          </w:tcPr>
          <w:p w:rsidR="00E4490F" w:rsidRPr="00A8757D" w:rsidRDefault="00E4490F" w:rsidP="00A8757D">
            <w:pPr>
              <w:pStyle w:val="subsection"/>
              <w:numPr>
                <w:ilvl w:val="0"/>
                <w:numId w:val="6"/>
              </w:numPr>
              <w:spacing w:before="0" w:beforeAutospacing="0" w:after="0" w:afterAutospacing="0"/>
              <w:jc w:val="center"/>
              <w:rPr>
                <w:rFonts w:ascii="Cambria" w:hAnsi="Cambria"/>
                <w:color w:val="17365D" w:themeColor="text2" w:themeShade="BF"/>
                <w:sz w:val="28"/>
                <w:szCs w:val="28"/>
              </w:rPr>
            </w:pPr>
          </w:p>
        </w:tc>
        <w:tc>
          <w:tcPr>
            <w:tcW w:w="1915" w:type="dxa"/>
          </w:tcPr>
          <w:p w:rsidR="00E4490F" w:rsidRPr="00A8757D" w:rsidRDefault="00E4490F" w:rsidP="00A8757D">
            <w:pPr>
              <w:pStyle w:val="subsection"/>
              <w:numPr>
                <w:ilvl w:val="0"/>
                <w:numId w:val="6"/>
              </w:numPr>
              <w:spacing w:before="0" w:beforeAutospacing="0" w:after="0" w:afterAutospacing="0"/>
              <w:jc w:val="center"/>
              <w:rPr>
                <w:rFonts w:ascii="Cambria" w:hAnsi="Cambria"/>
                <w:color w:val="17365D" w:themeColor="text2" w:themeShade="BF"/>
                <w:sz w:val="28"/>
                <w:szCs w:val="28"/>
              </w:rPr>
            </w:pPr>
          </w:p>
        </w:tc>
        <w:tc>
          <w:tcPr>
            <w:tcW w:w="1915" w:type="dxa"/>
          </w:tcPr>
          <w:p w:rsidR="00E4490F" w:rsidRPr="00A8757D" w:rsidRDefault="00E4490F" w:rsidP="00A8757D">
            <w:pPr>
              <w:pStyle w:val="subsection"/>
              <w:numPr>
                <w:ilvl w:val="0"/>
                <w:numId w:val="6"/>
              </w:numPr>
              <w:spacing w:before="0" w:beforeAutospacing="0" w:after="0" w:afterAutospacing="0"/>
              <w:jc w:val="center"/>
              <w:rPr>
                <w:rFonts w:ascii="Cambria" w:hAnsi="Cambria"/>
                <w:color w:val="17365D" w:themeColor="text2" w:themeShade="BF"/>
                <w:sz w:val="28"/>
                <w:szCs w:val="28"/>
              </w:rPr>
            </w:pPr>
          </w:p>
        </w:tc>
        <w:tc>
          <w:tcPr>
            <w:tcW w:w="1916" w:type="dxa"/>
          </w:tcPr>
          <w:p w:rsidR="00E4490F" w:rsidRPr="00A8757D" w:rsidRDefault="00E4490F" w:rsidP="00A8757D">
            <w:pPr>
              <w:pStyle w:val="subsection"/>
              <w:numPr>
                <w:ilvl w:val="0"/>
                <w:numId w:val="6"/>
              </w:numPr>
              <w:spacing w:before="0" w:beforeAutospacing="0" w:after="0" w:afterAutospacing="0"/>
              <w:jc w:val="center"/>
              <w:rPr>
                <w:rFonts w:ascii="Cambria" w:hAnsi="Cambria"/>
                <w:color w:val="17365D" w:themeColor="text2" w:themeShade="BF"/>
                <w:sz w:val="28"/>
                <w:szCs w:val="28"/>
              </w:rPr>
            </w:pPr>
          </w:p>
        </w:tc>
      </w:tr>
      <w:tr w:rsidR="00E4490F" w:rsidRPr="009E147D" w:rsidTr="009F3745">
        <w:tc>
          <w:tcPr>
            <w:tcW w:w="1807" w:type="dxa"/>
          </w:tcPr>
          <w:p w:rsidR="00E4490F" w:rsidRPr="00A8757D" w:rsidRDefault="00E4490F" w:rsidP="00A8757D">
            <w:pPr>
              <w:pStyle w:val="subsection"/>
              <w:spacing w:before="0" w:beforeAutospacing="0" w:after="0" w:afterAutospacing="0"/>
              <w:rPr>
                <w:rFonts w:ascii="Cambria" w:hAnsi="Cambria"/>
                <w:sz w:val="20"/>
                <w:szCs w:val="20"/>
              </w:rPr>
            </w:pPr>
            <w:r w:rsidRPr="00A8757D">
              <w:rPr>
                <w:rFonts w:ascii="Cambria" w:hAnsi="Cambria"/>
                <w:sz w:val="20"/>
                <w:szCs w:val="20"/>
              </w:rPr>
              <w:t>Dehydration</w:t>
            </w:r>
          </w:p>
        </w:tc>
        <w:tc>
          <w:tcPr>
            <w:tcW w:w="1915" w:type="dxa"/>
          </w:tcPr>
          <w:p w:rsidR="00E4490F" w:rsidRPr="00A8757D" w:rsidRDefault="00E4490F" w:rsidP="00A8757D">
            <w:pPr>
              <w:pStyle w:val="subsection"/>
              <w:numPr>
                <w:ilvl w:val="0"/>
                <w:numId w:val="6"/>
              </w:numPr>
              <w:spacing w:before="0" w:beforeAutospacing="0" w:after="0" w:afterAutospacing="0"/>
              <w:jc w:val="center"/>
              <w:rPr>
                <w:rFonts w:ascii="Cambria" w:hAnsi="Cambria"/>
                <w:color w:val="17365D" w:themeColor="text2" w:themeShade="BF"/>
                <w:sz w:val="28"/>
                <w:szCs w:val="28"/>
              </w:rPr>
            </w:pPr>
          </w:p>
        </w:tc>
        <w:tc>
          <w:tcPr>
            <w:tcW w:w="1915" w:type="dxa"/>
          </w:tcPr>
          <w:p w:rsidR="00E4490F" w:rsidRPr="00A8757D" w:rsidRDefault="00E4490F" w:rsidP="00A8757D">
            <w:pPr>
              <w:pStyle w:val="subsection"/>
              <w:spacing w:before="0" w:beforeAutospacing="0" w:after="0" w:afterAutospacing="0"/>
              <w:jc w:val="center"/>
              <w:rPr>
                <w:rFonts w:ascii="Cambria" w:hAnsi="Cambria"/>
                <w:color w:val="17365D" w:themeColor="text2" w:themeShade="BF"/>
                <w:sz w:val="28"/>
                <w:szCs w:val="28"/>
              </w:rPr>
            </w:pPr>
          </w:p>
        </w:tc>
        <w:tc>
          <w:tcPr>
            <w:tcW w:w="1915" w:type="dxa"/>
          </w:tcPr>
          <w:p w:rsidR="00E4490F" w:rsidRPr="00A8757D" w:rsidRDefault="00E4490F" w:rsidP="00A8757D">
            <w:pPr>
              <w:pStyle w:val="subsection"/>
              <w:numPr>
                <w:ilvl w:val="0"/>
                <w:numId w:val="6"/>
              </w:numPr>
              <w:spacing w:before="0" w:beforeAutospacing="0" w:after="0" w:afterAutospacing="0"/>
              <w:jc w:val="center"/>
              <w:rPr>
                <w:rFonts w:ascii="Cambria" w:hAnsi="Cambria"/>
                <w:color w:val="17365D" w:themeColor="text2" w:themeShade="BF"/>
                <w:sz w:val="28"/>
                <w:szCs w:val="28"/>
              </w:rPr>
            </w:pPr>
          </w:p>
        </w:tc>
        <w:tc>
          <w:tcPr>
            <w:tcW w:w="1916" w:type="dxa"/>
          </w:tcPr>
          <w:p w:rsidR="00E4490F" w:rsidRPr="00A8757D" w:rsidRDefault="00E4490F" w:rsidP="00A8757D">
            <w:pPr>
              <w:pStyle w:val="subsection"/>
              <w:numPr>
                <w:ilvl w:val="0"/>
                <w:numId w:val="6"/>
              </w:numPr>
              <w:spacing w:before="0" w:beforeAutospacing="0" w:after="0" w:afterAutospacing="0"/>
              <w:jc w:val="center"/>
              <w:rPr>
                <w:rFonts w:ascii="Cambria" w:hAnsi="Cambria"/>
                <w:color w:val="17365D" w:themeColor="text2" w:themeShade="BF"/>
                <w:sz w:val="28"/>
                <w:szCs w:val="28"/>
              </w:rPr>
            </w:pPr>
          </w:p>
        </w:tc>
      </w:tr>
      <w:tr w:rsidR="00E4490F" w:rsidRPr="009E147D" w:rsidTr="009F3745">
        <w:tc>
          <w:tcPr>
            <w:tcW w:w="1807" w:type="dxa"/>
          </w:tcPr>
          <w:p w:rsidR="00E4490F" w:rsidRPr="00A8757D" w:rsidRDefault="00E4490F" w:rsidP="00A8757D">
            <w:pPr>
              <w:pStyle w:val="subsection"/>
              <w:spacing w:before="0" w:beforeAutospacing="0" w:after="0" w:afterAutospacing="0"/>
              <w:rPr>
                <w:rFonts w:ascii="Cambria" w:hAnsi="Cambria"/>
                <w:sz w:val="20"/>
                <w:szCs w:val="20"/>
              </w:rPr>
            </w:pPr>
            <w:r w:rsidRPr="00A8757D">
              <w:rPr>
                <w:rFonts w:ascii="Cambria" w:hAnsi="Cambria"/>
                <w:sz w:val="20"/>
                <w:szCs w:val="20"/>
              </w:rPr>
              <w:t>Malnutrition</w:t>
            </w:r>
          </w:p>
        </w:tc>
        <w:tc>
          <w:tcPr>
            <w:tcW w:w="1915" w:type="dxa"/>
          </w:tcPr>
          <w:p w:rsidR="00E4490F" w:rsidRPr="00A8757D" w:rsidRDefault="00E4490F" w:rsidP="00A8757D">
            <w:pPr>
              <w:pStyle w:val="subsection"/>
              <w:numPr>
                <w:ilvl w:val="0"/>
                <w:numId w:val="6"/>
              </w:numPr>
              <w:spacing w:before="0" w:beforeAutospacing="0" w:after="0" w:afterAutospacing="0"/>
              <w:jc w:val="center"/>
              <w:rPr>
                <w:rFonts w:ascii="Cambria" w:hAnsi="Cambria"/>
                <w:color w:val="17365D" w:themeColor="text2" w:themeShade="BF"/>
                <w:sz w:val="28"/>
                <w:szCs w:val="28"/>
              </w:rPr>
            </w:pPr>
          </w:p>
        </w:tc>
        <w:tc>
          <w:tcPr>
            <w:tcW w:w="1915" w:type="dxa"/>
          </w:tcPr>
          <w:p w:rsidR="00E4490F" w:rsidRPr="00A8757D" w:rsidRDefault="00E4490F" w:rsidP="00A8757D">
            <w:pPr>
              <w:pStyle w:val="subsection"/>
              <w:spacing w:before="0" w:beforeAutospacing="0" w:after="0" w:afterAutospacing="0"/>
              <w:jc w:val="center"/>
              <w:rPr>
                <w:rFonts w:ascii="Cambria" w:hAnsi="Cambria"/>
                <w:color w:val="17365D" w:themeColor="text2" w:themeShade="BF"/>
                <w:sz w:val="28"/>
                <w:szCs w:val="28"/>
              </w:rPr>
            </w:pPr>
          </w:p>
        </w:tc>
        <w:tc>
          <w:tcPr>
            <w:tcW w:w="1915" w:type="dxa"/>
          </w:tcPr>
          <w:p w:rsidR="00E4490F" w:rsidRPr="00A8757D" w:rsidRDefault="00E4490F" w:rsidP="00A8757D">
            <w:pPr>
              <w:pStyle w:val="subsection"/>
              <w:numPr>
                <w:ilvl w:val="0"/>
                <w:numId w:val="6"/>
              </w:numPr>
              <w:spacing w:before="0" w:beforeAutospacing="0" w:after="0" w:afterAutospacing="0"/>
              <w:jc w:val="center"/>
              <w:rPr>
                <w:rFonts w:ascii="Cambria" w:hAnsi="Cambria"/>
                <w:color w:val="17365D" w:themeColor="text2" w:themeShade="BF"/>
                <w:sz w:val="28"/>
                <w:szCs w:val="28"/>
              </w:rPr>
            </w:pPr>
          </w:p>
        </w:tc>
        <w:tc>
          <w:tcPr>
            <w:tcW w:w="1916" w:type="dxa"/>
          </w:tcPr>
          <w:p w:rsidR="00E4490F" w:rsidRPr="00A8757D" w:rsidRDefault="00E4490F" w:rsidP="00A8757D">
            <w:pPr>
              <w:pStyle w:val="subsection"/>
              <w:numPr>
                <w:ilvl w:val="0"/>
                <w:numId w:val="6"/>
              </w:numPr>
              <w:spacing w:before="0" w:beforeAutospacing="0" w:after="0" w:afterAutospacing="0"/>
              <w:jc w:val="center"/>
              <w:rPr>
                <w:rFonts w:ascii="Cambria" w:hAnsi="Cambria"/>
                <w:color w:val="17365D" w:themeColor="text2" w:themeShade="BF"/>
                <w:sz w:val="28"/>
                <w:szCs w:val="28"/>
              </w:rPr>
            </w:pPr>
          </w:p>
        </w:tc>
      </w:tr>
      <w:tr w:rsidR="00E4490F" w:rsidRPr="009E147D" w:rsidTr="009F3745">
        <w:tc>
          <w:tcPr>
            <w:tcW w:w="1807" w:type="dxa"/>
          </w:tcPr>
          <w:p w:rsidR="00E4490F" w:rsidRPr="00A8757D" w:rsidRDefault="00E4490F" w:rsidP="00A8757D">
            <w:pPr>
              <w:pStyle w:val="subsection"/>
              <w:spacing w:before="0" w:beforeAutospacing="0" w:after="0" w:afterAutospacing="0"/>
              <w:rPr>
                <w:rFonts w:ascii="Cambria" w:hAnsi="Cambria"/>
                <w:sz w:val="20"/>
                <w:szCs w:val="20"/>
              </w:rPr>
            </w:pPr>
            <w:r w:rsidRPr="00A8757D">
              <w:rPr>
                <w:rFonts w:ascii="Cambria" w:hAnsi="Cambria"/>
                <w:sz w:val="20"/>
                <w:szCs w:val="20"/>
              </w:rPr>
              <w:t>Aspiration pneumonia</w:t>
            </w:r>
          </w:p>
        </w:tc>
        <w:tc>
          <w:tcPr>
            <w:tcW w:w="1915" w:type="dxa"/>
          </w:tcPr>
          <w:p w:rsidR="00E4490F" w:rsidRPr="00A8757D" w:rsidRDefault="00E4490F" w:rsidP="00A8757D">
            <w:pPr>
              <w:pStyle w:val="subsection"/>
              <w:numPr>
                <w:ilvl w:val="0"/>
                <w:numId w:val="6"/>
              </w:numPr>
              <w:spacing w:before="0" w:beforeAutospacing="0" w:after="0" w:afterAutospacing="0"/>
              <w:jc w:val="center"/>
              <w:rPr>
                <w:rFonts w:ascii="Cambria" w:hAnsi="Cambria"/>
                <w:color w:val="17365D" w:themeColor="text2" w:themeShade="BF"/>
                <w:sz w:val="28"/>
                <w:szCs w:val="28"/>
              </w:rPr>
            </w:pPr>
          </w:p>
        </w:tc>
        <w:tc>
          <w:tcPr>
            <w:tcW w:w="1915" w:type="dxa"/>
          </w:tcPr>
          <w:p w:rsidR="00E4490F" w:rsidRPr="00A8757D" w:rsidRDefault="00E4490F" w:rsidP="00A8757D">
            <w:pPr>
              <w:pStyle w:val="subsection"/>
              <w:spacing w:before="0" w:beforeAutospacing="0" w:after="0" w:afterAutospacing="0"/>
              <w:jc w:val="center"/>
              <w:rPr>
                <w:rFonts w:ascii="Cambria" w:hAnsi="Cambria"/>
                <w:color w:val="17365D" w:themeColor="text2" w:themeShade="BF"/>
                <w:sz w:val="28"/>
                <w:szCs w:val="28"/>
              </w:rPr>
            </w:pPr>
          </w:p>
        </w:tc>
        <w:tc>
          <w:tcPr>
            <w:tcW w:w="1915" w:type="dxa"/>
          </w:tcPr>
          <w:p w:rsidR="00E4490F" w:rsidRPr="00A8757D" w:rsidRDefault="00E4490F" w:rsidP="00A8757D">
            <w:pPr>
              <w:pStyle w:val="subsection"/>
              <w:spacing w:before="0" w:beforeAutospacing="0" w:after="0" w:afterAutospacing="0"/>
              <w:jc w:val="center"/>
              <w:rPr>
                <w:rFonts w:ascii="Cambria" w:hAnsi="Cambria"/>
                <w:color w:val="17365D" w:themeColor="text2" w:themeShade="BF"/>
                <w:sz w:val="28"/>
                <w:szCs w:val="28"/>
              </w:rPr>
            </w:pPr>
          </w:p>
        </w:tc>
        <w:tc>
          <w:tcPr>
            <w:tcW w:w="1916" w:type="dxa"/>
          </w:tcPr>
          <w:p w:rsidR="00E4490F" w:rsidRPr="00A8757D" w:rsidRDefault="00E4490F" w:rsidP="00A8757D">
            <w:pPr>
              <w:pStyle w:val="subsection"/>
              <w:spacing w:before="0" w:beforeAutospacing="0" w:after="0" w:afterAutospacing="0"/>
              <w:jc w:val="center"/>
              <w:rPr>
                <w:rFonts w:ascii="Cambria" w:hAnsi="Cambria"/>
                <w:color w:val="17365D" w:themeColor="text2" w:themeShade="BF"/>
                <w:sz w:val="28"/>
                <w:szCs w:val="28"/>
              </w:rPr>
            </w:pPr>
          </w:p>
        </w:tc>
      </w:tr>
      <w:tr w:rsidR="00E4490F" w:rsidRPr="009E147D" w:rsidTr="009F3745">
        <w:tc>
          <w:tcPr>
            <w:tcW w:w="1807" w:type="dxa"/>
          </w:tcPr>
          <w:p w:rsidR="00E4490F" w:rsidRPr="00A8757D" w:rsidRDefault="00E4490F" w:rsidP="00A8757D">
            <w:pPr>
              <w:pStyle w:val="subsection"/>
              <w:spacing w:before="0" w:beforeAutospacing="0" w:after="0" w:afterAutospacing="0"/>
              <w:rPr>
                <w:rFonts w:ascii="Cambria" w:hAnsi="Cambria"/>
                <w:sz w:val="20"/>
                <w:szCs w:val="20"/>
              </w:rPr>
            </w:pPr>
            <w:r w:rsidRPr="00A8757D">
              <w:rPr>
                <w:rFonts w:ascii="Cambria" w:hAnsi="Cambria"/>
                <w:sz w:val="20"/>
                <w:szCs w:val="20"/>
              </w:rPr>
              <w:t>Medication error</w:t>
            </w:r>
          </w:p>
        </w:tc>
        <w:tc>
          <w:tcPr>
            <w:tcW w:w="1915" w:type="dxa"/>
          </w:tcPr>
          <w:p w:rsidR="00E4490F" w:rsidRPr="00A8757D" w:rsidRDefault="00E4490F" w:rsidP="00A8757D">
            <w:pPr>
              <w:pStyle w:val="subsection"/>
              <w:numPr>
                <w:ilvl w:val="0"/>
                <w:numId w:val="6"/>
              </w:numPr>
              <w:spacing w:before="0" w:beforeAutospacing="0" w:after="0" w:afterAutospacing="0"/>
              <w:jc w:val="center"/>
              <w:rPr>
                <w:rFonts w:ascii="Cambria" w:hAnsi="Cambria"/>
                <w:color w:val="17365D" w:themeColor="text2" w:themeShade="BF"/>
                <w:sz w:val="28"/>
                <w:szCs w:val="28"/>
              </w:rPr>
            </w:pPr>
          </w:p>
        </w:tc>
        <w:tc>
          <w:tcPr>
            <w:tcW w:w="1915" w:type="dxa"/>
          </w:tcPr>
          <w:p w:rsidR="00E4490F" w:rsidRPr="00A8757D" w:rsidRDefault="00E4490F" w:rsidP="00A8757D">
            <w:pPr>
              <w:pStyle w:val="subsection"/>
              <w:spacing w:before="0" w:beforeAutospacing="0" w:after="0" w:afterAutospacing="0"/>
              <w:jc w:val="center"/>
              <w:rPr>
                <w:rFonts w:ascii="Cambria" w:hAnsi="Cambria"/>
                <w:color w:val="17365D" w:themeColor="text2" w:themeShade="BF"/>
                <w:sz w:val="28"/>
                <w:szCs w:val="28"/>
              </w:rPr>
            </w:pPr>
          </w:p>
        </w:tc>
        <w:tc>
          <w:tcPr>
            <w:tcW w:w="1915" w:type="dxa"/>
          </w:tcPr>
          <w:p w:rsidR="00E4490F" w:rsidRPr="00A8757D" w:rsidRDefault="00E4490F" w:rsidP="00A8757D">
            <w:pPr>
              <w:pStyle w:val="subsection"/>
              <w:numPr>
                <w:ilvl w:val="0"/>
                <w:numId w:val="6"/>
              </w:numPr>
              <w:spacing w:before="0" w:beforeAutospacing="0" w:after="0" w:afterAutospacing="0"/>
              <w:jc w:val="center"/>
              <w:rPr>
                <w:rFonts w:ascii="Cambria" w:hAnsi="Cambria"/>
                <w:color w:val="17365D" w:themeColor="text2" w:themeShade="BF"/>
                <w:sz w:val="28"/>
                <w:szCs w:val="28"/>
              </w:rPr>
            </w:pPr>
          </w:p>
        </w:tc>
        <w:tc>
          <w:tcPr>
            <w:tcW w:w="1916" w:type="dxa"/>
          </w:tcPr>
          <w:p w:rsidR="00E4490F" w:rsidRPr="00A8757D" w:rsidRDefault="00E4490F" w:rsidP="00A8757D">
            <w:pPr>
              <w:pStyle w:val="subsection"/>
              <w:spacing w:before="0" w:beforeAutospacing="0" w:after="0" w:afterAutospacing="0"/>
              <w:jc w:val="center"/>
              <w:rPr>
                <w:rFonts w:ascii="Cambria" w:hAnsi="Cambria"/>
                <w:color w:val="17365D" w:themeColor="text2" w:themeShade="BF"/>
                <w:sz w:val="28"/>
                <w:szCs w:val="28"/>
              </w:rPr>
            </w:pPr>
          </w:p>
        </w:tc>
      </w:tr>
      <w:tr w:rsidR="00E4490F" w:rsidRPr="009E147D" w:rsidTr="009F3745">
        <w:tc>
          <w:tcPr>
            <w:tcW w:w="1807" w:type="dxa"/>
          </w:tcPr>
          <w:p w:rsidR="00E4490F" w:rsidRPr="00A8757D" w:rsidRDefault="00E4490F" w:rsidP="00A8757D">
            <w:pPr>
              <w:pStyle w:val="subsection"/>
              <w:spacing w:before="0" w:beforeAutospacing="0" w:after="0" w:afterAutospacing="0"/>
              <w:rPr>
                <w:rFonts w:ascii="Cambria" w:hAnsi="Cambria"/>
                <w:sz w:val="20"/>
                <w:szCs w:val="20"/>
              </w:rPr>
            </w:pPr>
            <w:r w:rsidRPr="00A8757D">
              <w:rPr>
                <w:rFonts w:ascii="Cambria" w:hAnsi="Cambria"/>
                <w:sz w:val="20"/>
                <w:szCs w:val="20"/>
              </w:rPr>
              <w:t>Falls/ injury</w:t>
            </w:r>
          </w:p>
        </w:tc>
        <w:tc>
          <w:tcPr>
            <w:tcW w:w="1915" w:type="dxa"/>
          </w:tcPr>
          <w:p w:rsidR="00E4490F" w:rsidRPr="00A8757D" w:rsidRDefault="00E4490F" w:rsidP="00A8757D">
            <w:pPr>
              <w:pStyle w:val="subsection"/>
              <w:numPr>
                <w:ilvl w:val="0"/>
                <w:numId w:val="6"/>
              </w:numPr>
              <w:spacing w:before="0" w:beforeAutospacing="0" w:after="0" w:afterAutospacing="0"/>
              <w:jc w:val="center"/>
              <w:rPr>
                <w:rFonts w:ascii="Cambria" w:hAnsi="Cambria"/>
                <w:color w:val="17365D" w:themeColor="text2" w:themeShade="BF"/>
                <w:sz w:val="28"/>
                <w:szCs w:val="28"/>
              </w:rPr>
            </w:pPr>
          </w:p>
        </w:tc>
        <w:tc>
          <w:tcPr>
            <w:tcW w:w="1915" w:type="dxa"/>
          </w:tcPr>
          <w:p w:rsidR="00E4490F" w:rsidRPr="00A8757D" w:rsidRDefault="00E4490F" w:rsidP="00A8757D">
            <w:pPr>
              <w:pStyle w:val="subsection"/>
              <w:spacing w:before="0" w:beforeAutospacing="0" w:after="0" w:afterAutospacing="0"/>
              <w:jc w:val="center"/>
              <w:rPr>
                <w:rFonts w:ascii="Cambria" w:hAnsi="Cambria"/>
                <w:color w:val="17365D" w:themeColor="text2" w:themeShade="BF"/>
                <w:sz w:val="28"/>
                <w:szCs w:val="28"/>
              </w:rPr>
            </w:pPr>
          </w:p>
        </w:tc>
        <w:tc>
          <w:tcPr>
            <w:tcW w:w="1915" w:type="dxa"/>
          </w:tcPr>
          <w:p w:rsidR="00E4490F" w:rsidRPr="00A8757D" w:rsidRDefault="00E4490F" w:rsidP="00A8757D">
            <w:pPr>
              <w:pStyle w:val="subsection"/>
              <w:spacing w:before="0" w:beforeAutospacing="0" w:after="0" w:afterAutospacing="0"/>
              <w:jc w:val="center"/>
              <w:rPr>
                <w:rFonts w:ascii="Cambria" w:hAnsi="Cambria"/>
                <w:color w:val="17365D" w:themeColor="text2" w:themeShade="BF"/>
                <w:sz w:val="28"/>
                <w:szCs w:val="28"/>
              </w:rPr>
            </w:pPr>
          </w:p>
        </w:tc>
        <w:tc>
          <w:tcPr>
            <w:tcW w:w="1916" w:type="dxa"/>
          </w:tcPr>
          <w:p w:rsidR="00E4490F" w:rsidRPr="00A8757D" w:rsidRDefault="00E4490F" w:rsidP="00A8757D">
            <w:pPr>
              <w:pStyle w:val="subsection"/>
              <w:spacing w:before="0" w:beforeAutospacing="0" w:after="0" w:afterAutospacing="0"/>
              <w:jc w:val="center"/>
              <w:rPr>
                <w:rFonts w:ascii="Cambria" w:hAnsi="Cambria"/>
                <w:color w:val="17365D" w:themeColor="text2" w:themeShade="BF"/>
                <w:sz w:val="28"/>
                <w:szCs w:val="28"/>
              </w:rPr>
            </w:pPr>
          </w:p>
        </w:tc>
      </w:tr>
      <w:tr w:rsidR="00E4490F" w:rsidRPr="009E147D" w:rsidTr="009F3745">
        <w:tc>
          <w:tcPr>
            <w:tcW w:w="1807" w:type="dxa"/>
          </w:tcPr>
          <w:p w:rsidR="00E4490F" w:rsidRPr="00A8757D" w:rsidRDefault="00E4490F" w:rsidP="00A8757D">
            <w:pPr>
              <w:pStyle w:val="subsection"/>
              <w:spacing w:before="0" w:beforeAutospacing="0" w:after="0" w:afterAutospacing="0"/>
              <w:rPr>
                <w:rFonts w:ascii="Cambria" w:hAnsi="Cambria"/>
                <w:sz w:val="20"/>
                <w:szCs w:val="20"/>
              </w:rPr>
            </w:pPr>
            <w:r w:rsidRPr="00A8757D">
              <w:rPr>
                <w:rFonts w:ascii="Cambria" w:hAnsi="Cambria"/>
                <w:sz w:val="20"/>
                <w:szCs w:val="20"/>
              </w:rPr>
              <w:t>Scalding</w:t>
            </w:r>
          </w:p>
        </w:tc>
        <w:tc>
          <w:tcPr>
            <w:tcW w:w="1915" w:type="dxa"/>
          </w:tcPr>
          <w:p w:rsidR="00E4490F" w:rsidRPr="00A8757D" w:rsidRDefault="00E4490F" w:rsidP="00A8757D">
            <w:pPr>
              <w:pStyle w:val="subsection"/>
              <w:numPr>
                <w:ilvl w:val="0"/>
                <w:numId w:val="6"/>
              </w:numPr>
              <w:spacing w:before="0" w:beforeAutospacing="0" w:after="0" w:afterAutospacing="0"/>
              <w:jc w:val="center"/>
              <w:rPr>
                <w:rFonts w:ascii="Cambria" w:hAnsi="Cambria"/>
                <w:color w:val="17365D" w:themeColor="text2" w:themeShade="BF"/>
                <w:sz w:val="28"/>
                <w:szCs w:val="28"/>
              </w:rPr>
            </w:pPr>
          </w:p>
        </w:tc>
        <w:tc>
          <w:tcPr>
            <w:tcW w:w="1915" w:type="dxa"/>
          </w:tcPr>
          <w:p w:rsidR="00E4490F" w:rsidRPr="00A8757D" w:rsidRDefault="00E4490F" w:rsidP="00A8757D">
            <w:pPr>
              <w:pStyle w:val="subsection"/>
              <w:numPr>
                <w:ilvl w:val="0"/>
                <w:numId w:val="6"/>
              </w:numPr>
              <w:spacing w:before="0" w:beforeAutospacing="0" w:after="0" w:afterAutospacing="0"/>
              <w:jc w:val="center"/>
              <w:rPr>
                <w:rFonts w:ascii="Cambria" w:hAnsi="Cambria"/>
                <w:color w:val="17365D" w:themeColor="text2" w:themeShade="BF"/>
                <w:sz w:val="28"/>
                <w:szCs w:val="28"/>
              </w:rPr>
            </w:pPr>
          </w:p>
        </w:tc>
        <w:tc>
          <w:tcPr>
            <w:tcW w:w="1915" w:type="dxa"/>
          </w:tcPr>
          <w:p w:rsidR="00E4490F" w:rsidRPr="00A8757D" w:rsidRDefault="00E4490F" w:rsidP="00A8757D">
            <w:pPr>
              <w:pStyle w:val="subsection"/>
              <w:spacing w:before="0" w:beforeAutospacing="0" w:after="0" w:afterAutospacing="0"/>
              <w:jc w:val="center"/>
              <w:rPr>
                <w:rFonts w:ascii="Cambria" w:hAnsi="Cambria"/>
                <w:color w:val="17365D" w:themeColor="text2" w:themeShade="BF"/>
                <w:sz w:val="28"/>
                <w:szCs w:val="28"/>
              </w:rPr>
            </w:pPr>
          </w:p>
        </w:tc>
        <w:tc>
          <w:tcPr>
            <w:tcW w:w="1916" w:type="dxa"/>
          </w:tcPr>
          <w:p w:rsidR="00E4490F" w:rsidRPr="00A8757D" w:rsidRDefault="00E4490F" w:rsidP="00A8757D">
            <w:pPr>
              <w:pStyle w:val="subsection"/>
              <w:spacing w:before="0" w:beforeAutospacing="0" w:after="0" w:afterAutospacing="0"/>
              <w:jc w:val="center"/>
              <w:rPr>
                <w:rFonts w:ascii="Cambria" w:hAnsi="Cambria"/>
                <w:color w:val="17365D" w:themeColor="text2" w:themeShade="BF"/>
                <w:sz w:val="28"/>
                <w:szCs w:val="28"/>
              </w:rPr>
            </w:pPr>
          </w:p>
        </w:tc>
      </w:tr>
      <w:tr w:rsidR="00E4490F" w:rsidRPr="009E147D" w:rsidTr="009F3745">
        <w:tc>
          <w:tcPr>
            <w:tcW w:w="1807" w:type="dxa"/>
          </w:tcPr>
          <w:p w:rsidR="00E4490F" w:rsidRPr="00A8757D" w:rsidRDefault="00E4490F" w:rsidP="00A8757D">
            <w:pPr>
              <w:pStyle w:val="subsection"/>
              <w:spacing w:before="0" w:beforeAutospacing="0" w:after="0" w:afterAutospacing="0"/>
              <w:rPr>
                <w:rFonts w:ascii="Cambria" w:hAnsi="Cambria"/>
                <w:sz w:val="20"/>
                <w:szCs w:val="20"/>
              </w:rPr>
            </w:pPr>
            <w:r w:rsidRPr="00A8757D">
              <w:rPr>
                <w:rFonts w:ascii="Cambria" w:hAnsi="Cambria"/>
                <w:sz w:val="20"/>
                <w:szCs w:val="20"/>
              </w:rPr>
              <w:t>Toileting – delay &amp; neglect</w:t>
            </w:r>
          </w:p>
        </w:tc>
        <w:tc>
          <w:tcPr>
            <w:tcW w:w="1915" w:type="dxa"/>
          </w:tcPr>
          <w:p w:rsidR="00E4490F" w:rsidRPr="00A8757D" w:rsidRDefault="00E4490F" w:rsidP="00A8757D">
            <w:pPr>
              <w:pStyle w:val="subsection"/>
              <w:spacing w:before="0" w:beforeAutospacing="0" w:after="0" w:afterAutospacing="0"/>
              <w:jc w:val="center"/>
              <w:rPr>
                <w:rFonts w:ascii="Cambria" w:hAnsi="Cambria"/>
                <w:color w:val="17365D" w:themeColor="text2" w:themeShade="BF"/>
                <w:sz w:val="28"/>
                <w:szCs w:val="28"/>
              </w:rPr>
            </w:pPr>
          </w:p>
        </w:tc>
        <w:tc>
          <w:tcPr>
            <w:tcW w:w="1915" w:type="dxa"/>
          </w:tcPr>
          <w:p w:rsidR="00E4490F" w:rsidRPr="00A8757D" w:rsidRDefault="00E4490F" w:rsidP="00A8757D">
            <w:pPr>
              <w:pStyle w:val="subsection"/>
              <w:spacing w:before="0" w:beforeAutospacing="0" w:after="0" w:afterAutospacing="0"/>
              <w:jc w:val="center"/>
              <w:rPr>
                <w:rFonts w:ascii="Cambria" w:hAnsi="Cambria"/>
                <w:color w:val="17365D" w:themeColor="text2" w:themeShade="BF"/>
                <w:sz w:val="28"/>
                <w:szCs w:val="28"/>
              </w:rPr>
            </w:pPr>
          </w:p>
        </w:tc>
        <w:tc>
          <w:tcPr>
            <w:tcW w:w="1915" w:type="dxa"/>
          </w:tcPr>
          <w:p w:rsidR="00E4490F" w:rsidRPr="00A8757D" w:rsidRDefault="00E4490F" w:rsidP="00A8757D">
            <w:pPr>
              <w:pStyle w:val="subsection"/>
              <w:spacing w:before="0" w:beforeAutospacing="0" w:after="0" w:afterAutospacing="0"/>
              <w:jc w:val="center"/>
              <w:rPr>
                <w:rFonts w:ascii="Cambria" w:hAnsi="Cambria"/>
                <w:color w:val="17365D" w:themeColor="text2" w:themeShade="BF"/>
                <w:sz w:val="28"/>
                <w:szCs w:val="28"/>
              </w:rPr>
            </w:pPr>
          </w:p>
        </w:tc>
        <w:tc>
          <w:tcPr>
            <w:tcW w:w="1916" w:type="dxa"/>
          </w:tcPr>
          <w:p w:rsidR="00E4490F" w:rsidRPr="00A8757D" w:rsidRDefault="00E4490F" w:rsidP="00A8757D">
            <w:pPr>
              <w:pStyle w:val="subsection"/>
              <w:numPr>
                <w:ilvl w:val="0"/>
                <w:numId w:val="6"/>
              </w:numPr>
              <w:spacing w:before="0" w:beforeAutospacing="0" w:after="0" w:afterAutospacing="0"/>
              <w:jc w:val="center"/>
              <w:rPr>
                <w:rFonts w:ascii="Cambria" w:hAnsi="Cambria"/>
                <w:color w:val="17365D" w:themeColor="text2" w:themeShade="BF"/>
                <w:sz w:val="28"/>
                <w:szCs w:val="28"/>
              </w:rPr>
            </w:pPr>
          </w:p>
        </w:tc>
      </w:tr>
      <w:tr w:rsidR="00E4490F" w:rsidRPr="009E147D" w:rsidTr="009F3745">
        <w:tc>
          <w:tcPr>
            <w:tcW w:w="1807" w:type="dxa"/>
          </w:tcPr>
          <w:p w:rsidR="00E4490F" w:rsidRPr="00A8757D" w:rsidRDefault="00E4490F" w:rsidP="00A8757D">
            <w:pPr>
              <w:pStyle w:val="subsection"/>
              <w:spacing w:before="0" w:beforeAutospacing="0" w:after="0" w:afterAutospacing="0"/>
              <w:rPr>
                <w:rFonts w:ascii="Cambria" w:hAnsi="Cambria"/>
                <w:sz w:val="20"/>
                <w:szCs w:val="20"/>
              </w:rPr>
            </w:pPr>
            <w:r w:rsidRPr="00A8757D">
              <w:rPr>
                <w:rFonts w:ascii="Cambria" w:hAnsi="Cambria"/>
                <w:sz w:val="20"/>
                <w:szCs w:val="20"/>
              </w:rPr>
              <w:t>Restraint – without consent</w:t>
            </w:r>
            <w:r w:rsidR="007467E7" w:rsidRPr="00A8757D">
              <w:rPr>
                <w:rFonts w:ascii="Cambria" w:hAnsi="Cambria"/>
                <w:sz w:val="20"/>
                <w:szCs w:val="20"/>
              </w:rPr>
              <w:t xml:space="preserve"> </w:t>
            </w:r>
            <w:r w:rsidR="00A8757D">
              <w:rPr>
                <w:rFonts w:ascii="Cambria" w:hAnsi="Cambria"/>
                <w:sz w:val="20"/>
                <w:szCs w:val="20"/>
              </w:rPr>
              <w:br/>
            </w:r>
            <w:r w:rsidR="007467E7" w:rsidRPr="00A8757D">
              <w:rPr>
                <w:rFonts w:ascii="Cambria" w:hAnsi="Cambria"/>
                <w:i/>
                <w:sz w:val="20"/>
                <w:szCs w:val="20"/>
              </w:rPr>
              <w:t>(see below)</w:t>
            </w:r>
          </w:p>
        </w:tc>
        <w:tc>
          <w:tcPr>
            <w:tcW w:w="1915" w:type="dxa"/>
          </w:tcPr>
          <w:p w:rsidR="00E4490F" w:rsidRPr="00A8757D" w:rsidRDefault="00E4490F" w:rsidP="00A8757D">
            <w:pPr>
              <w:pStyle w:val="subsection"/>
              <w:numPr>
                <w:ilvl w:val="0"/>
                <w:numId w:val="6"/>
              </w:numPr>
              <w:spacing w:before="0" w:beforeAutospacing="0" w:after="0" w:afterAutospacing="0"/>
              <w:jc w:val="center"/>
              <w:rPr>
                <w:rFonts w:ascii="Cambria" w:hAnsi="Cambria"/>
                <w:color w:val="17365D" w:themeColor="text2" w:themeShade="BF"/>
                <w:sz w:val="28"/>
                <w:szCs w:val="28"/>
              </w:rPr>
            </w:pPr>
          </w:p>
        </w:tc>
        <w:tc>
          <w:tcPr>
            <w:tcW w:w="1915" w:type="dxa"/>
          </w:tcPr>
          <w:p w:rsidR="00E4490F" w:rsidRPr="00A8757D" w:rsidRDefault="00E4490F" w:rsidP="00A8757D">
            <w:pPr>
              <w:pStyle w:val="subsection"/>
              <w:spacing w:before="0" w:beforeAutospacing="0" w:after="0" w:afterAutospacing="0"/>
              <w:jc w:val="center"/>
              <w:rPr>
                <w:rFonts w:ascii="Cambria" w:hAnsi="Cambria"/>
                <w:color w:val="17365D" w:themeColor="text2" w:themeShade="BF"/>
                <w:sz w:val="28"/>
                <w:szCs w:val="28"/>
              </w:rPr>
            </w:pPr>
          </w:p>
        </w:tc>
        <w:tc>
          <w:tcPr>
            <w:tcW w:w="1915" w:type="dxa"/>
          </w:tcPr>
          <w:p w:rsidR="00E4490F" w:rsidRPr="00A8757D" w:rsidRDefault="00E4490F" w:rsidP="00A8757D">
            <w:pPr>
              <w:pStyle w:val="subsection"/>
              <w:spacing w:before="0" w:beforeAutospacing="0" w:after="0" w:afterAutospacing="0"/>
              <w:jc w:val="center"/>
              <w:rPr>
                <w:rFonts w:ascii="Cambria" w:hAnsi="Cambria"/>
                <w:color w:val="17365D" w:themeColor="text2" w:themeShade="BF"/>
                <w:sz w:val="28"/>
                <w:szCs w:val="28"/>
              </w:rPr>
            </w:pPr>
          </w:p>
        </w:tc>
        <w:tc>
          <w:tcPr>
            <w:tcW w:w="1916" w:type="dxa"/>
          </w:tcPr>
          <w:p w:rsidR="00E4490F" w:rsidRPr="00A8757D" w:rsidRDefault="00E4490F" w:rsidP="00A8757D">
            <w:pPr>
              <w:pStyle w:val="subsection"/>
              <w:spacing w:before="0" w:beforeAutospacing="0" w:after="0" w:afterAutospacing="0"/>
              <w:jc w:val="center"/>
              <w:rPr>
                <w:rFonts w:ascii="Cambria" w:hAnsi="Cambria"/>
                <w:color w:val="17365D" w:themeColor="text2" w:themeShade="BF"/>
                <w:sz w:val="28"/>
                <w:szCs w:val="28"/>
              </w:rPr>
            </w:pPr>
          </w:p>
        </w:tc>
      </w:tr>
    </w:tbl>
    <w:p w:rsidR="002F5E33" w:rsidRPr="009E147D" w:rsidRDefault="002F5E33" w:rsidP="00A8757D">
      <w:pPr>
        <w:pStyle w:val="Heading2"/>
      </w:pPr>
      <w:bookmarkStart w:id="20" w:name="_Toc333321353"/>
      <w:proofErr w:type="gramStart"/>
      <w:r w:rsidRPr="009E147D">
        <w:t>Restraint – a special case?</w:t>
      </w:r>
      <w:bookmarkEnd w:id="20"/>
      <w:proofErr w:type="gramEnd"/>
    </w:p>
    <w:p w:rsidR="00BD2CF7" w:rsidRPr="009E147D" w:rsidRDefault="00684C9E" w:rsidP="009F3745">
      <w:r w:rsidRPr="009E147D">
        <w:t xml:space="preserve">The claim of restraint has historically been made </w:t>
      </w:r>
      <w:r w:rsidR="002F5E33" w:rsidRPr="009E147D">
        <w:t>under the common law</w:t>
      </w:r>
      <w:r w:rsidR="006969E8" w:rsidRPr="009E147D">
        <w:t xml:space="preserve"> as a trespass to the person</w:t>
      </w:r>
      <w:r w:rsidRPr="009E147D">
        <w:t xml:space="preserve">. </w:t>
      </w:r>
      <w:r w:rsidR="002F5E33" w:rsidRPr="009E147D">
        <w:t xml:space="preserve"> </w:t>
      </w:r>
      <w:r w:rsidRPr="009E147D">
        <w:t>However</w:t>
      </w:r>
      <w:r w:rsidR="009F3745">
        <w:t>,</w:t>
      </w:r>
      <w:r w:rsidRPr="009E147D">
        <w:t xml:space="preserve"> it may be possible to present it as a consumer claim on the basis that there has been a failure of care delivery in respect of supervision,</w:t>
      </w:r>
      <w:r w:rsidR="007467E7" w:rsidRPr="009E147D">
        <w:t xml:space="preserve"> staff training and adherence to</w:t>
      </w:r>
      <w:r w:rsidRPr="009E147D">
        <w:t xml:space="preserve"> the rights of residents under the common law, the </w:t>
      </w:r>
      <w:r w:rsidRPr="009E147D">
        <w:rPr>
          <w:i/>
        </w:rPr>
        <w:t>User Rights Principles</w:t>
      </w:r>
      <w:r w:rsidRPr="009E147D">
        <w:t xml:space="preserve"> made under the </w:t>
      </w:r>
      <w:r w:rsidRPr="009E147D">
        <w:rPr>
          <w:i/>
        </w:rPr>
        <w:t>Aged Care Act</w:t>
      </w:r>
      <w:r w:rsidRPr="009E147D">
        <w:t xml:space="preserve"> and the </w:t>
      </w:r>
      <w:r w:rsidR="00F40C8D" w:rsidRPr="009E147D">
        <w:t xml:space="preserve">existing </w:t>
      </w:r>
      <w:r w:rsidRPr="009E147D">
        <w:t xml:space="preserve">protocols for applying restraint </w:t>
      </w:r>
      <w:r w:rsidR="00F40C8D" w:rsidRPr="009E147D">
        <w:t xml:space="preserve">which </w:t>
      </w:r>
      <w:r w:rsidRPr="009E147D">
        <w:t xml:space="preserve">represent best practice in aged care service delivery. </w:t>
      </w:r>
      <w:r w:rsidR="00F40C8D" w:rsidRPr="009E147D">
        <w:t xml:space="preserve"> We do not suggest that th</w:t>
      </w:r>
      <w:r w:rsidR="002F5E33" w:rsidRPr="009E147D">
        <w:t xml:space="preserve">ere are </w:t>
      </w:r>
      <w:r w:rsidR="00F40C8D" w:rsidRPr="009E147D">
        <w:t xml:space="preserve">not </w:t>
      </w:r>
      <w:r w:rsidR="002F5E33" w:rsidRPr="009E147D">
        <w:t xml:space="preserve">further and possibly novel issues which may allow </w:t>
      </w:r>
      <w:r w:rsidR="00F40C8D" w:rsidRPr="009E147D">
        <w:t xml:space="preserve">restraint </w:t>
      </w:r>
      <w:r w:rsidR="002F5E33" w:rsidRPr="009E147D">
        <w:t>claim</w:t>
      </w:r>
      <w:r w:rsidR="00F40C8D" w:rsidRPr="009E147D">
        <w:t>s</w:t>
      </w:r>
      <w:r w:rsidR="002F5E33" w:rsidRPr="009E147D">
        <w:t xml:space="preserve"> to be brought under the ACL.</w:t>
      </w:r>
    </w:p>
    <w:p w:rsidR="0092358B" w:rsidRPr="009E147D" w:rsidRDefault="007467E7" w:rsidP="00A8757D">
      <w:pPr>
        <w:pStyle w:val="Heading1"/>
      </w:pPr>
      <w:bookmarkStart w:id="21" w:name="_Toc333321354"/>
      <w:r w:rsidRPr="009E147D">
        <w:lastRenderedPageBreak/>
        <w:t>Consumer Claims – Limits on claims</w:t>
      </w:r>
      <w:bookmarkEnd w:id="21"/>
    </w:p>
    <w:p w:rsidR="007467E7" w:rsidRPr="009E147D" w:rsidRDefault="007467E7" w:rsidP="009F3745">
      <w:r w:rsidRPr="009E147D">
        <w:t xml:space="preserve">In New South Wales, the </w:t>
      </w:r>
      <w:r w:rsidRPr="009E147D">
        <w:rPr>
          <w:i/>
        </w:rPr>
        <w:t>Consumer Claims Act</w:t>
      </w:r>
      <w:r w:rsidRPr="009E147D">
        <w:t xml:space="preserve"> limits claims to $</w:t>
      </w:r>
      <w:r w:rsidR="00F40C8D" w:rsidRPr="009E147D">
        <w:t>40</w:t>
      </w:r>
      <w:r w:rsidRPr="009E147D">
        <w:t xml:space="preserve">,000. The situation varies from each State and Territory so it is necessary to check on that limit in making a decision about whether or not to go down the pathway which the </w:t>
      </w:r>
      <w:r w:rsidRPr="009E147D">
        <w:rPr>
          <w:i/>
        </w:rPr>
        <w:t>Australian Consumer Law</w:t>
      </w:r>
      <w:r w:rsidRPr="009E147D">
        <w:t xml:space="preserve"> allows. </w:t>
      </w:r>
    </w:p>
    <w:p w:rsidR="00BB1C55" w:rsidRPr="009E147D" w:rsidRDefault="00F40C8D" w:rsidP="0047588A">
      <w:pPr>
        <w:pStyle w:val="Heading2"/>
      </w:pPr>
      <w:bookmarkStart w:id="22" w:name="_Toc333321355"/>
      <w:r w:rsidRPr="009E147D">
        <w:t>Potential Remedies</w:t>
      </w:r>
      <w:bookmarkEnd w:id="22"/>
    </w:p>
    <w:p w:rsidR="00BB1C55" w:rsidRPr="009E147D" w:rsidRDefault="00BB1C55" w:rsidP="009F3745">
      <w:r w:rsidRPr="009E147D">
        <w:t>The potential remedies available to an applicant will include the following:</w:t>
      </w:r>
    </w:p>
    <w:p w:rsidR="00BB1C55" w:rsidRPr="009E147D" w:rsidRDefault="00BB1C55" w:rsidP="00C82903">
      <w:pPr>
        <w:pStyle w:val="ListParagraph"/>
        <w:numPr>
          <w:ilvl w:val="0"/>
          <w:numId w:val="9"/>
        </w:numPr>
        <w:spacing w:after="100"/>
        <w:ind w:left="714" w:hanging="357"/>
        <w:contextualSpacing w:val="0"/>
        <w:jc w:val="both"/>
      </w:pPr>
      <w:r w:rsidRPr="009E147D">
        <w:t xml:space="preserve">A reduction in fees, or refund of fees paid, to recover the reduction in value of services not provided in quantum </w:t>
      </w:r>
      <w:proofErr w:type="spellStart"/>
      <w:r w:rsidRPr="009E147D">
        <w:t>meruit</w:t>
      </w:r>
      <w:proofErr w:type="spellEnd"/>
    </w:p>
    <w:p w:rsidR="00BB1C55" w:rsidRPr="009E147D" w:rsidRDefault="00BB1C55" w:rsidP="00C82903">
      <w:pPr>
        <w:pStyle w:val="ListParagraph"/>
        <w:numPr>
          <w:ilvl w:val="0"/>
          <w:numId w:val="9"/>
        </w:numPr>
        <w:spacing w:after="100"/>
        <w:ind w:left="714" w:hanging="357"/>
        <w:contextualSpacing w:val="0"/>
        <w:jc w:val="both"/>
      </w:pPr>
      <w:r w:rsidRPr="009E147D">
        <w:t>Orders for restitution/reparation</w:t>
      </w:r>
    </w:p>
    <w:p w:rsidR="00BB1C55" w:rsidRPr="009E147D" w:rsidRDefault="00BB1C55" w:rsidP="00C82903">
      <w:pPr>
        <w:pStyle w:val="ListParagraph"/>
        <w:numPr>
          <w:ilvl w:val="0"/>
          <w:numId w:val="9"/>
        </w:numPr>
        <w:spacing w:after="100"/>
        <w:ind w:left="714" w:hanging="357"/>
        <w:contextualSpacing w:val="0"/>
        <w:jc w:val="both"/>
      </w:pPr>
      <w:r w:rsidRPr="009E147D">
        <w:t>Possible compensation</w:t>
      </w:r>
    </w:p>
    <w:p w:rsidR="00BB1C55" w:rsidRPr="009E147D" w:rsidRDefault="00BB1C55" w:rsidP="00A46BDF">
      <w:pPr>
        <w:pStyle w:val="ListParagraph"/>
        <w:numPr>
          <w:ilvl w:val="0"/>
          <w:numId w:val="9"/>
        </w:numPr>
        <w:jc w:val="both"/>
      </w:pPr>
      <w:r w:rsidRPr="009E147D">
        <w:t>Possible damages</w:t>
      </w:r>
    </w:p>
    <w:p w:rsidR="00265B88" w:rsidRPr="009E147D" w:rsidRDefault="00265B88" w:rsidP="009F3745">
      <w:r w:rsidRPr="009E147D">
        <w:t xml:space="preserve">In New South Wales the </w:t>
      </w:r>
      <w:r w:rsidRPr="009E147D">
        <w:rPr>
          <w:i/>
        </w:rPr>
        <w:t xml:space="preserve">Fair Trading Act </w:t>
      </w:r>
      <w:r w:rsidRPr="009E147D">
        <w:t>Part 6A sets out the jurisdiction of the NCAT in relation to consumer claims and we set out those which are submitted as having the potential for meaningful outcomes and reparations in relation to a claim for the standard of services [</w:t>
      </w:r>
      <w:r w:rsidRPr="009E147D">
        <w:rPr>
          <w:i/>
        </w:rPr>
        <w:t>Fair Trading Act</w:t>
      </w:r>
      <w:r w:rsidRPr="009E147D">
        <w:t xml:space="preserve"> 1987, s. 78N][a-d]:</w:t>
      </w:r>
    </w:p>
    <w:p w:rsidR="00265B88" w:rsidRPr="009E147D" w:rsidRDefault="00265B88" w:rsidP="009F3745">
      <w:pPr>
        <w:spacing w:before="100" w:beforeAutospacing="1" w:after="140" w:line="240" w:lineRule="auto"/>
        <w:ind w:left="567"/>
        <w:rPr>
          <w:rFonts w:eastAsia="Times New Roman" w:cs="Times New Roman"/>
        </w:rPr>
      </w:pPr>
      <w:proofErr w:type="gramStart"/>
      <w:r w:rsidRPr="009E147D">
        <w:rPr>
          <w:rFonts w:eastAsia="Times New Roman" w:cs="Times New Roman"/>
        </w:rPr>
        <w:t>the</w:t>
      </w:r>
      <w:proofErr w:type="gramEnd"/>
      <w:r w:rsidRPr="009E147D">
        <w:rPr>
          <w:rFonts w:eastAsia="Times New Roman" w:cs="Times New Roman"/>
        </w:rPr>
        <w:t> </w:t>
      </w:r>
      <w:hyperlink r:id="rId9" w:anchor="tribunal" w:history="1">
        <w:r w:rsidRPr="009E147D">
          <w:rPr>
            <w:rFonts w:eastAsia="Times New Roman" w:cs="Times New Roman"/>
          </w:rPr>
          <w:t>Tribunal</w:t>
        </w:r>
      </w:hyperlink>
      <w:r w:rsidRPr="009E147D">
        <w:rPr>
          <w:rFonts w:eastAsia="Times New Roman" w:cs="Times New Roman"/>
        </w:rPr>
        <w:t> may, subject to this Division, make any one or more of the following orders that it considers appropriate:</w:t>
      </w:r>
    </w:p>
    <w:p w:rsidR="00265B88" w:rsidRPr="009E147D" w:rsidRDefault="00C82903" w:rsidP="009F3745">
      <w:pPr>
        <w:spacing w:after="140" w:line="240" w:lineRule="auto"/>
        <w:ind w:left="1134" w:hanging="567"/>
        <w:rPr>
          <w:rFonts w:eastAsia="Times New Roman" w:cs="Times New Roman"/>
        </w:rPr>
      </w:pPr>
      <w:r>
        <w:rPr>
          <w:rFonts w:eastAsia="Times New Roman" w:cs="Times New Roman"/>
        </w:rPr>
        <w:t>(a)</w:t>
      </w:r>
      <w:r>
        <w:rPr>
          <w:rFonts w:eastAsia="Times New Roman" w:cs="Times New Roman"/>
        </w:rPr>
        <w:tab/>
      </w:r>
      <w:proofErr w:type="gramStart"/>
      <w:r w:rsidR="00265B88" w:rsidRPr="009E147D">
        <w:rPr>
          <w:rFonts w:eastAsia="Times New Roman" w:cs="Times New Roman"/>
        </w:rPr>
        <w:t>an</w:t>
      </w:r>
      <w:proofErr w:type="gramEnd"/>
      <w:r w:rsidR="00265B88" w:rsidRPr="009E147D">
        <w:rPr>
          <w:rFonts w:eastAsia="Times New Roman" w:cs="Times New Roman"/>
        </w:rPr>
        <w:t xml:space="preserve"> order that requires a respondent to pay to the claimant a specified amount of money,</w:t>
      </w:r>
    </w:p>
    <w:p w:rsidR="00265B88" w:rsidRPr="009E147D" w:rsidRDefault="00C82903" w:rsidP="009F3745">
      <w:pPr>
        <w:spacing w:after="140" w:line="240" w:lineRule="auto"/>
        <w:ind w:left="1134" w:hanging="567"/>
        <w:rPr>
          <w:rFonts w:eastAsia="Times New Roman" w:cs="Times New Roman"/>
        </w:rPr>
      </w:pPr>
      <w:r>
        <w:rPr>
          <w:rFonts w:eastAsia="Times New Roman" w:cs="Times New Roman"/>
        </w:rPr>
        <w:t>(b)</w:t>
      </w:r>
      <w:r>
        <w:rPr>
          <w:rFonts w:eastAsia="Times New Roman" w:cs="Times New Roman"/>
        </w:rPr>
        <w:tab/>
      </w:r>
      <w:proofErr w:type="gramStart"/>
      <w:r w:rsidR="00265B88" w:rsidRPr="009E147D">
        <w:rPr>
          <w:rFonts w:eastAsia="Times New Roman" w:cs="Times New Roman"/>
        </w:rPr>
        <w:t>an</w:t>
      </w:r>
      <w:proofErr w:type="gramEnd"/>
      <w:r w:rsidR="00265B88" w:rsidRPr="009E147D">
        <w:rPr>
          <w:rFonts w:eastAsia="Times New Roman" w:cs="Times New Roman"/>
        </w:rPr>
        <w:t xml:space="preserve"> order that requires a respondent to perform specified work in order to rectify a defect in </w:t>
      </w:r>
      <w:hyperlink r:id="rId10" w:anchor="goods" w:history="1">
        <w:r w:rsidR="00265B88" w:rsidRPr="009E147D">
          <w:rPr>
            <w:rFonts w:eastAsia="Times New Roman" w:cs="Times New Roman"/>
          </w:rPr>
          <w:t>goods</w:t>
        </w:r>
      </w:hyperlink>
      <w:r w:rsidR="00265B88" w:rsidRPr="009E147D">
        <w:rPr>
          <w:rFonts w:eastAsia="Times New Roman" w:cs="Times New Roman"/>
        </w:rPr>
        <w:t> or </w:t>
      </w:r>
      <w:hyperlink r:id="rId11" w:anchor="services" w:history="1">
        <w:r w:rsidR="00265B88" w:rsidRPr="009E147D">
          <w:rPr>
            <w:rFonts w:eastAsia="Times New Roman" w:cs="Times New Roman"/>
          </w:rPr>
          <w:t>services</w:t>
        </w:r>
      </w:hyperlink>
      <w:r w:rsidR="00265B88" w:rsidRPr="009E147D">
        <w:rPr>
          <w:rFonts w:eastAsia="Times New Roman" w:cs="Times New Roman"/>
        </w:rPr>
        <w:t> to which the claim relates,</w:t>
      </w:r>
    </w:p>
    <w:p w:rsidR="00265B88" w:rsidRPr="009E147D" w:rsidRDefault="00C82903" w:rsidP="009F3745">
      <w:pPr>
        <w:spacing w:after="140" w:line="240" w:lineRule="auto"/>
        <w:ind w:left="1134" w:hanging="567"/>
        <w:rPr>
          <w:rFonts w:eastAsia="Times New Roman" w:cs="Times New Roman"/>
        </w:rPr>
      </w:pPr>
      <w:r>
        <w:rPr>
          <w:rFonts w:eastAsia="Times New Roman" w:cs="Times New Roman"/>
        </w:rPr>
        <w:t>(c)</w:t>
      </w:r>
      <w:r>
        <w:rPr>
          <w:rFonts w:eastAsia="Times New Roman" w:cs="Times New Roman"/>
        </w:rPr>
        <w:tab/>
      </w:r>
      <w:proofErr w:type="gramStart"/>
      <w:r w:rsidR="00265B88" w:rsidRPr="009E147D">
        <w:rPr>
          <w:rFonts w:eastAsia="Times New Roman" w:cs="Times New Roman"/>
        </w:rPr>
        <w:t>an</w:t>
      </w:r>
      <w:proofErr w:type="gramEnd"/>
      <w:r w:rsidR="00265B88" w:rsidRPr="009E147D">
        <w:rPr>
          <w:rFonts w:eastAsia="Times New Roman" w:cs="Times New Roman"/>
        </w:rPr>
        <w:t xml:space="preserve"> order that requires a respondent to </w:t>
      </w:r>
      <w:hyperlink r:id="rId12" w:anchor="supply" w:history="1">
        <w:r w:rsidR="00265B88" w:rsidRPr="009E147D">
          <w:rPr>
            <w:rFonts w:eastAsia="Times New Roman" w:cs="Times New Roman"/>
          </w:rPr>
          <w:t>supply</w:t>
        </w:r>
      </w:hyperlink>
      <w:r w:rsidR="00265B88" w:rsidRPr="009E147D">
        <w:rPr>
          <w:rFonts w:eastAsia="Times New Roman" w:cs="Times New Roman"/>
        </w:rPr>
        <w:t> to the claimant specified </w:t>
      </w:r>
      <w:hyperlink r:id="rId13" w:anchor="services" w:history="1">
        <w:r w:rsidR="00265B88" w:rsidRPr="009E147D">
          <w:rPr>
            <w:rFonts w:eastAsia="Times New Roman" w:cs="Times New Roman"/>
          </w:rPr>
          <w:t>services</w:t>
        </w:r>
      </w:hyperlink>
      <w:r w:rsidR="00265B88" w:rsidRPr="009E147D">
        <w:rPr>
          <w:rFonts w:eastAsia="Times New Roman" w:cs="Times New Roman"/>
        </w:rPr>
        <w:t> other than work,</w:t>
      </w:r>
    </w:p>
    <w:p w:rsidR="00265B88" w:rsidRPr="009E147D" w:rsidRDefault="00C82903" w:rsidP="009F3745">
      <w:pPr>
        <w:spacing w:after="100" w:line="240" w:lineRule="auto"/>
        <w:ind w:left="1134" w:hanging="567"/>
        <w:rPr>
          <w:rFonts w:eastAsia="Times New Roman" w:cs="Times New Roman"/>
        </w:rPr>
      </w:pPr>
      <w:r>
        <w:rPr>
          <w:rFonts w:eastAsia="Times New Roman" w:cs="Times New Roman"/>
        </w:rPr>
        <w:t>(d)</w:t>
      </w:r>
      <w:r>
        <w:rPr>
          <w:rFonts w:eastAsia="Times New Roman" w:cs="Times New Roman"/>
        </w:rPr>
        <w:tab/>
      </w:r>
      <w:r w:rsidR="00265B88" w:rsidRPr="009E147D">
        <w:rPr>
          <w:rFonts w:eastAsia="Times New Roman" w:cs="Times New Roman"/>
        </w:rPr>
        <w:t>in the case of a claim for relief from payment of money-an order declaring that a specified amount of money is not due or owing by the claimant to a respondent,</w:t>
      </w:r>
    </w:p>
    <w:p w:rsidR="00BB1C55" w:rsidRPr="009E147D" w:rsidRDefault="006A7B8C" w:rsidP="009F3745">
      <w:pPr>
        <w:spacing w:before="240"/>
      </w:pPr>
      <w:r w:rsidRPr="009E147D">
        <w:t xml:space="preserve">The range of </w:t>
      </w:r>
      <w:r w:rsidRPr="009F3745">
        <w:t>p</w:t>
      </w:r>
      <w:r w:rsidRPr="009E147D">
        <w:t>ossible advantages for an aged and disabled resident or care recipient can be imagined if the orders which may be made [s 78N] are viewed together with the possible remedial services which are set out above.</w:t>
      </w:r>
    </w:p>
    <w:p w:rsidR="00BB1C55" w:rsidRPr="009E147D" w:rsidRDefault="00BB1C55" w:rsidP="0047588A">
      <w:pPr>
        <w:pStyle w:val="Heading2"/>
      </w:pPr>
      <w:bookmarkStart w:id="23" w:name="_Toc333321356"/>
      <w:r w:rsidRPr="009E147D">
        <w:t>Money Damages</w:t>
      </w:r>
      <w:bookmarkEnd w:id="23"/>
    </w:p>
    <w:p w:rsidR="00BB1C55" w:rsidRPr="009E147D" w:rsidRDefault="00BB1C55" w:rsidP="009F3745">
      <w:r w:rsidRPr="009E147D">
        <w:t xml:space="preserve">The availability of remedies will depend on how certain legal questions are resolved by the tribunal.  Obviously, the nature of the damage or damages is a critical question, particularly in light of the </w:t>
      </w:r>
      <w:r w:rsidR="000950B0" w:rsidRPr="009E147D">
        <w:t xml:space="preserve">NSW </w:t>
      </w:r>
      <w:r w:rsidRPr="009E147D">
        <w:rPr>
          <w:i/>
        </w:rPr>
        <w:t>Civil Liability Act</w:t>
      </w:r>
      <w:r w:rsidRPr="009E147D">
        <w:t xml:space="preserve"> limitation on personal injury damages.</w:t>
      </w:r>
    </w:p>
    <w:p w:rsidR="00BB1C55" w:rsidRPr="009E147D" w:rsidRDefault="006A7B8C" w:rsidP="009F3745">
      <w:r w:rsidRPr="009E147D">
        <w:t xml:space="preserve">It is submitted that </w:t>
      </w:r>
      <w:r w:rsidR="00BB1C55" w:rsidRPr="009E147D">
        <w:t>the C</w:t>
      </w:r>
      <w:r w:rsidRPr="009E147D">
        <w:t xml:space="preserve">onsumer </w:t>
      </w:r>
      <w:r w:rsidR="00BB1C55" w:rsidRPr="009E147D">
        <w:t>T</w:t>
      </w:r>
      <w:r w:rsidRPr="009E147D">
        <w:t xml:space="preserve">rader and </w:t>
      </w:r>
      <w:r w:rsidR="00BB1C55" w:rsidRPr="009E147D">
        <w:t>T</w:t>
      </w:r>
      <w:r w:rsidRPr="009E147D">
        <w:t xml:space="preserve">enancy </w:t>
      </w:r>
      <w:r w:rsidR="00BB1C55" w:rsidRPr="009E147D">
        <w:t>T</w:t>
      </w:r>
      <w:r w:rsidRPr="009E147D">
        <w:t>ribunal of NSW, the predecessor of NCAT had</w:t>
      </w:r>
      <w:r w:rsidR="00BB1C55" w:rsidRPr="009E147D">
        <w:t xml:space="preserve"> had a tendency to find that almost all damages which relate to distress or disappointment amount to impairment of a mental condition, thus being excluded by the </w:t>
      </w:r>
      <w:r w:rsidR="00BB1C55" w:rsidRPr="009E147D">
        <w:rPr>
          <w:i/>
        </w:rPr>
        <w:t>Civil Liability Act</w:t>
      </w:r>
      <w:r w:rsidR="00BB1C55" w:rsidRPr="009E147D">
        <w:t xml:space="preserve"> unless the injury reaches the 15% threshold.</w:t>
      </w:r>
      <w:r w:rsidRPr="009E147D">
        <w:t xml:space="preserve"> </w:t>
      </w:r>
      <w:r w:rsidR="000950B0" w:rsidRPr="009E147D">
        <w:t xml:space="preserve"> </w:t>
      </w:r>
      <w:r w:rsidRPr="009E147D">
        <w:t xml:space="preserve">If </w:t>
      </w:r>
      <w:r w:rsidR="000950B0" w:rsidRPr="009E147D">
        <w:t xml:space="preserve">the Review finds </w:t>
      </w:r>
      <w:r w:rsidRPr="009E147D">
        <w:t xml:space="preserve">this line of reasoning is </w:t>
      </w:r>
      <w:r w:rsidR="000950B0" w:rsidRPr="009E147D">
        <w:t xml:space="preserve">maintained </w:t>
      </w:r>
      <w:r w:rsidRPr="009E147D">
        <w:t>in the present decision</w:t>
      </w:r>
      <w:r w:rsidR="000950B0" w:rsidRPr="009E147D">
        <w:t>s</w:t>
      </w:r>
      <w:r w:rsidRPr="009E147D">
        <w:t xml:space="preserve"> of NCAT</w:t>
      </w:r>
      <w:r w:rsidR="000950B0" w:rsidRPr="009E147D">
        <w:t xml:space="preserve"> and other tribunals</w:t>
      </w:r>
      <w:r w:rsidRPr="009E147D">
        <w:t>, the Review might consider ways of ameliorating or avoiding that impediment to a consumer claim for the vulnerable aged.</w:t>
      </w:r>
    </w:p>
    <w:p w:rsidR="007E7FDD" w:rsidRDefault="007E7FDD">
      <w:pPr>
        <w:spacing w:after="200" w:line="276" w:lineRule="auto"/>
      </w:pPr>
      <w:r>
        <w:br w:type="page"/>
      </w:r>
    </w:p>
    <w:p w:rsidR="00BB1C55" w:rsidRPr="009E147D" w:rsidRDefault="00BB1C55" w:rsidP="009F3745">
      <w:r w:rsidRPr="009E147D">
        <w:lastRenderedPageBreak/>
        <w:t xml:space="preserve">An exception may arise when the conduct is excluded from the </w:t>
      </w:r>
      <w:r w:rsidRPr="009E147D">
        <w:rPr>
          <w:i/>
        </w:rPr>
        <w:t>Civil Liability Act</w:t>
      </w:r>
      <w:r w:rsidRPr="009E147D">
        <w:t xml:space="preserve"> under section 3B</w:t>
      </w:r>
      <w:r w:rsidR="000950B0" w:rsidRPr="009E147D">
        <w:t xml:space="preserve"> of that Act</w:t>
      </w:r>
      <w:r w:rsidRPr="009E147D">
        <w:t xml:space="preserve">. </w:t>
      </w:r>
      <w:r w:rsidR="000950B0" w:rsidRPr="009E147D">
        <w:t xml:space="preserve"> </w:t>
      </w:r>
      <w:r w:rsidRPr="009E147D">
        <w:t>This exception applies to intentional conduct done with the intent to cause injury.</w:t>
      </w:r>
      <w:r w:rsidR="000950B0" w:rsidRPr="009E147D">
        <w:t xml:space="preserve"> </w:t>
      </w:r>
      <w:r w:rsidRPr="009E147D">
        <w:t xml:space="preserve"> It is arguable, although not yet resolved</w:t>
      </w:r>
      <w:r w:rsidR="006A7B8C" w:rsidRPr="009E147D">
        <w:t xml:space="preserve"> so far as we are aware</w:t>
      </w:r>
      <w:r w:rsidRPr="009E147D">
        <w:t>, that recklessness could amount to the intent to cause injury.</w:t>
      </w:r>
    </w:p>
    <w:p w:rsidR="00BB1C55" w:rsidRPr="009E147D" w:rsidRDefault="00BB1C55" w:rsidP="009F3745">
      <w:r w:rsidRPr="009E147D">
        <w:t xml:space="preserve">Aggravated damages should be available where there </w:t>
      </w:r>
      <w:r w:rsidR="006A7B8C" w:rsidRPr="009E147D">
        <w:t>has been</w:t>
      </w:r>
      <w:r w:rsidRPr="009E147D">
        <w:t xml:space="preserve"> </w:t>
      </w:r>
      <w:r w:rsidR="006969E8" w:rsidRPr="009E147D">
        <w:t>i</w:t>
      </w:r>
      <w:r w:rsidRPr="009E147D">
        <w:t xml:space="preserve">ntentional conduct, although section 21 of the </w:t>
      </w:r>
      <w:r w:rsidRPr="009E147D">
        <w:rPr>
          <w:i/>
        </w:rPr>
        <w:t>Civil Liability Act</w:t>
      </w:r>
      <w:r w:rsidRPr="009E147D">
        <w:t xml:space="preserve"> restricts aggravated damages if negligence caused the injury. Because section 267(4) of the </w:t>
      </w:r>
      <w:r w:rsidRPr="009E147D">
        <w:rPr>
          <w:i/>
        </w:rPr>
        <w:t>Australian Consumer Law</w:t>
      </w:r>
      <w:r w:rsidRPr="009E147D">
        <w:t xml:space="preserve"> allows for damages, aggravated damages could potentially be awarded for</w:t>
      </w:r>
      <w:r w:rsidR="006A7B8C" w:rsidRPr="009E147D">
        <w:t xml:space="preserve"> an</w:t>
      </w:r>
      <w:r w:rsidRPr="009E147D">
        <w:t xml:space="preserve"> intentional act where the damage was not caused by negligence, such as failure to provide services within a reasonable time or fit for purpose.</w:t>
      </w:r>
    </w:p>
    <w:p w:rsidR="00A41EB6" w:rsidRPr="009E147D" w:rsidRDefault="00A25090" w:rsidP="00A8757D">
      <w:pPr>
        <w:pStyle w:val="Heading1"/>
      </w:pPr>
      <w:bookmarkStart w:id="24" w:name="_Toc333321357"/>
      <w:r w:rsidRPr="009E147D">
        <w:t>Are claims for unlawful restraint available</w:t>
      </w:r>
      <w:r w:rsidR="009A2970" w:rsidRPr="009E147D">
        <w:t>?</w:t>
      </w:r>
      <w:bookmarkEnd w:id="24"/>
    </w:p>
    <w:p w:rsidR="00A41EB6" w:rsidRPr="009E147D" w:rsidRDefault="00A41EB6" w:rsidP="00A8757D">
      <w:pPr>
        <w:pStyle w:val="NoSpacing"/>
        <w:numPr>
          <w:ilvl w:val="0"/>
          <w:numId w:val="25"/>
        </w:numPr>
        <w:spacing w:after="60"/>
        <w:jc w:val="both"/>
        <w:rPr>
          <w:rFonts w:ascii="Cambria" w:hAnsi="Cambria" w:cs="Times New Roman"/>
          <w:b/>
        </w:rPr>
      </w:pPr>
      <w:r w:rsidRPr="009E147D">
        <w:rPr>
          <w:rFonts w:ascii="Cambria" w:hAnsi="Cambria" w:cs="Times New Roman"/>
          <w:b/>
        </w:rPr>
        <w:t xml:space="preserve">Applicability of the </w:t>
      </w:r>
      <w:r w:rsidR="00BA1F83" w:rsidRPr="009E147D">
        <w:rPr>
          <w:rFonts w:ascii="Cambria" w:hAnsi="Cambria" w:cs="Times New Roman"/>
          <w:b/>
        </w:rPr>
        <w:t xml:space="preserve">Tribunal </w:t>
      </w:r>
      <w:r w:rsidRPr="009E147D">
        <w:rPr>
          <w:rFonts w:ascii="Cambria" w:hAnsi="Cambria" w:cs="Times New Roman"/>
          <w:b/>
        </w:rPr>
        <w:t>to nursing home restraint claims:</w:t>
      </w:r>
    </w:p>
    <w:p w:rsidR="00A41EB6" w:rsidRPr="009E147D" w:rsidRDefault="00A41EB6" w:rsidP="009F3745">
      <w:r w:rsidRPr="009E147D">
        <w:t xml:space="preserve">It is clear that the residents of nursing homes are consumers.  All the definitions in the </w:t>
      </w:r>
      <w:r w:rsidRPr="009E147D">
        <w:rPr>
          <w:i/>
        </w:rPr>
        <w:t xml:space="preserve">Australian Consumer Law </w:t>
      </w:r>
      <w:r w:rsidRPr="009E147D">
        <w:t xml:space="preserve">(ACL) and the </w:t>
      </w:r>
      <w:r w:rsidRPr="009E147D">
        <w:rPr>
          <w:i/>
        </w:rPr>
        <w:t>Consumer Claims Act</w:t>
      </w:r>
      <w:r w:rsidRPr="009E147D">
        <w:t xml:space="preserve"> support this interpretation, as discussed below.  There are many examples in the aged care space of residents in facilities being designated as consumers, which further confirms these residents’ status as consumers.  One such example is the Federal Government’s funding of “Consumer Directed Care”</w:t>
      </w:r>
      <w:r w:rsidR="00A507AA">
        <w:t xml:space="preserve"> (CDC)</w:t>
      </w:r>
      <w:r w:rsidRPr="009E147D">
        <w:t xml:space="preserve"> in community aged care programs.</w:t>
      </w:r>
    </w:p>
    <w:p w:rsidR="00A41EB6" w:rsidRPr="009E147D" w:rsidRDefault="004E232D" w:rsidP="009F3745">
      <w:r w:rsidRPr="009E147D">
        <w:t>Section 79</w:t>
      </w:r>
      <w:r w:rsidR="00A41EB6" w:rsidRPr="009E147D">
        <w:t xml:space="preserve">A of the </w:t>
      </w:r>
      <w:r w:rsidRPr="009E147D">
        <w:rPr>
          <w:i/>
        </w:rPr>
        <w:t>Fair Trading Act</w:t>
      </w:r>
      <w:r w:rsidR="00A41EB6" w:rsidRPr="009E147D">
        <w:t xml:space="preserve"> defines a "consumer claim"</w:t>
      </w:r>
      <w:r w:rsidR="006969E8" w:rsidRPr="009E147D">
        <w:t xml:space="preserve"> as follows</w:t>
      </w:r>
      <w:r w:rsidR="00A41EB6" w:rsidRPr="009E147D">
        <w:t>:</w:t>
      </w:r>
    </w:p>
    <w:p w:rsidR="004E232D" w:rsidRPr="009E147D" w:rsidRDefault="004E232D" w:rsidP="009F3745">
      <w:pPr>
        <w:spacing w:after="120" w:line="240" w:lineRule="auto"/>
        <w:ind w:left="360"/>
        <w:rPr>
          <w:rFonts w:eastAsia="Times New Roman" w:cs="Times New Roman"/>
        </w:rPr>
      </w:pPr>
      <w:r w:rsidRPr="009E147D">
        <w:rPr>
          <w:rFonts w:eastAsia="Times New Roman" w:cs="Times New Roman"/>
          <w:b/>
          <w:bCs/>
        </w:rPr>
        <w:t>"consumer claim" </w:t>
      </w:r>
      <w:r w:rsidRPr="009E147D">
        <w:rPr>
          <w:rFonts w:eastAsia="Times New Roman" w:cs="Times New Roman"/>
        </w:rPr>
        <w:t>means a claim by a </w:t>
      </w:r>
      <w:hyperlink r:id="rId14" w:anchor="consumer" w:history="1">
        <w:r w:rsidRPr="009E147D">
          <w:rPr>
            <w:rFonts w:eastAsia="Times New Roman" w:cs="Times New Roman"/>
          </w:rPr>
          <w:t>consumer</w:t>
        </w:r>
      </w:hyperlink>
      <w:r w:rsidRPr="009E147D">
        <w:rPr>
          <w:rFonts w:eastAsia="Times New Roman" w:cs="Times New Roman"/>
        </w:rPr>
        <w:t>, for one or more of the following remedies, that arises from a </w:t>
      </w:r>
      <w:hyperlink r:id="rId15" w:anchor="supply" w:history="1">
        <w:r w:rsidRPr="009E147D">
          <w:rPr>
            <w:rFonts w:eastAsia="Times New Roman" w:cs="Times New Roman"/>
          </w:rPr>
          <w:t>supply</w:t>
        </w:r>
      </w:hyperlink>
      <w:r w:rsidRPr="009E147D">
        <w:rPr>
          <w:rFonts w:eastAsia="Times New Roman" w:cs="Times New Roman"/>
        </w:rPr>
        <w:t> of </w:t>
      </w:r>
      <w:hyperlink r:id="rId16" w:anchor="goods" w:history="1">
        <w:r w:rsidRPr="009E147D">
          <w:rPr>
            <w:rFonts w:eastAsia="Times New Roman" w:cs="Times New Roman"/>
          </w:rPr>
          <w:t>goods</w:t>
        </w:r>
      </w:hyperlink>
      <w:r w:rsidRPr="009E147D">
        <w:rPr>
          <w:rFonts w:eastAsia="Times New Roman" w:cs="Times New Roman"/>
        </w:rPr>
        <w:t> or </w:t>
      </w:r>
      <w:hyperlink r:id="rId17" w:anchor="services" w:history="1">
        <w:r w:rsidRPr="009E147D">
          <w:rPr>
            <w:rFonts w:eastAsia="Times New Roman" w:cs="Times New Roman"/>
          </w:rPr>
          <w:t>services</w:t>
        </w:r>
      </w:hyperlink>
      <w:r w:rsidRPr="009E147D">
        <w:rPr>
          <w:rFonts w:eastAsia="Times New Roman" w:cs="Times New Roman"/>
        </w:rPr>
        <w:t> by a </w:t>
      </w:r>
      <w:hyperlink r:id="rId18" w:anchor="supplier" w:history="1">
        <w:r w:rsidRPr="009E147D">
          <w:rPr>
            <w:rFonts w:eastAsia="Times New Roman" w:cs="Times New Roman"/>
          </w:rPr>
          <w:t>supplier</w:t>
        </w:r>
      </w:hyperlink>
      <w:r w:rsidRPr="009E147D">
        <w:rPr>
          <w:rFonts w:eastAsia="Times New Roman" w:cs="Times New Roman"/>
        </w:rPr>
        <w:t> to the </w:t>
      </w:r>
      <w:hyperlink r:id="rId19" w:anchor="consumer" w:history="1">
        <w:r w:rsidRPr="009E147D">
          <w:rPr>
            <w:rFonts w:eastAsia="Times New Roman" w:cs="Times New Roman"/>
          </w:rPr>
          <w:t>consumer</w:t>
        </w:r>
      </w:hyperlink>
      <w:r w:rsidRPr="009E147D">
        <w:rPr>
          <w:rFonts w:eastAsia="Times New Roman" w:cs="Times New Roman"/>
        </w:rPr>
        <w:t xml:space="preserve"> (whether or not under a contract) or that arises under a contract that is collateral to a contract for </w:t>
      </w:r>
      <w:r w:rsidR="009F3745">
        <w:rPr>
          <w:rFonts w:eastAsia="Times New Roman" w:cs="Times New Roman"/>
        </w:rPr>
        <w:t>t</w:t>
      </w:r>
      <w:r w:rsidRPr="009E147D">
        <w:rPr>
          <w:rFonts w:eastAsia="Times New Roman" w:cs="Times New Roman"/>
        </w:rPr>
        <w:t>he</w:t>
      </w:r>
      <w:r w:rsidR="009F3745">
        <w:rPr>
          <w:rFonts w:eastAsia="Times New Roman" w:cs="Times New Roman"/>
        </w:rPr>
        <w:t xml:space="preserve"> </w:t>
      </w:r>
      <w:hyperlink r:id="rId20" w:anchor="supply" w:history="1">
        <w:r w:rsidRPr="009E147D">
          <w:rPr>
            <w:rFonts w:eastAsia="Times New Roman" w:cs="Times New Roman"/>
          </w:rPr>
          <w:t>supply</w:t>
        </w:r>
      </w:hyperlink>
      <w:r w:rsidR="009F3745">
        <w:rPr>
          <w:rFonts w:eastAsia="Times New Roman" w:cs="Times New Roman"/>
        </w:rPr>
        <w:t xml:space="preserve"> </w:t>
      </w:r>
      <w:r w:rsidRPr="009E147D">
        <w:rPr>
          <w:rFonts w:eastAsia="Times New Roman" w:cs="Times New Roman"/>
        </w:rPr>
        <w:t>of</w:t>
      </w:r>
      <w:r w:rsidR="009F3745">
        <w:rPr>
          <w:rFonts w:eastAsia="Times New Roman" w:cs="Times New Roman"/>
        </w:rPr>
        <w:t xml:space="preserve"> </w:t>
      </w:r>
      <w:hyperlink r:id="rId21" w:anchor="goods" w:history="1">
        <w:r w:rsidRPr="009E147D">
          <w:rPr>
            <w:rFonts w:eastAsia="Times New Roman" w:cs="Times New Roman"/>
          </w:rPr>
          <w:t>goods</w:t>
        </w:r>
      </w:hyperlink>
      <w:r w:rsidR="009F3745">
        <w:rPr>
          <w:rFonts w:eastAsia="Times New Roman" w:cs="Times New Roman"/>
        </w:rPr>
        <w:t xml:space="preserve"> </w:t>
      </w:r>
      <w:r w:rsidRPr="009E147D">
        <w:rPr>
          <w:rFonts w:eastAsia="Times New Roman" w:cs="Times New Roman"/>
        </w:rPr>
        <w:t>or</w:t>
      </w:r>
      <w:r w:rsidR="009F3745">
        <w:rPr>
          <w:rFonts w:eastAsia="Times New Roman" w:cs="Times New Roman"/>
        </w:rPr>
        <w:t xml:space="preserve"> </w:t>
      </w:r>
      <w:hyperlink r:id="rId22" w:anchor="services" w:history="1">
        <w:r w:rsidRPr="009E147D">
          <w:rPr>
            <w:rFonts w:eastAsia="Times New Roman" w:cs="Times New Roman"/>
          </w:rPr>
          <w:t>services</w:t>
        </w:r>
      </w:hyperlink>
      <w:r w:rsidRPr="009E147D">
        <w:rPr>
          <w:rFonts w:eastAsia="Times New Roman" w:cs="Times New Roman"/>
        </w:rPr>
        <w:t>:</w:t>
      </w:r>
    </w:p>
    <w:p w:rsidR="004E232D" w:rsidRPr="009E147D" w:rsidRDefault="004E232D" w:rsidP="009F3745">
      <w:pPr>
        <w:pStyle w:val="ListParagraph"/>
        <w:numPr>
          <w:ilvl w:val="0"/>
          <w:numId w:val="23"/>
        </w:numPr>
        <w:spacing w:after="120" w:line="240" w:lineRule="auto"/>
        <w:ind w:left="1080"/>
        <w:contextualSpacing w:val="0"/>
        <w:rPr>
          <w:rFonts w:eastAsia="Times New Roman" w:cs="Times New Roman"/>
        </w:rPr>
      </w:pPr>
      <w:r w:rsidRPr="009E147D">
        <w:rPr>
          <w:rFonts w:eastAsia="Times New Roman" w:cs="Times New Roman"/>
        </w:rPr>
        <w:t>the payment of a specified sum of money,</w:t>
      </w:r>
    </w:p>
    <w:p w:rsidR="004E232D" w:rsidRPr="009E147D" w:rsidRDefault="004E232D" w:rsidP="009F3745">
      <w:pPr>
        <w:pStyle w:val="ListParagraph"/>
        <w:numPr>
          <w:ilvl w:val="0"/>
          <w:numId w:val="23"/>
        </w:numPr>
        <w:spacing w:after="120" w:line="240" w:lineRule="auto"/>
        <w:ind w:left="1080"/>
        <w:contextualSpacing w:val="0"/>
        <w:rPr>
          <w:rFonts w:eastAsia="Times New Roman" w:cs="Times New Roman"/>
        </w:rPr>
      </w:pPr>
      <w:r w:rsidRPr="009E147D">
        <w:rPr>
          <w:rFonts w:eastAsia="Times New Roman" w:cs="Times New Roman"/>
        </w:rPr>
        <w:t>the </w:t>
      </w:r>
      <w:hyperlink r:id="rId23" w:anchor="supply" w:history="1">
        <w:r w:rsidRPr="009E147D">
          <w:rPr>
            <w:rFonts w:eastAsia="Times New Roman" w:cs="Times New Roman"/>
          </w:rPr>
          <w:t>supply</w:t>
        </w:r>
      </w:hyperlink>
      <w:r w:rsidRPr="009E147D">
        <w:rPr>
          <w:rFonts w:eastAsia="Times New Roman" w:cs="Times New Roman"/>
        </w:rPr>
        <w:t> of specified </w:t>
      </w:r>
      <w:hyperlink r:id="rId24" w:anchor="services" w:history="1">
        <w:r w:rsidRPr="009E147D">
          <w:rPr>
            <w:rFonts w:eastAsia="Times New Roman" w:cs="Times New Roman"/>
          </w:rPr>
          <w:t>services</w:t>
        </w:r>
      </w:hyperlink>
      <w:r w:rsidRPr="009E147D">
        <w:rPr>
          <w:rFonts w:eastAsia="Times New Roman" w:cs="Times New Roman"/>
        </w:rPr>
        <w:t>,</w:t>
      </w:r>
    </w:p>
    <w:p w:rsidR="004E232D" w:rsidRPr="009E147D" w:rsidRDefault="004E232D" w:rsidP="009F3745">
      <w:pPr>
        <w:pStyle w:val="ListParagraph"/>
        <w:numPr>
          <w:ilvl w:val="0"/>
          <w:numId w:val="23"/>
        </w:numPr>
        <w:spacing w:after="120" w:line="240" w:lineRule="auto"/>
        <w:ind w:left="1080"/>
        <w:contextualSpacing w:val="0"/>
        <w:rPr>
          <w:rFonts w:eastAsia="Times New Roman" w:cs="Times New Roman"/>
        </w:rPr>
      </w:pPr>
      <w:r w:rsidRPr="009E147D">
        <w:rPr>
          <w:rFonts w:eastAsia="Times New Roman" w:cs="Times New Roman"/>
        </w:rPr>
        <w:t>relief from payment of a specified sum of money,</w:t>
      </w:r>
    </w:p>
    <w:p w:rsidR="004E232D" w:rsidRPr="009E147D" w:rsidRDefault="004E232D" w:rsidP="009F3745">
      <w:pPr>
        <w:pStyle w:val="ListParagraph"/>
        <w:numPr>
          <w:ilvl w:val="0"/>
          <w:numId w:val="23"/>
        </w:numPr>
        <w:spacing w:after="0" w:line="240" w:lineRule="auto"/>
        <w:ind w:left="1080"/>
        <w:rPr>
          <w:rFonts w:eastAsia="Times New Roman" w:cs="Times New Roman"/>
        </w:rPr>
      </w:pPr>
      <w:proofErr w:type="gramStart"/>
      <w:r w:rsidRPr="009E147D">
        <w:rPr>
          <w:rFonts w:eastAsia="Times New Roman" w:cs="Times New Roman"/>
        </w:rPr>
        <w:t>the</w:t>
      </w:r>
      <w:proofErr w:type="gramEnd"/>
      <w:r w:rsidRPr="009E147D">
        <w:rPr>
          <w:rFonts w:eastAsia="Times New Roman" w:cs="Times New Roman"/>
        </w:rPr>
        <w:t xml:space="preserve"> delivery, return or replacement of </w:t>
      </w:r>
      <w:r w:rsidR="000950B0" w:rsidRPr="009E147D">
        <w:rPr>
          <w:rFonts w:eastAsia="Times New Roman" w:cs="Times New Roman"/>
        </w:rPr>
        <w:t xml:space="preserve">specified goods or goods </w:t>
      </w:r>
      <w:r w:rsidRPr="009E147D">
        <w:rPr>
          <w:rFonts w:eastAsia="Times New Roman" w:cs="Times New Roman"/>
        </w:rPr>
        <w:t>of a specified description.</w:t>
      </w:r>
    </w:p>
    <w:p w:rsidR="00A41EB6" w:rsidRPr="009E147D" w:rsidRDefault="00A41EB6" w:rsidP="00A46BDF">
      <w:pPr>
        <w:pStyle w:val="NoSpacing"/>
        <w:jc w:val="both"/>
        <w:rPr>
          <w:rFonts w:ascii="Cambria" w:hAnsi="Cambria" w:cs="Times New Roman"/>
        </w:rPr>
      </w:pPr>
    </w:p>
    <w:p w:rsidR="00A41EB6" w:rsidRPr="009E147D" w:rsidRDefault="00A41EB6" w:rsidP="006C79AF">
      <w:r w:rsidRPr="009E147D">
        <w:t>Based on this definition, claims for restraint in a nursing home environment could be brou</w:t>
      </w:r>
      <w:r w:rsidR="004E232D" w:rsidRPr="009E147D">
        <w:t xml:space="preserve">ght either under subdivision </w:t>
      </w:r>
      <w:r w:rsidRPr="009E147D">
        <w:t>(a) as a claim for the payment of a spec</w:t>
      </w:r>
      <w:r w:rsidR="004E232D" w:rsidRPr="009E147D">
        <w:t xml:space="preserve">ified sum of money, or </w:t>
      </w:r>
      <w:proofErr w:type="spellStart"/>
      <w:r w:rsidR="004E232D" w:rsidRPr="009E147D">
        <w:t>subd</w:t>
      </w:r>
      <w:proofErr w:type="spellEnd"/>
      <w:r w:rsidR="004E232D" w:rsidRPr="009E147D">
        <w:t xml:space="preserve">. </w:t>
      </w:r>
      <w:r w:rsidRPr="009E147D">
        <w:t xml:space="preserve">(b) </w:t>
      </w:r>
      <w:proofErr w:type="gramStart"/>
      <w:r w:rsidRPr="009E147D">
        <w:t>as</w:t>
      </w:r>
      <w:proofErr w:type="gramEnd"/>
      <w:r w:rsidRPr="009E147D">
        <w:t xml:space="preserve"> a claim for the supply of specified services. In addition, claims which relate to relief from payment could</w:t>
      </w:r>
      <w:r w:rsidR="004E232D" w:rsidRPr="009E147D">
        <w:t xml:space="preserve"> also be brought under </w:t>
      </w:r>
      <w:proofErr w:type="spellStart"/>
      <w:r w:rsidR="004E232D" w:rsidRPr="009E147D">
        <w:t>subd</w:t>
      </w:r>
      <w:proofErr w:type="spellEnd"/>
      <w:r w:rsidR="004E232D" w:rsidRPr="009E147D">
        <w:t xml:space="preserve">. </w:t>
      </w:r>
      <w:r w:rsidRPr="009E147D">
        <w:t>(c).</w:t>
      </w:r>
    </w:p>
    <w:p w:rsidR="00A41EB6" w:rsidRPr="009E147D" w:rsidRDefault="00A41EB6" w:rsidP="006C79AF">
      <w:r w:rsidRPr="009E147D">
        <w:t>In consideri</w:t>
      </w:r>
      <w:r w:rsidR="004E232D" w:rsidRPr="009E147D">
        <w:t xml:space="preserve">ng a claim under subdivision </w:t>
      </w:r>
      <w:r w:rsidRPr="009E147D">
        <w:t>(a), in order for a specified sum of money to be sought, it would seem that traditionally, a cause of action would need to be selected, for which payment of a specified sum of money would be an appropriate remedy.  This may not always be the case in restraint matters unless general damages were put in issue.</w:t>
      </w:r>
    </w:p>
    <w:p w:rsidR="00A41EB6" w:rsidRPr="009E147D" w:rsidRDefault="004E232D" w:rsidP="006C79AF">
      <w:r w:rsidRPr="009E147D">
        <w:t xml:space="preserve">A claim under subdivision </w:t>
      </w:r>
      <w:r w:rsidR="00A41EB6" w:rsidRPr="009E147D">
        <w:t>(c) may arise in certain circumstances when payment has been made to the nursing home care facility by the plaintiff or the plaintiff's family, and there is a reasonable basis for asking to have part or all of the money refunded as a result of the restraint. While this initially looks to be more problematic, it may make sense in a number of scenarios.</w:t>
      </w:r>
    </w:p>
    <w:p w:rsidR="00A41EB6" w:rsidRPr="009E147D" w:rsidRDefault="00A41EB6" w:rsidP="006C79AF">
      <w:r w:rsidRPr="009E147D">
        <w:t>The most obvious cl</w:t>
      </w:r>
      <w:r w:rsidR="004E232D" w:rsidRPr="009E147D">
        <w:t xml:space="preserve">aim would be under subdivision </w:t>
      </w:r>
      <w:r w:rsidRPr="009E147D">
        <w:t xml:space="preserve">(b), namely a claim for specific services. The limitations here may arise from the context of the transaction, namely that the definition of consumer claim requires that the claim itself </w:t>
      </w:r>
      <w:r w:rsidRPr="00A507AA">
        <w:rPr>
          <w:i/>
        </w:rPr>
        <w:t>“arises from a supply of… services by supplier to the consumer."</w:t>
      </w:r>
    </w:p>
    <w:p w:rsidR="00A41EB6" w:rsidRPr="009E147D" w:rsidRDefault="00A41EB6" w:rsidP="006C79AF">
      <w:r w:rsidRPr="009E147D">
        <w:lastRenderedPageBreak/>
        <w:t xml:space="preserve">It seems intuitive that in tribunals like </w:t>
      </w:r>
      <w:r w:rsidR="00CF6DDA" w:rsidRPr="006C79AF">
        <w:t>NCAT</w:t>
      </w:r>
      <w:r w:rsidRPr="009E147D">
        <w:t xml:space="preserve">, redress is given to a consumer based on a past wrong which can be clearly articulated and perhaps circumscribed. </w:t>
      </w:r>
      <w:r w:rsidR="000950B0" w:rsidRPr="009E147D">
        <w:t xml:space="preserve"> </w:t>
      </w:r>
      <w:r w:rsidRPr="009E147D">
        <w:t>Thus, each individual instance of restraint which can be identified as the basis for a claim may need to be paired with a remedy which is available under the relevant legislation.</w:t>
      </w:r>
    </w:p>
    <w:p w:rsidR="00A41EB6" w:rsidRPr="009E147D" w:rsidRDefault="00BF320C" w:rsidP="006C79AF">
      <w:r w:rsidRPr="009E147D">
        <w:t>T</w:t>
      </w:r>
      <w:r w:rsidR="00A41EB6" w:rsidRPr="009E147D">
        <w:t xml:space="preserve">he basis of our </w:t>
      </w:r>
      <w:r w:rsidRPr="009E147D">
        <w:t xml:space="preserve">submission is </w:t>
      </w:r>
      <w:r w:rsidR="00A41EB6" w:rsidRPr="009E147D">
        <w:t xml:space="preserve">that future services be provided to the consumer in a manner which complies with guidelines (such as the </w:t>
      </w:r>
      <w:r w:rsidR="00A41EB6" w:rsidRPr="009E147D">
        <w:rPr>
          <w:i/>
        </w:rPr>
        <w:t>Quality of Care</w:t>
      </w:r>
      <w:r w:rsidR="00A41EB6" w:rsidRPr="009E147D">
        <w:t xml:space="preserve"> principles) or legislation (such as the</w:t>
      </w:r>
      <w:r w:rsidR="000950B0" w:rsidRPr="009E147D">
        <w:t xml:space="preserve"> NSW</w:t>
      </w:r>
      <w:r w:rsidR="00A41EB6" w:rsidRPr="009E147D">
        <w:t xml:space="preserve"> </w:t>
      </w:r>
      <w:r w:rsidR="00A41EB6" w:rsidRPr="009E147D">
        <w:rPr>
          <w:i/>
        </w:rPr>
        <w:t>Mental Health Act</w:t>
      </w:r>
      <w:r w:rsidR="00A41EB6" w:rsidRPr="009E147D">
        <w:t xml:space="preserve">). </w:t>
      </w:r>
      <w:r w:rsidR="000950B0" w:rsidRPr="009E147D">
        <w:t xml:space="preserve"> </w:t>
      </w:r>
      <w:r w:rsidR="00A41EB6" w:rsidRPr="009E147D">
        <w:t>This future care would be ple</w:t>
      </w:r>
      <w:r w:rsidRPr="009E147D">
        <w:t>a</w:t>
      </w:r>
      <w:r w:rsidR="00A41EB6" w:rsidRPr="009E147D">
        <w:t>d</w:t>
      </w:r>
      <w:r w:rsidRPr="009E147D">
        <w:t>ed</w:t>
      </w:r>
      <w:r w:rsidR="00A41EB6" w:rsidRPr="009E147D">
        <w:t xml:space="preserve"> in the character of a remedy in the context of such a claim.</w:t>
      </w:r>
    </w:p>
    <w:p w:rsidR="00A41EB6" w:rsidRPr="009E147D" w:rsidRDefault="00A41EB6" w:rsidP="007E7FDD">
      <w:pPr>
        <w:pStyle w:val="NoSpacing"/>
        <w:numPr>
          <w:ilvl w:val="0"/>
          <w:numId w:val="25"/>
        </w:numPr>
        <w:spacing w:before="360" w:after="60"/>
        <w:jc w:val="both"/>
        <w:rPr>
          <w:rFonts w:ascii="Cambria" w:hAnsi="Cambria" w:cs="Times New Roman"/>
          <w:b/>
        </w:rPr>
      </w:pPr>
      <w:r w:rsidRPr="009E147D">
        <w:rPr>
          <w:rFonts w:ascii="Cambria" w:hAnsi="Cambria" w:cs="Times New Roman"/>
          <w:b/>
        </w:rPr>
        <w:t>The Relevant Law:</w:t>
      </w:r>
    </w:p>
    <w:p w:rsidR="00A41EB6" w:rsidRPr="009E147D" w:rsidRDefault="00847512" w:rsidP="006C79AF">
      <w:r w:rsidRPr="009E147D">
        <w:t xml:space="preserve">In bringing an action in the NCAT, </w:t>
      </w:r>
      <w:r w:rsidR="00A41EB6" w:rsidRPr="009E147D">
        <w:t xml:space="preserve">here </w:t>
      </w:r>
      <w:r w:rsidR="00BF320C" w:rsidRPr="009E147D">
        <w:t xml:space="preserve">appears to be </w:t>
      </w:r>
      <w:r w:rsidR="00A41EB6" w:rsidRPr="009E147D">
        <w:t>no requirement for an applicant to disclose a specific cause of action or allegation of violation of a statutory provision in their application. Nor is there any requirement that the remedy they seek be specifically anchored to a common law cause of action or statutory violation.</w:t>
      </w:r>
    </w:p>
    <w:p w:rsidR="00A41EB6" w:rsidRPr="009E147D" w:rsidRDefault="00A41EB6" w:rsidP="006C79AF">
      <w:r w:rsidRPr="009E147D">
        <w:t xml:space="preserve">However, in reviewing the decisions of the </w:t>
      </w:r>
      <w:r w:rsidR="00847512" w:rsidRPr="009E147D">
        <w:t xml:space="preserve">NCAT and its predecessor the </w:t>
      </w:r>
      <w:r w:rsidRPr="009E147D">
        <w:t xml:space="preserve">CTTT, it seems fairly clear that common law principles are applied in the determination of claims.  So it seems reasonable to infer that while the law allows a significant amount of latitude in the nature of the pleadings, there must still be a solid legal basis for the </w:t>
      </w:r>
      <w:r w:rsidR="00847512" w:rsidRPr="009E147D">
        <w:t xml:space="preserve">Tribunal </w:t>
      </w:r>
      <w:r w:rsidRPr="009E147D">
        <w:t>to determine a claim and make an order.</w:t>
      </w:r>
    </w:p>
    <w:p w:rsidR="00A41EB6" w:rsidRPr="009E147D" w:rsidRDefault="00A41EB6" w:rsidP="007E7FDD">
      <w:pPr>
        <w:pStyle w:val="NoSpacing"/>
        <w:numPr>
          <w:ilvl w:val="0"/>
          <w:numId w:val="25"/>
        </w:numPr>
        <w:spacing w:before="360" w:after="60"/>
        <w:jc w:val="both"/>
        <w:rPr>
          <w:rFonts w:ascii="Cambria" w:hAnsi="Cambria" w:cs="Times New Roman"/>
          <w:b/>
        </w:rPr>
      </w:pPr>
      <w:r w:rsidRPr="009E147D">
        <w:rPr>
          <w:rFonts w:ascii="Cambria" w:hAnsi="Cambria" w:cs="Times New Roman"/>
          <w:b/>
        </w:rPr>
        <w:t>Jurisdiction and Orders:</w:t>
      </w:r>
    </w:p>
    <w:p w:rsidR="00A41EB6" w:rsidRPr="009E147D" w:rsidRDefault="00A41EB6" w:rsidP="006C79AF">
      <w:r w:rsidRPr="009E147D">
        <w:t xml:space="preserve">There seems little issue </w:t>
      </w:r>
      <w:r w:rsidR="00847512" w:rsidRPr="009E147D">
        <w:t xml:space="preserve">that </w:t>
      </w:r>
      <w:r w:rsidRPr="009E147D">
        <w:t>the</w:t>
      </w:r>
      <w:r w:rsidR="00847512" w:rsidRPr="009E147D">
        <w:t xml:space="preserve"> ACL</w:t>
      </w:r>
      <w:r w:rsidRPr="009E147D">
        <w:t xml:space="preserve"> definitions of consumer and supplier</w:t>
      </w:r>
      <w:r w:rsidR="00847512" w:rsidRPr="009E147D">
        <w:t xml:space="preserve"> would apply to an RACF and its residents.  </w:t>
      </w:r>
      <w:r w:rsidRPr="009E147D">
        <w:t xml:space="preserve">It is important to consider the orders sought when determining the type or types of relief to be requested.  For the purposes of a restraint </w:t>
      </w:r>
      <w:proofErr w:type="spellStart"/>
      <w:r w:rsidRPr="009E147D">
        <w:t>claim</w:t>
      </w:r>
      <w:r w:rsidR="00847512" w:rsidRPr="009E147D">
        <w:t>an</w:t>
      </w:r>
      <w:proofErr w:type="spellEnd"/>
      <w:r w:rsidR="00847512" w:rsidRPr="009E147D">
        <w:t xml:space="preserve"> </w:t>
      </w:r>
      <w:r w:rsidRPr="009E147D">
        <w:t xml:space="preserve">application </w:t>
      </w:r>
      <w:r w:rsidR="00BF320C" w:rsidRPr="009E147D">
        <w:t>would</w:t>
      </w:r>
      <w:r w:rsidRPr="009E147D">
        <w:t xml:space="preserve"> be a consumer claim if it is:</w:t>
      </w:r>
    </w:p>
    <w:p w:rsidR="00A41EB6" w:rsidRPr="009E147D" w:rsidRDefault="00A41EB6" w:rsidP="00566F4D">
      <w:pPr>
        <w:pStyle w:val="ListParagraph"/>
        <w:numPr>
          <w:ilvl w:val="0"/>
          <w:numId w:val="28"/>
        </w:numPr>
        <w:spacing w:after="120"/>
        <w:ind w:left="714" w:hanging="357"/>
        <w:contextualSpacing w:val="0"/>
        <w:jc w:val="both"/>
      </w:pPr>
      <w:r w:rsidRPr="009E147D">
        <w:t xml:space="preserve">for the payment of a specified sum of money; or </w:t>
      </w:r>
    </w:p>
    <w:p w:rsidR="00A41EB6" w:rsidRPr="009E147D" w:rsidRDefault="00A41EB6" w:rsidP="00566F4D">
      <w:pPr>
        <w:pStyle w:val="ListParagraph"/>
        <w:numPr>
          <w:ilvl w:val="0"/>
          <w:numId w:val="28"/>
        </w:numPr>
        <w:spacing w:after="120"/>
        <w:ind w:left="714" w:hanging="357"/>
        <w:contextualSpacing w:val="0"/>
        <w:jc w:val="both"/>
      </w:pPr>
      <w:r w:rsidRPr="009E147D">
        <w:t xml:space="preserve">for the supply of specified services; or </w:t>
      </w:r>
    </w:p>
    <w:p w:rsidR="00A41EB6" w:rsidRPr="009E147D" w:rsidRDefault="00A41EB6" w:rsidP="003075BF">
      <w:pPr>
        <w:pStyle w:val="ListParagraph"/>
        <w:numPr>
          <w:ilvl w:val="0"/>
          <w:numId w:val="28"/>
        </w:numPr>
        <w:jc w:val="both"/>
      </w:pPr>
      <w:proofErr w:type="gramStart"/>
      <w:r w:rsidRPr="009E147D">
        <w:t>for</w:t>
      </w:r>
      <w:proofErr w:type="gramEnd"/>
      <w:r w:rsidRPr="009E147D">
        <w:t xml:space="preserve"> relief from payment of a specified sum of money.</w:t>
      </w:r>
    </w:p>
    <w:p w:rsidR="00A41EB6" w:rsidRPr="009E147D" w:rsidRDefault="00A41EB6" w:rsidP="006C79AF">
      <w:r w:rsidRPr="009E147D">
        <w:t xml:space="preserve">It may be difficult </w:t>
      </w:r>
      <w:r w:rsidR="00847512" w:rsidRPr="009E147D">
        <w:t>for</w:t>
      </w:r>
      <w:r w:rsidR="00BF320C" w:rsidRPr="009E147D">
        <w:t xml:space="preserve"> </w:t>
      </w:r>
      <w:r w:rsidR="00847512" w:rsidRPr="009E147D">
        <w:t xml:space="preserve">a </w:t>
      </w:r>
      <w:r w:rsidR="00BF320C" w:rsidRPr="009E147D">
        <w:t>Tribunal</w:t>
      </w:r>
      <w:r w:rsidRPr="009E147D">
        <w:t xml:space="preserve"> to award general damages in these types of cases </w:t>
      </w:r>
      <w:r w:rsidR="00BF320C" w:rsidRPr="009E147D">
        <w:t xml:space="preserve">[restraint] </w:t>
      </w:r>
      <w:r w:rsidRPr="009E147D">
        <w:t xml:space="preserve">for two reasons: the limitations on personal injury damages in the </w:t>
      </w:r>
      <w:r w:rsidRPr="009E147D">
        <w:rPr>
          <w:i/>
        </w:rPr>
        <w:t>Civil Liability Act</w:t>
      </w:r>
      <w:r w:rsidRPr="009E147D">
        <w:t>, and the likely need for expert medical opinions to establish quanta of damages.</w:t>
      </w:r>
    </w:p>
    <w:p w:rsidR="00A41EB6" w:rsidRPr="009E147D" w:rsidRDefault="00847512" w:rsidP="006C79AF">
      <w:r w:rsidRPr="009E147D">
        <w:t>I</w:t>
      </w:r>
      <w:r w:rsidR="00A41EB6" w:rsidRPr="009E147D">
        <w:t>n</w:t>
      </w:r>
      <w:r w:rsidRPr="009E147D">
        <w:t xml:space="preserve"> a</w:t>
      </w:r>
      <w:r w:rsidR="00A41EB6" w:rsidRPr="009E147D">
        <w:t xml:space="preserve"> matter </w:t>
      </w:r>
      <w:r w:rsidRPr="009E147D">
        <w:t xml:space="preserve">with different facts </w:t>
      </w:r>
      <w:r w:rsidR="00A41EB6" w:rsidRPr="009E147D">
        <w:t xml:space="preserve">where general damages were claimed, </w:t>
      </w:r>
      <w:proofErr w:type="spellStart"/>
      <w:r w:rsidR="00A41EB6" w:rsidRPr="009E147D">
        <w:rPr>
          <w:i/>
        </w:rPr>
        <w:t>McAlary</w:t>
      </w:r>
      <w:proofErr w:type="spellEnd"/>
      <w:r w:rsidR="00A41EB6" w:rsidRPr="009E147D">
        <w:rPr>
          <w:i/>
        </w:rPr>
        <w:t xml:space="preserve"> v The Hospital Contributions Fund of Australia Ltd (General) </w:t>
      </w:r>
      <w:r w:rsidR="00A41EB6" w:rsidRPr="009E147D">
        <w:t xml:space="preserve">[2008] NSWCTTT, the </w:t>
      </w:r>
      <w:r w:rsidR="00BF320C" w:rsidRPr="009E147D">
        <w:t xml:space="preserve">decision of the </w:t>
      </w:r>
      <w:r w:rsidR="00DD74AC" w:rsidRPr="009E147D">
        <w:t xml:space="preserve">Tribunal </w:t>
      </w:r>
      <w:r w:rsidR="00BF320C" w:rsidRPr="009E147D">
        <w:t>included this statement</w:t>
      </w:r>
      <w:r w:rsidR="00A41EB6" w:rsidRPr="009E147D">
        <w:t xml:space="preserve">: “In accordance with Section 16 of the </w:t>
      </w:r>
      <w:r w:rsidR="00A41EB6" w:rsidRPr="009E147D">
        <w:rPr>
          <w:i/>
        </w:rPr>
        <w:t xml:space="preserve">Civil Liability Act </w:t>
      </w:r>
      <w:r w:rsidR="00A41EB6" w:rsidRPr="009E147D">
        <w:t xml:space="preserve">2002, no damages may be awarded for non-economic loss, including for pain and suffering, unless the severity of the non-economic loss is at least 15% of the most extreme case”.  </w:t>
      </w:r>
    </w:p>
    <w:p w:rsidR="00A507AA" w:rsidRDefault="00A41EB6" w:rsidP="006C79AF">
      <w:r w:rsidRPr="009E147D">
        <w:t xml:space="preserve">Claims under section 60 and 61 of the ACL </w:t>
      </w:r>
      <w:r w:rsidR="00DD74AC" w:rsidRPr="009E147D">
        <w:t xml:space="preserve">in NSW </w:t>
      </w:r>
      <w:r w:rsidRPr="009E147D">
        <w:t xml:space="preserve">would be limited by the </w:t>
      </w:r>
      <w:r w:rsidRPr="009E147D">
        <w:rPr>
          <w:i/>
        </w:rPr>
        <w:t>Civil Liability Act</w:t>
      </w:r>
      <w:r w:rsidRPr="009E147D">
        <w:t xml:space="preserve"> to $</w:t>
      </w:r>
      <w:r w:rsidR="00DD74AC" w:rsidRPr="009E147D">
        <w:t>594</w:t>
      </w:r>
      <w:r w:rsidRPr="009E147D">
        <w:t>,000</w:t>
      </w:r>
      <w:r w:rsidR="00DD74AC" w:rsidRPr="009E147D">
        <w:t xml:space="preserve"> at present (for the most extreme cases)</w:t>
      </w:r>
      <w:r w:rsidRPr="009E147D">
        <w:t xml:space="preserve">. </w:t>
      </w:r>
      <w:r w:rsidR="00DD74AC" w:rsidRPr="009E147D">
        <w:t xml:space="preserve"> </w:t>
      </w:r>
      <w:r w:rsidRPr="009E147D">
        <w:t>Even if a restraint claim reached the threshold of 15% of the most extreme case, the mo</w:t>
      </w:r>
      <w:r w:rsidR="00BF320C" w:rsidRPr="009E147D">
        <w:t>netary claim would exceed the monetary</w:t>
      </w:r>
      <w:r w:rsidRPr="009E147D">
        <w:t xml:space="preserve"> jurisdiction of the </w:t>
      </w:r>
      <w:r w:rsidR="00DD74AC" w:rsidRPr="009E147D">
        <w:t>Tribunal</w:t>
      </w:r>
      <w:r w:rsidRPr="009E147D">
        <w:t>.</w:t>
      </w:r>
    </w:p>
    <w:p w:rsidR="007E7FDD" w:rsidRDefault="007E7FDD">
      <w:pPr>
        <w:spacing w:after="200" w:line="276" w:lineRule="auto"/>
      </w:pPr>
      <w:r>
        <w:br w:type="page"/>
      </w:r>
    </w:p>
    <w:p w:rsidR="00A41EB6" w:rsidRPr="00A8757D" w:rsidRDefault="00A41EB6" w:rsidP="007E7FDD">
      <w:pPr>
        <w:pStyle w:val="NoSpacing"/>
        <w:numPr>
          <w:ilvl w:val="0"/>
          <w:numId w:val="25"/>
        </w:numPr>
        <w:spacing w:before="360" w:after="60"/>
        <w:jc w:val="both"/>
        <w:rPr>
          <w:rFonts w:ascii="Cambria" w:hAnsi="Cambria" w:cs="Times New Roman"/>
          <w:b/>
        </w:rPr>
      </w:pPr>
      <w:r w:rsidRPr="00A8757D">
        <w:rPr>
          <w:rFonts w:ascii="Cambria" w:hAnsi="Cambria" w:cs="Times New Roman"/>
          <w:b/>
        </w:rPr>
        <w:lastRenderedPageBreak/>
        <w:t>Matters to be considered by the Tribunal:</w:t>
      </w:r>
    </w:p>
    <w:p w:rsidR="00A41EB6" w:rsidRPr="009E147D" w:rsidRDefault="00A41EB6" w:rsidP="006C79AF">
      <w:r w:rsidRPr="009E147D">
        <w:t>For the purposes of a</w:t>
      </w:r>
      <w:r w:rsidR="00597F76" w:rsidRPr="009E147D">
        <w:t>n ACL</w:t>
      </w:r>
      <w:r w:rsidRPr="009E147D">
        <w:t xml:space="preserve"> restraint claim</w:t>
      </w:r>
      <w:r w:rsidR="00597F76" w:rsidRPr="009E147D">
        <w:t xml:space="preserve"> in the Tribunal</w:t>
      </w:r>
      <w:r w:rsidRPr="009E147D">
        <w:t xml:space="preserve">, relevant considerations </w:t>
      </w:r>
      <w:r w:rsidR="00597F76" w:rsidRPr="009E147D">
        <w:t xml:space="preserve">would </w:t>
      </w:r>
      <w:r w:rsidRPr="009E147D">
        <w:t>include:</w:t>
      </w:r>
    </w:p>
    <w:p w:rsidR="00A41EB6" w:rsidRPr="009E147D" w:rsidRDefault="00A41EB6" w:rsidP="00A507AA">
      <w:pPr>
        <w:pStyle w:val="ListParagraph"/>
        <w:numPr>
          <w:ilvl w:val="0"/>
          <w:numId w:val="29"/>
        </w:numPr>
        <w:spacing w:after="120"/>
        <w:ind w:left="714" w:hanging="357"/>
        <w:contextualSpacing w:val="0"/>
        <w:jc w:val="both"/>
      </w:pPr>
      <w:r w:rsidRPr="009E147D">
        <w:t xml:space="preserve">material inequality in bargaining power between the parties, </w:t>
      </w:r>
    </w:p>
    <w:p w:rsidR="00A41EB6" w:rsidRPr="009E147D" w:rsidRDefault="00A41EB6" w:rsidP="00A507AA">
      <w:pPr>
        <w:pStyle w:val="ListParagraph"/>
        <w:numPr>
          <w:ilvl w:val="0"/>
          <w:numId w:val="29"/>
        </w:numPr>
        <w:spacing w:after="120"/>
        <w:ind w:left="714" w:hanging="357"/>
        <w:contextualSpacing w:val="0"/>
        <w:jc w:val="both"/>
      </w:pPr>
      <w:r w:rsidRPr="009E147D">
        <w:t xml:space="preserve">whether or not the plaintiff was able to protect their own interests because of their age or physical or mental capacity, </w:t>
      </w:r>
    </w:p>
    <w:p w:rsidR="00A41EB6" w:rsidRPr="009E147D" w:rsidRDefault="00A41EB6" w:rsidP="00A507AA">
      <w:pPr>
        <w:pStyle w:val="ListParagraph"/>
        <w:numPr>
          <w:ilvl w:val="0"/>
          <w:numId w:val="29"/>
        </w:numPr>
        <w:spacing w:after="120"/>
        <w:ind w:left="714" w:hanging="357"/>
        <w:contextualSpacing w:val="0"/>
        <w:jc w:val="both"/>
      </w:pPr>
      <w:r w:rsidRPr="009E147D">
        <w:t xml:space="preserve">the relative economic circumstances of the parties, </w:t>
      </w:r>
    </w:p>
    <w:p w:rsidR="00A41EB6" w:rsidRPr="009E147D" w:rsidRDefault="003207CC" w:rsidP="00A507AA">
      <w:pPr>
        <w:pStyle w:val="ListParagraph"/>
        <w:numPr>
          <w:ilvl w:val="0"/>
          <w:numId w:val="29"/>
        </w:numPr>
        <w:spacing w:after="120"/>
        <w:ind w:left="714" w:hanging="357"/>
        <w:contextualSpacing w:val="0"/>
        <w:jc w:val="both"/>
      </w:pPr>
      <w:r w:rsidRPr="009E147D">
        <w:t>whether</w:t>
      </w:r>
      <w:r w:rsidR="00A41EB6" w:rsidRPr="009E147D">
        <w:t xml:space="preserve"> any unfair tactics were exerted on or used against the plaintiff, </w:t>
      </w:r>
    </w:p>
    <w:p w:rsidR="00A41EB6" w:rsidRPr="009E147D" w:rsidRDefault="00A41EB6" w:rsidP="00A507AA">
      <w:pPr>
        <w:pStyle w:val="ListParagraph"/>
        <w:numPr>
          <w:ilvl w:val="0"/>
          <w:numId w:val="29"/>
        </w:numPr>
        <w:spacing w:after="120"/>
        <w:ind w:left="714" w:hanging="357"/>
        <w:contextualSpacing w:val="0"/>
        <w:jc w:val="both"/>
      </w:pPr>
      <w:r w:rsidRPr="009E147D">
        <w:t xml:space="preserve">the conduct of the defendant in relation to similar transactions, and </w:t>
      </w:r>
    </w:p>
    <w:p w:rsidR="00A41EB6" w:rsidRPr="009E147D" w:rsidRDefault="00A41EB6" w:rsidP="003075BF">
      <w:pPr>
        <w:pStyle w:val="ListParagraph"/>
        <w:numPr>
          <w:ilvl w:val="0"/>
          <w:numId w:val="29"/>
        </w:numPr>
        <w:jc w:val="both"/>
      </w:pPr>
      <w:proofErr w:type="gramStart"/>
      <w:r w:rsidRPr="009E147D">
        <w:t>the</w:t>
      </w:r>
      <w:proofErr w:type="gramEnd"/>
      <w:r w:rsidRPr="009E147D">
        <w:t xml:space="preserve"> purpose and effect of the contract. </w:t>
      </w:r>
    </w:p>
    <w:p w:rsidR="00A41EB6" w:rsidRPr="009E147D" w:rsidRDefault="00A41EB6" w:rsidP="006C79AF">
      <w:r w:rsidRPr="009E147D">
        <w:t xml:space="preserve">In addition, </w:t>
      </w:r>
      <w:r w:rsidR="00597F76" w:rsidRPr="009E147D">
        <w:t>w</w:t>
      </w:r>
      <w:r w:rsidRPr="009E147D">
        <w:t>hile there are no codes of practice prescribed under the</w:t>
      </w:r>
      <w:r w:rsidR="00597F76" w:rsidRPr="009E147D">
        <w:t xml:space="preserve"> NSW</w:t>
      </w:r>
      <w:r w:rsidRPr="009E147D">
        <w:t xml:space="preserve"> </w:t>
      </w:r>
      <w:r w:rsidRPr="009E147D">
        <w:rPr>
          <w:i/>
        </w:rPr>
        <w:t>Fair Trading Act</w:t>
      </w:r>
      <w:r w:rsidRPr="009E147D">
        <w:t xml:space="preserve"> in relation to nursing homes or restraint, there are a number of </w:t>
      </w:r>
      <w:r w:rsidR="00597F76" w:rsidRPr="009E147D">
        <w:t xml:space="preserve">industry and professional </w:t>
      </w:r>
      <w:r w:rsidRPr="009E147D">
        <w:t>codes of practice and analogous guidelines which can be used as evidence of acceptable practice, and due care and skill.  The fact that there is reference to such codes of practice in the Act should give weight to any non-binding yet authoritative codes or guidelines which can be cited in support of the remedy sought.</w:t>
      </w:r>
    </w:p>
    <w:p w:rsidR="00A41EB6" w:rsidRPr="00A8757D" w:rsidRDefault="00A41EB6" w:rsidP="007E7FDD">
      <w:pPr>
        <w:pStyle w:val="NoSpacing"/>
        <w:numPr>
          <w:ilvl w:val="0"/>
          <w:numId w:val="25"/>
        </w:numPr>
        <w:spacing w:before="360" w:after="60"/>
        <w:jc w:val="both"/>
        <w:rPr>
          <w:rFonts w:ascii="Cambria" w:hAnsi="Cambria" w:cs="Times New Roman"/>
          <w:b/>
        </w:rPr>
      </w:pPr>
      <w:r w:rsidRPr="00A8757D">
        <w:rPr>
          <w:rFonts w:ascii="Cambria" w:hAnsi="Cambria" w:cs="Times New Roman"/>
          <w:b/>
        </w:rPr>
        <w:t>Specific Claims:</w:t>
      </w:r>
    </w:p>
    <w:p w:rsidR="00A41EB6" w:rsidRPr="009E147D" w:rsidRDefault="00A41EB6" w:rsidP="006C79AF">
      <w:r w:rsidRPr="009E147D">
        <w:t>As discussed earlier, due care and skill will be a question which will be open to interpretation, but the numerous guidelines in place tend to recommend restraint as a last resort, and in any case, as minimally as possible.  Furthermore, the circumstances in which restraint can be used are limited by the law in many circumstances. Some of the more compelling evidence here may be derived from guidelines and published studies and articles, as well as expert opinions.</w:t>
      </w:r>
    </w:p>
    <w:p w:rsidR="00A41EB6" w:rsidRPr="009E147D" w:rsidRDefault="00A41EB6" w:rsidP="006C79AF">
      <w:r w:rsidRPr="009E147D">
        <w:t xml:space="preserve">All three heads under Part 3-2 </w:t>
      </w:r>
      <w:r w:rsidR="00904AE0" w:rsidRPr="009E147D">
        <w:t xml:space="preserve">of the ACL </w:t>
      </w:r>
      <w:r w:rsidRPr="009E147D">
        <w:t xml:space="preserve">(due care and skill; fitness for purpose; reasonable time for supply) are all likely to apply to various factual scenarios where unlawful restraint can be alleged.  In part, this will be dependent on the nature of the service being alleged as the basis for the claim.  That in turn may flow from the contract between the parties, and </w:t>
      </w:r>
      <w:r w:rsidR="00904AE0" w:rsidRPr="009E147D">
        <w:t xml:space="preserve">may </w:t>
      </w:r>
      <w:r w:rsidRPr="009E147D">
        <w:t>be modified by various laws.</w:t>
      </w:r>
    </w:p>
    <w:p w:rsidR="00A41EB6" w:rsidRPr="009E147D" w:rsidRDefault="00A41EB6" w:rsidP="006C79AF">
      <w:r w:rsidRPr="009E147D">
        <w:t>There are a number of helpful Government studies which relate to the potentially improper use of restraint in aged care facilities, including a Senate report in 1995 and an ensuing ministerial taskforce report.  In addition, a 2008 NSW Department of Health report noted claims have been made that the use of restraints continues to be a major problem in nursing homes in NSW due to:</w:t>
      </w:r>
    </w:p>
    <w:p w:rsidR="00A41EB6" w:rsidRPr="009E147D" w:rsidRDefault="00A41EB6" w:rsidP="006C79AF">
      <w:pPr>
        <w:pStyle w:val="ListParagraph"/>
        <w:numPr>
          <w:ilvl w:val="0"/>
          <w:numId w:val="27"/>
        </w:numPr>
        <w:spacing w:after="120"/>
        <w:ind w:left="714" w:hanging="357"/>
        <w:contextualSpacing w:val="0"/>
      </w:pPr>
      <w:proofErr w:type="gramStart"/>
      <w:r w:rsidRPr="006C79AF">
        <w:rPr>
          <w:b/>
        </w:rPr>
        <w:t>difficulties</w:t>
      </w:r>
      <w:proofErr w:type="gramEnd"/>
      <w:r w:rsidRPr="006C79AF">
        <w:rPr>
          <w:b/>
        </w:rPr>
        <w:t xml:space="preserve"> in managing residents with dementia</w:t>
      </w:r>
      <w:r w:rsidRPr="009E147D">
        <w:t>, particularly where facilities have a diverse mix of residents and are not physically set up to provide care to people with dementia.  Nearly half of the people with moderate to severe dementia live in a residential care facility</w:t>
      </w:r>
    </w:p>
    <w:p w:rsidR="00A41EB6" w:rsidRPr="009E147D" w:rsidRDefault="00A41EB6" w:rsidP="006C79AF">
      <w:pPr>
        <w:pStyle w:val="ListParagraph"/>
        <w:numPr>
          <w:ilvl w:val="0"/>
          <w:numId w:val="27"/>
        </w:numPr>
        <w:spacing w:after="120"/>
        <w:ind w:left="714" w:hanging="357"/>
        <w:contextualSpacing w:val="0"/>
      </w:pPr>
      <w:r w:rsidRPr="006C79AF">
        <w:rPr>
          <w:b/>
        </w:rPr>
        <w:t>staff shortages</w:t>
      </w:r>
      <w:r w:rsidRPr="009E147D">
        <w:t>, particularly in qualified nursing staff</w:t>
      </w:r>
    </w:p>
    <w:p w:rsidR="00A41EB6" w:rsidRPr="009E147D" w:rsidRDefault="00A41EB6" w:rsidP="006C79AF">
      <w:pPr>
        <w:pStyle w:val="ListParagraph"/>
        <w:numPr>
          <w:ilvl w:val="0"/>
          <w:numId w:val="27"/>
        </w:numPr>
        <w:spacing w:after="120"/>
        <w:ind w:left="714" w:hanging="357"/>
        <w:contextualSpacing w:val="0"/>
      </w:pPr>
      <w:r w:rsidRPr="006C79AF">
        <w:rPr>
          <w:b/>
        </w:rPr>
        <w:t>an inappropriate mix of staff and the use of unqualified staff</w:t>
      </w:r>
      <w:r w:rsidRPr="009E147D">
        <w:t xml:space="preserve"> who are not trained to manage difficult behaviour or qualified to administer medication</w:t>
      </w:r>
    </w:p>
    <w:p w:rsidR="00A41EB6" w:rsidRPr="009E147D" w:rsidRDefault="00A41EB6" w:rsidP="006C79AF">
      <w:pPr>
        <w:pStyle w:val="ListParagraph"/>
        <w:numPr>
          <w:ilvl w:val="0"/>
          <w:numId w:val="27"/>
        </w:numPr>
        <w:spacing w:after="120"/>
        <w:ind w:left="714" w:hanging="357"/>
        <w:contextualSpacing w:val="0"/>
      </w:pPr>
      <w:r w:rsidRPr="006C79AF">
        <w:rPr>
          <w:b/>
        </w:rPr>
        <w:t>inadequate regulatory and monitoring</w:t>
      </w:r>
      <w:r w:rsidRPr="009E147D">
        <w:t xml:space="preserve"> arrangements</w:t>
      </w:r>
    </w:p>
    <w:p w:rsidR="00A41EB6" w:rsidRPr="006C79AF" w:rsidRDefault="00A41EB6" w:rsidP="003075BF">
      <w:pPr>
        <w:pStyle w:val="ListParagraph"/>
        <w:numPr>
          <w:ilvl w:val="0"/>
          <w:numId w:val="27"/>
        </w:numPr>
        <w:jc w:val="both"/>
        <w:rPr>
          <w:rFonts w:cs="Times New Roman"/>
          <w:b/>
        </w:rPr>
      </w:pPr>
      <w:proofErr w:type="gramStart"/>
      <w:r w:rsidRPr="006C79AF">
        <w:rPr>
          <w:b/>
        </w:rPr>
        <w:t>a</w:t>
      </w:r>
      <w:proofErr w:type="gramEnd"/>
      <w:r w:rsidRPr="006C79AF">
        <w:rPr>
          <w:b/>
        </w:rPr>
        <w:t xml:space="preserve"> focus on improving the efficiency of the sector, ‘profits’ and cost cutting, rather than meeting the needs of consumers.</w:t>
      </w:r>
    </w:p>
    <w:p w:rsidR="001F1ED3" w:rsidRDefault="001F1ED3">
      <w:pPr>
        <w:spacing w:after="200" w:line="276" w:lineRule="auto"/>
        <w:rPr>
          <w:rFonts w:cs="Times New Roman"/>
          <w:b/>
        </w:rPr>
      </w:pPr>
      <w:r>
        <w:rPr>
          <w:rFonts w:cs="Times New Roman"/>
          <w:b/>
        </w:rPr>
        <w:br w:type="page"/>
      </w:r>
    </w:p>
    <w:p w:rsidR="00A41EB6" w:rsidRPr="00A8757D" w:rsidRDefault="0068225D" w:rsidP="007E7FDD">
      <w:pPr>
        <w:pStyle w:val="NoSpacing"/>
        <w:numPr>
          <w:ilvl w:val="0"/>
          <w:numId w:val="25"/>
        </w:numPr>
        <w:spacing w:before="360" w:after="60"/>
        <w:jc w:val="both"/>
        <w:rPr>
          <w:rFonts w:ascii="Cambria" w:hAnsi="Cambria" w:cs="Times New Roman"/>
          <w:b/>
        </w:rPr>
      </w:pPr>
      <w:r w:rsidRPr="00A8757D">
        <w:rPr>
          <w:rFonts w:ascii="Cambria" w:hAnsi="Cambria" w:cs="Times New Roman"/>
          <w:b/>
        </w:rPr>
        <w:lastRenderedPageBreak/>
        <w:t xml:space="preserve">The </w:t>
      </w:r>
      <w:r w:rsidR="00A41EB6" w:rsidRPr="00A8757D">
        <w:rPr>
          <w:rFonts w:ascii="Cambria" w:hAnsi="Cambria" w:cs="Times New Roman"/>
          <w:b/>
        </w:rPr>
        <w:t xml:space="preserve">ACL </w:t>
      </w:r>
      <w:r w:rsidR="003207CC" w:rsidRPr="00A8757D">
        <w:rPr>
          <w:rFonts w:ascii="Cambria" w:hAnsi="Cambria" w:cs="Times New Roman"/>
          <w:b/>
        </w:rPr>
        <w:t>and unconscionable conduct</w:t>
      </w:r>
      <w:r w:rsidR="00A41EB6" w:rsidRPr="00A8757D">
        <w:rPr>
          <w:rFonts w:ascii="Cambria" w:hAnsi="Cambria" w:cs="Times New Roman"/>
          <w:b/>
        </w:rPr>
        <w:t>:</w:t>
      </w:r>
    </w:p>
    <w:p w:rsidR="00A41EB6" w:rsidRPr="009E147D" w:rsidRDefault="00A41EB6" w:rsidP="001F1ED3">
      <w:r w:rsidRPr="009E147D">
        <w:t xml:space="preserve">It is worthy of note that several of the relevant considerations in section 13(2) above comport very closely with those considerations which are relevant to a finding of unconscionable conduct in the cases under the old section 51AB of the </w:t>
      </w:r>
      <w:r w:rsidRPr="009E147D">
        <w:rPr>
          <w:i/>
        </w:rPr>
        <w:t>Trade Practices Act</w:t>
      </w:r>
      <w:r w:rsidRPr="009E147D">
        <w:t xml:space="preserve">, which has been succeeded by section 21 of the ACL.  </w:t>
      </w:r>
    </w:p>
    <w:p w:rsidR="00A41EB6" w:rsidRPr="009E147D" w:rsidRDefault="00A41EB6" w:rsidP="001F1ED3">
      <w:proofErr w:type="spellStart"/>
      <w:r w:rsidRPr="009E147D">
        <w:t>Unconscionability</w:t>
      </w:r>
      <w:proofErr w:type="spellEnd"/>
      <w:r w:rsidRPr="009E147D">
        <w:t xml:space="preserve"> is proscribed in two sections of the ACL. The first is section 20, which addresses common law </w:t>
      </w:r>
      <w:proofErr w:type="spellStart"/>
      <w:r w:rsidRPr="009E147D">
        <w:t>unconscionability</w:t>
      </w:r>
      <w:proofErr w:type="spellEnd"/>
      <w:r w:rsidRPr="009E147D">
        <w:t xml:space="preserve"> (i.e. the </w:t>
      </w:r>
      <w:proofErr w:type="spellStart"/>
      <w:r w:rsidRPr="009E147D">
        <w:rPr>
          <w:i/>
        </w:rPr>
        <w:t>Amadio</w:t>
      </w:r>
      <w:proofErr w:type="spellEnd"/>
      <w:r w:rsidRPr="009E147D">
        <w:t xml:space="preserve"> line of cases).  It states that a person must not, in trade or commerce, engage in conduct that is unconscionable, within the meaning of the unwritten law from time to time.  Subsection 2 goes on to qualify or limit the application of section 20 as follows: This section does not apply to conduct that is prohibited by section 21.</w:t>
      </w:r>
    </w:p>
    <w:p w:rsidR="00A41EB6" w:rsidRPr="009E147D" w:rsidRDefault="00A41EB6" w:rsidP="001F1ED3">
      <w:r w:rsidRPr="009E147D">
        <w:t>Section 21(1) of the ACL states that a person must not, in trade or commerce, in connection with the supply or possible supply of goods or services to a person, engage in conduct that is, in all the circumstances, unconscionable.</w:t>
      </w:r>
    </w:p>
    <w:p w:rsidR="00A41EB6" w:rsidRPr="009E147D" w:rsidRDefault="00A41EB6" w:rsidP="001F1ED3">
      <w:r w:rsidRPr="009E147D">
        <w:t>Section 22 of the ACL provides an extensive list of factors which can be considered in determining whether conduct was in fact unconscionable under section 21.</w:t>
      </w:r>
      <w:r w:rsidR="00BA1F83" w:rsidRPr="009E147D">
        <w:t xml:space="preserve"> </w:t>
      </w:r>
      <w:r w:rsidRPr="009E147D">
        <w:t xml:space="preserve"> A number of these factors would be applicable to claims of unlawful restraint in a nursing home, and industry codes can be considered by the Court or Tribunal.</w:t>
      </w:r>
    </w:p>
    <w:p w:rsidR="00A41EB6" w:rsidRPr="009E147D" w:rsidRDefault="00A41EB6" w:rsidP="001F1ED3">
      <w:r w:rsidRPr="009E147D">
        <w:t>It is important to note that section 21 contains an express statement of intent to guide courts and tribunals in their application of this section:</w:t>
      </w:r>
    </w:p>
    <w:p w:rsidR="00A41EB6" w:rsidRPr="009E147D" w:rsidRDefault="00A41EB6" w:rsidP="00A46BDF">
      <w:pPr>
        <w:pStyle w:val="NoSpacing"/>
        <w:jc w:val="both"/>
        <w:rPr>
          <w:rFonts w:ascii="Cambria" w:hAnsi="Cambria" w:cs="Times New Roman"/>
        </w:rPr>
      </w:pPr>
    </w:p>
    <w:p w:rsidR="00A41EB6" w:rsidRPr="00854D1C" w:rsidRDefault="00A41EB6" w:rsidP="001F1ED3">
      <w:pPr>
        <w:pStyle w:val="NoSpacing"/>
        <w:ind w:right="1088"/>
        <w:rPr>
          <w:rFonts w:ascii="Cambria" w:hAnsi="Cambria" w:cs="Times New Roman"/>
        </w:rPr>
      </w:pPr>
      <w:r w:rsidRPr="00854D1C">
        <w:rPr>
          <w:rFonts w:ascii="Cambria" w:hAnsi="Cambria" w:cs="Times New Roman"/>
        </w:rPr>
        <w:t>(4) It is the intention of the Parliament that:</w:t>
      </w:r>
    </w:p>
    <w:p w:rsidR="00A41EB6" w:rsidRPr="00854D1C" w:rsidRDefault="00A41EB6" w:rsidP="001F1ED3">
      <w:pPr>
        <w:pStyle w:val="NoSpacing"/>
        <w:ind w:left="720" w:right="1088"/>
        <w:rPr>
          <w:rFonts w:ascii="Cambria" w:hAnsi="Cambria" w:cs="Times New Roman"/>
        </w:rPr>
      </w:pPr>
    </w:p>
    <w:p w:rsidR="00A41EB6" w:rsidRDefault="00854D1C" w:rsidP="001F1ED3">
      <w:pPr>
        <w:pStyle w:val="NoSpacing"/>
        <w:ind w:left="1440" w:right="1088" w:hanging="720"/>
        <w:rPr>
          <w:rFonts w:ascii="Cambria" w:hAnsi="Cambria" w:cs="Times New Roman"/>
        </w:rPr>
      </w:pPr>
      <w:r>
        <w:rPr>
          <w:rFonts w:ascii="Cambria" w:hAnsi="Cambria" w:cs="Times New Roman"/>
        </w:rPr>
        <w:t>(a)</w:t>
      </w:r>
      <w:r>
        <w:rPr>
          <w:rFonts w:ascii="Cambria" w:hAnsi="Cambria" w:cs="Times New Roman"/>
        </w:rPr>
        <w:tab/>
      </w:r>
      <w:proofErr w:type="gramStart"/>
      <w:r w:rsidR="00A41EB6" w:rsidRPr="00854D1C">
        <w:rPr>
          <w:rFonts w:ascii="Cambria" w:hAnsi="Cambria" w:cs="Times New Roman"/>
        </w:rPr>
        <w:t>this</w:t>
      </w:r>
      <w:proofErr w:type="gramEnd"/>
      <w:r w:rsidR="00A41EB6" w:rsidRPr="00854D1C">
        <w:rPr>
          <w:rFonts w:ascii="Cambria" w:hAnsi="Cambria" w:cs="Times New Roman"/>
        </w:rPr>
        <w:t xml:space="preserve"> section is not limited by the unwritten law relating to unconscionable conduct; and</w:t>
      </w:r>
    </w:p>
    <w:p w:rsidR="00854D1C" w:rsidRPr="00854D1C" w:rsidRDefault="00854D1C" w:rsidP="001F1ED3">
      <w:pPr>
        <w:pStyle w:val="NoSpacing"/>
        <w:ind w:left="1440" w:right="1088" w:hanging="720"/>
        <w:rPr>
          <w:rFonts w:ascii="Cambria" w:hAnsi="Cambria" w:cs="Times New Roman"/>
        </w:rPr>
      </w:pPr>
    </w:p>
    <w:p w:rsidR="00A41EB6" w:rsidRDefault="00854D1C" w:rsidP="001F1ED3">
      <w:pPr>
        <w:pStyle w:val="NoSpacing"/>
        <w:ind w:left="1440" w:right="1088" w:hanging="720"/>
        <w:rPr>
          <w:rFonts w:ascii="Cambria" w:hAnsi="Cambria" w:cs="Times New Roman"/>
        </w:rPr>
      </w:pPr>
      <w:r>
        <w:rPr>
          <w:rFonts w:ascii="Cambria" w:hAnsi="Cambria" w:cs="Times New Roman"/>
        </w:rPr>
        <w:t>(b)</w:t>
      </w:r>
      <w:r>
        <w:rPr>
          <w:rFonts w:ascii="Cambria" w:hAnsi="Cambria" w:cs="Times New Roman"/>
        </w:rPr>
        <w:tab/>
      </w:r>
      <w:r w:rsidR="00A41EB6" w:rsidRPr="00854D1C">
        <w:rPr>
          <w:rFonts w:ascii="Cambria" w:hAnsi="Cambria" w:cs="Times New Roman"/>
        </w:rPr>
        <w:t>this section is capable of applying to a system of conduct or pattern of behaviour, whether or not a particular individual is identified as having been disadvantaged by the conduct or behaviour; and</w:t>
      </w:r>
    </w:p>
    <w:p w:rsidR="00854D1C" w:rsidRPr="00854D1C" w:rsidRDefault="00854D1C" w:rsidP="001F1ED3">
      <w:pPr>
        <w:pStyle w:val="NoSpacing"/>
        <w:ind w:left="1440" w:right="1088" w:hanging="720"/>
        <w:rPr>
          <w:rFonts w:ascii="Cambria" w:hAnsi="Cambria" w:cs="Times New Roman"/>
        </w:rPr>
      </w:pPr>
    </w:p>
    <w:p w:rsidR="00A41EB6" w:rsidRPr="00854D1C" w:rsidRDefault="00854D1C" w:rsidP="001F1ED3">
      <w:pPr>
        <w:pStyle w:val="NoSpacing"/>
        <w:spacing w:after="120"/>
        <w:ind w:left="1440" w:right="1088" w:hanging="720"/>
        <w:rPr>
          <w:rFonts w:ascii="Cambria" w:hAnsi="Cambria" w:cs="Times New Roman"/>
        </w:rPr>
      </w:pPr>
      <w:r>
        <w:rPr>
          <w:rFonts w:ascii="Cambria" w:hAnsi="Cambria" w:cs="Times New Roman"/>
        </w:rPr>
        <w:t>(c)</w:t>
      </w:r>
      <w:r>
        <w:rPr>
          <w:rFonts w:ascii="Cambria" w:hAnsi="Cambria" w:cs="Times New Roman"/>
        </w:rPr>
        <w:tab/>
      </w:r>
      <w:proofErr w:type="gramStart"/>
      <w:r w:rsidR="00A41EB6" w:rsidRPr="00854D1C">
        <w:rPr>
          <w:rFonts w:ascii="Cambria" w:hAnsi="Cambria" w:cs="Times New Roman"/>
        </w:rPr>
        <w:t>in</w:t>
      </w:r>
      <w:proofErr w:type="gramEnd"/>
      <w:r w:rsidR="00A41EB6" w:rsidRPr="00854D1C">
        <w:rPr>
          <w:rFonts w:ascii="Cambria" w:hAnsi="Cambria" w:cs="Times New Roman"/>
        </w:rPr>
        <w:t xml:space="preserve"> considering whether conduct to which a contract relates is unconscionable, a court’s consideration of the contract may include consideration of:</w:t>
      </w:r>
    </w:p>
    <w:p w:rsidR="00A41EB6" w:rsidRPr="00854D1C" w:rsidRDefault="00A41EB6" w:rsidP="001F1ED3">
      <w:pPr>
        <w:pStyle w:val="NoSpacing"/>
        <w:spacing w:after="120"/>
        <w:ind w:left="1440" w:right="1088"/>
        <w:rPr>
          <w:rFonts w:ascii="Cambria" w:hAnsi="Cambria" w:cs="Times New Roman"/>
        </w:rPr>
      </w:pPr>
      <w:r w:rsidRPr="00854D1C">
        <w:rPr>
          <w:rFonts w:ascii="Cambria" w:hAnsi="Cambria" w:cs="Times New Roman"/>
        </w:rPr>
        <w:t>(</w:t>
      </w:r>
      <w:proofErr w:type="spellStart"/>
      <w:r w:rsidRPr="00854D1C">
        <w:rPr>
          <w:rFonts w:ascii="Cambria" w:hAnsi="Cambria" w:cs="Times New Roman"/>
        </w:rPr>
        <w:t>i</w:t>
      </w:r>
      <w:proofErr w:type="spellEnd"/>
      <w:r w:rsidRPr="00854D1C">
        <w:rPr>
          <w:rFonts w:ascii="Cambria" w:hAnsi="Cambria" w:cs="Times New Roman"/>
        </w:rPr>
        <w:t>)</w:t>
      </w:r>
      <w:r w:rsidR="00854D1C">
        <w:rPr>
          <w:rFonts w:ascii="Cambria" w:hAnsi="Cambria" w:cs="Times New Roman"/>
        </w:rPr>
        <w:tab/>
      </w:r>
      <w:proofErr w:type="gramStart"/>
      <w:r w:rsidRPr="00854D1C">
        <w:rPr>
          <w:rFonts w:ascii="Cambria" w:hAnsi="Cambria" w:cs="Times New Roman"/>
        </w:rPr>
        <w:t>the</w:t>
      </w:r>
      <w:proofErr w:type="gramEnd"/>
      <w:r w:rsidRPr="00854D1C">
        <w:rPr>
          <w:rFonts w:ascii="Cambria" w:hAnsi="Cambria" w:cs="Times New Roman"/>
        </w:rPr>
        <w:t xml:space="preserve"> terms of the contract; and</w:t>
      </w:r>
    </w:p>
    <w:p w:rsidR="00A41EB6" w:rsidRPr="00854D1C" w:rsidRDefault="00A41EB6" w:rsidP="001F1ED3">
      <w:pPr>
        <w:pStyle w:val="NoSpacing"/>
        <w:ind w:left="2160" w:right="1088" w:hanging="720"/>
        <w:rPr>
          <w:rFonts w:ascii="Cambria" w:hAnsi="Cambria" w:cs="Times New Roman"/>
        </w:rPr>
      </w:pPr>
      <w:r w:rsidRPr="00854D1C">
        <w:rPr>
          <w:rFonts w:ascii="Cambria" w:hAnsi="Cambria" w:cs="Times New Roman"/>
        </w:rPr>
        <w:t xml:space="preserve">(ii) </w:t>
      </w:r>
      <w:r w:rsidR="00854D1C">
        <w:rPr>
          <w:rFonts w:ascii="Cambria" w:hAnsi="Cambria" w:cs="Times New Roman"/>
        </w:rPr>
        <w:tab/>
      </w:r>
      <w:proofErr w:type="gramStart"/>
      <w:r w:rsidRPr="00854D1C">
        <w:rPr>
          <w:rFonts w:ascii="Cambria" w:hAnsi="Cambria" w:cs="Times New Roman"/>
        </w:rPr>
        <w:t>the</w:t>
      </w:r>
      <w:proofErr w:type="gramEnd"/>
      <w:r w:rsidRPr="00854D1C">
        <w:rPr>
          <w:rFonts w:ascii="Cambria" w:hAnsi="Cambria" w:cs="Times New Roman"/>
        </w:rPr>
        <w:t xml:space="preserve"> manner in which and the extent to which the contract is carried out; and is not limited to consideration of the circumstances relating to formation of the contract.</w:t>
      </w:r>
    </w:p>
    <w:p w:rsidR="00A41EB6" w:rsidRPr="009E147D" w:rsidRDefault="00A41EB6" w:rsidP="00A46BDF">
      <w:pPr>
        <w:pStyle w:val="NoSpacing"/>
        <w:jc w:val="both"/>
        <w:rPr>
          <w:rFonts w:ascii="Cambria" w:hAnsi="Cambria" w:cs="Times New Roman"/>
        </w:rPr>
      </w:pPr>
    </w:p>
    <w:p w:rsidR="00A41EB6" w:rsidRPr="009E147D" w:rsidRDefault="00A41EB6" w:rsidP="001F1ED3">
      <w:r w:rsidRPr="009E147D">
        <w:t xml:space="preserve">It is </w:t>
      </w:r>
      <w:r w:rsidR="003207CC" w:rsidRPr="009E147D">
        <w:t xml:space="preserve">for </w:t>
      </w:r>
      <w:r w:rsidRPr="009E147D">
        <w:t xml:space="preserve">this reason that claims to restraint would be more likely to succeed under section 21 than under section 20.  The common law typically requires “serious misconduct or something clearly unfair or unreasonable” for a finding of </w:t>
      </w:r>
      <w:proofErr w:type="spellStart"/>
      <w:proofErr w:type="gramStart"/>
      <w:r w:rsidRPr="009E147D">
        <w:t>unconscionability</w:t>
      </w:r>
      <w:proofErr w:type="spellEnd"/>
      <w:r w:rsidRPr="009E147D">
        <w:t>,</w:t>
      </w:r>
      <w:proofErr w:type="gramEnd"/>
      <w:r w:rsidRPr="009E147D">
        <w:t xml:space="preserve"> and the Macquarie dictionary defines unconscionable as "not in accordance with what is just or reasonable".  It seems the burden of proof under s.21 may be a little more easily discharged.</w:t>
      </w:r>
    </w:p>
    <w:p w:rsidR="00A41EB6" w:rsidRPr="00A8757D" w:rsidRDefault="00A41EB6" w:rsidP="007E7FDD">
      <w:pPr>
        <w:pStyle w:val="NoSpacing"/>
        <w:numPr>
          <w:ilvl w:val="0"/>
          <w:numId w:val="25"/>
        </w:numPr>
        <w:spacing w:before="360" w:after="60"/>
        <w:jc w:val="both"/>
        <w:rPr>
          <w:rFonts w:ascii="Cambria" w:hAnsi="Cambria" w:cs="Times New Roman"/>
          <w:b/>
        </w:rPr>
      </w:pPr>
      <w:r w:rsidRPr="00A8757D">
        <w:rPr>
          <w:rFonts w:ascii="Cambria" w:hAnsi="Cambria" w:cs="Times New Roman"/>
          <w:b/>
        </w:rPr>
        <w:t xml:space="preserve">ACL </w:t>
      </w:r>
      <w:r w:rsidR="003207CC" w:rsidRPr="00A8757D">
        <w:rPr>
          <w:rFonts w:ascii="Cambria" w:hAnsi="Cambria" w:cs="Times New Roman"/>
          <w:b/>
        </w:rPr>
        <w:t xml:space="preserve">and the </w:t>
      </w:r>
      <w:r w:rsidRPr="00A8757D">
        <w:rPr>
          <w:rFonts w:ascii="Cambria" w:hAnsi="Cambria" w:cs="Times New Roman"/>
          <w:b/>
        </w:rPr>
        <w:t>Use of Forc</w:t>
      </w:r>
      <w:r w:rsidR="004E232D" w:rsidRPr="00A8757D">
        <w:rPr>
          <w:rFonts w:ascii="Cambria" w:hAnsi="Cambria" w:cs="Times New Roman"/>
          <w:b/>
        </w:rPr>
        <w:t>e</w:t>
      </w:r>
    </w:p>
    <w:p w:rsidR="00A41EB6" w:rsidRPr="009E147D" w:rsidRDefault="00A41EB6" w:rsidP="001F1ED3">
      <w:r w:rsidRPr="009E147D">
        <w:t xml:space="preserve">Section 50 of the ACL covers harassment and coercion, and states that a person must not use physical force in connection with the supply or possible supply of goods or services.  This section may not </w:t>
      </w:r>
      <w:r w:rsidRPr="009E147D">
        <w:lastRenderedPageBreak/>
        <w:t>always be the most appropriate cause of action, but it may serve a purpose in specific factual scenarios.</w:t>
      </w:r>
    </w:p>
    <w:p w:rsidR="00A41EB6" w:rsidRPr="009E147D" w:rsidRDefault="00A41EB6" w:rsidP="001F1ED3">
      <w:r w:rsidRPr="009E147D">
        <w:t xml:space="preserve">Although section 74 of the </w:t>
      </w:r>
      <w:r w:rsidRPr="009E147D">
        <w:rPr>
          <w:i/>
        </w:rPr>
        <w:t>Fair Trading Act</w:t>
      </w:r>
      <w:r w:rsidRPr="009E147D">
        <w:t xml:space="preserve"> precludes the remedies for damages and compensation orders (under ss.236 and 237 of the ACL) in cases of personal injury arising from violations of section 50, that bar does not appear to cover consumer claims.  Firstly, a</w:t>
      </w:r>
      <w:r w:rsidR="003207CC" w:rsidRPr="009E147D">
        <w:t xml:space="preserve">n NCAT </w:t>
      </w:r>
      <w:r w:rsidRPr="009E147D">
        <w:t xml:space="preserve">claim in relation to unlawful restraint would not prima facie be a claim for damages or a compensation order under ACL 236 or 237; and secondly the </w:t>
      </w:r>
      <w:r w:rsidR="003207CC" w:rsidRPr="009E147D">
        <w:t>ACL</w:t>
      </w:r>
      <w:r w:rsidRPr="009E147D">
        <w:t xml:space="preserve"> gives </w:t>
      </w:r>
      <w:r w:rsidR="003207CC" w:rsidRPr="009E147D">
        <w:t>NCAT</w:t>
      </w:r>
      <w:r w:rsidRPr="009E147D">
        <w:t xml:space="preserve"> jurisdiction to make orders which require a respondent to supply to the claimant specified services other than work, which is the actual remedy sought.  While this is a complicated analysis, it appears to be a </w:t>
      </w:r>
      <w:r w:rsidR="003207CC" w:rsidRPr="009E147D">
        <w:t xml:space="preserve">possible </w:t>
      </w:r>
      <w:r w:rsidRPr="009E147D">
        <w:t>remedy</w:t>
      </w:r>
      <w:r w:rsidR="00904AE0" w:rsidRPr="009E147D">
        <w:t xml:space="preserve"> for consumers</w:t>
      </w:r>
      <w:r w:rsidRPr="009E147D">
        <w:t>.</w:t>
      </w:r>
    </w:p>
    <w:p w:rsidR="00A41EB6" w:rsidRPr="009E147D" w:rsidRDefault="00A41EB6" w:rsidP="001F1ED3">
      <w:r w:rsidRPr="009E147D">
        <w:t>Another relevant consideration here is section 30 of the</w:t>
      </w:r>
      <w:r w:rsidR="00904AE0" w:rsidRPr="009E147D">
        <w:t xml:space="preserve"> NSW</w:t>
      </w:r>
      <w:r w:rsidRPr="009E147D">
        <w:t xml:space="preserve"> </w:t>
      </w:r>
      <w:r w:rsidRPr="009E147D">
        <w:rPr>
          <w:i/>
        </w:rPr>
        <w:t>Fair Trading Act</w:t>
      </w:r>
      <w:r w:rsidRPr="009E147D">
        <w:t>, which states that compensation orders under ACL section 237 are only available in the Supreme Court.</w:t>
      </w:r>
    </w:p>
    <w:p w:rsidR="00A41EB6" w:rsidRPr="00A8757D" w:rsidRDefault="00A41EB6" w:rsidP="007E7FDD">
      <w:pPr>
        <w:pStyle w:val="NoSpacing"/>
        <w:numPr>
          <w:ilvl w:val="0"/>
          <w:numId w:val="25"/>
        </w:numPr>
        <w:spacing w:before="360" w:after="60"/>
        <w:jc w:val="both"/>
        <w:rPr>
          <w:rFonts w:ascii="Cambria" w:hAnsi="Cambria" w:cs="Times New Roman"/>
          <w:b/>
        </w:rPr>
      </w:pPr>
      <w:r w:rsidRPr="00A8757D">
        <w:rPr>
          <w:rFonts w:ascii="Cambria" w:hAnsi="Cambria" w:cs="Times New Roman"/>
          <w:b/>
        </w:rPr>
        <w:t>Claims in contract:</w:t>
      </w:r>
    </w:p>
    <w:p w:rsidR="00A41EB6" w:rsidRPr="009E147D" w:rsidRDefault="00A41EB6" w:rsidP="001F1ED3">
      <w:r w:rsidRPr="009E147D">
        <w:t xml:space="preserve">In addition to consumer claims under the ACL, </w:t>
      </w:r>
      <w:r w:rsidR="00904AE0" w:rsidRPr="009E147D">
        <w:t>the Tribunal</w:t>
      </w:r>
      <w:r w:rsidRPr="009E147D">
        <w:t xml:space="preserve"> </w:t>
      </w:r>
      <w:r w:rsidR="00904AE0" w:rsidRPr="009E147D">
        <w:t xml:space="preserve">may </w:t>
      </w:r>
      <w:r w:rsidRPr="009E147D">
        <w:t xml:space="preserve">entertain contractual claims.  If individual plaintiffs have contracts with the facilities providing </w:t>
      </w:r>
      <w:r w:rsidR="003207CC" w:rsidRPr="009E147D">
        <w:t xml:space="preserve">for </w:t>
      </w:r>
      <w:r w:rsidRPr="009E147D">
        <w:t>the</w:t>
      </w:r>
      <w:r w:rsidR="003207CC" w:rsidRPr="009E147D">
        <w:t>ir</w:t>
      </w:r>
      <w:r w:rsidRPr="009E147D">
        <w:t xml:space="preserve"> care, then contractual remedies could also be pursued.  While Part 3-2 of the ACL codifies the old common law implied guarantees in any consumer contract (due care and skill; fitness for purpose; reasonable time for supply), there may be specific contractual claims which arise from representations made in the marketing, sale, promotion or contracting of certain aged care facilities.  </w:t>
      </w:r>
    </w:p>
    <w:p w:rsidR="00A8757D" w:rsidRDefault="00A8757D" w:rsidP="001F1ED3"/>
    <w:p w:rsidR="003075BF" w:rsidRPr="001F1ED3" w:rsidRDefault="007E7FDD" w:rsidP="003075BF">
      <w:pPr>
        <w:jc w:val="both"/>
        <w:rPr>
          <w:b/>
          <w:sz w:val="52"/>
        </w:rPr>
      </w:pPr>
      <w:r w:rsidRPr="001F1ED3">
        <w:rPr>
          <w:b/>
          <w:sz w:val="52"/>
        </w:rPr>
        <w:t>Summary</w:t>
      </w:r>
    </w:p>
    <w:p w:rsidR="008246D2" w:rsidRPr="001F1ED3" w:rsidRDefault="00342CD1" w:rsidP="001F1ED3">
      <w:pPr>
        <w:rPr>
          <w:sz w:val="28"/>
        </w:rPr>
      </w:pPr>
      <w:r w:rsidRPr="001F1ED3">
        <w:rPr>
          <w:sz w:val="28"/>
        </w:rPr>
        <w:t xml:space="preserve">This submission seeks to highlight possible improvements in legal recourse for persons who have suffered from adverse incidents while a care recipient under the aged care system. </w:t>
      </w:r>
    </w:p>
    <w:p w:rsidR="00342CD1" w:rsidRPr="001F1ED3" w:rsidRDefault="00342CD1" w:rsidP="001F1ED3">
      <w:pPr>
        <w:rPr>
          <w:sz w:val="28"/>
        </w:rPr>
      </w:pPr>
      <w:r w:rsidRPr="001F1ED3">
        <w:rPr>
          <w:sz w:val="28"/>
        </w:rPr>
        <w:t xml:space="preserve">We submit that it is open to the </w:t>
      </w:r>
      <w:r w:rsidR="00001863">
        <w:rPr>
          <w:sz w:val="28"/>
        </w:rPr>
        <w:t>Commonwealth Government</w:t>
      </w:r>
      <w:r w:rsidRPr="001F1ED3">
        <w:rPr>
          <w:sz w:val="28"/>
        </w:rPr>
        <w:t xml:space="preserve"> to consider and develop better and more effective alternatives, suited to the application of the ACL, for those whose lives have been so affected. We have sought to show that there are also remedial </w:t>
      </w:r>
      <w:r w:rsidR="008246D2" w:rsidRPr="001F1ED3">
        <w:rPr>
          <w:sz w:val="28"/>
        </w:rPr>
        <w:t>measures, which are available,</w:t>
      </w:r>
      <w:r w:rsidRPr="001F1ED3">
        <w:rPr>
          <w:sz w:val="28"/>
        </w:rPr>
        <w:t xml:space="preserve"> which may offer a better alternative than an award of an amount of money. </w:t>
      </w:r>
      <w:r w:rsidR="008246D2" w:rsidRPr="001F1ED3">
        <w:rPr>
          <w:sz w:val="28"/>
        </w:rPr>
        <w:t xml:space="preserve"> </w:t>
      </w:r>
      <w:r w:rsidRPr="001F1ED3">
        <w:rPr>
          <w:sz w:val="28"/>
        </w:rPr>
        <w:t xml:space="preserve">The vulnerable people who are part of our community deserve that attention </w:t>
      </w:r>
      <w:bookmarkStart w:id="25" w:name="_GoBack"/>
      <w:bookmarkEnd w:id="25"/>
      <w:r w:rsidRPr="001F1ED3">
        <w:rPr>
          <w:sz w:val="28"/>
        </w:rPr>
        <w:t xml:space="preserve">be focussed on their situation. </w:t>
      </w:r>
    </w:p>
    <w:p w:rsidR="00A41EB6" w:rsidRPr="004460FA" w:rsidRDefault="00A41EB6">
      <w:pPr>
        <w:jc w:val="both"/>
        <w:rPr>
          <w:rFonts w:cs="Times New Roman"/>
          <w:b/>
          <w:u w:val="single"/>
        </w:rPr>
      </w:pPr>
    </w:p>
    <w:sectPr w:rsidR="00A41EB6" w:rsidRPr="004460FA" w:rsidSect="00024E98">
      <w:headerReference w:type="default" r:id="rId25"/>
      <w:footerReference w:type="default" r:id="rId26"/>
      <w:pgSz w:w="11901" w:h="16840"/>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B4F" w:rsidRDefault="00B20B4F" w:rsidP="0047588A">
      <w:pPr>
        <w:spacing w:after="0" w:line="240" w:lineRule="auto"/>
      </w:pPr>
      <w:r>
        <w:separator/>
      </w:r>
    </w:p>
  </w:endnote>
  <w:endnote w:type="continuationSeparator" w:id="0">
    <w:p w:rsidR="00B20B4F" w:rsidRDefault="00B20B4F" w:rsidP="00475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45" w:rsidRPr="00E9438C" w:rsidRDefault="009F3745" w:rsidP="00E9438C">
    <w:pPr>
      <w:pStyle w:val="Header"/>
      <w:pBdr>
        <w:top w:val="single" w:sz="4" w:space="3" w:color="92CDDC" w:themeColor="accent5" w:themeTint="99"/>
      </w:pBdr>
      <w:jc w:val="right"/>
      <w:rPr>
        <w:sz w:val="20"/>
        <w:szCs w:val="20"/>
      </w:rPr>
    </w:pPr>
    <w:r w:rsidRPr="00E9438C">
      <w:rPr>
        <w:rFonts w:cs="Times New Roman"/>
        <w:sz w:val="20"/>
        <w:szCs w:val="20"/>
      </w:rPr>
      <w:t xml:space="preserve">Page </w:t>
    </w:r>
    <w:r w:rsidR="007F0DEB" w:rsidRPr="00E9438C">
      <w:rPr>
        <w:rFonts w:cs="Times New Roman"/>
        <w:sz w:val="20"/>
        <w:szCs w:val="20"/>
      </w:rPr>
      <w:fldChar w:fldCharType="begin"/>
    </w:r>
    <w:r w:rsidRPr="00E9438C">
      <w:rPr>
        <w:rFonts w:cs="Times New Roman"/>
        <w:sz w:val="20"/>
        <w:szCs w:val="20"/>
      </w:rPr>
      <w:instrText xml:space="preserve"> PAGE </w:instrText>
    </w:r>
    <w:r w:rsidR="007F0DEB" w:rsidRPr="00E9438C">
      <w:rPr>
        <w:rFonts w:cs="Times New Roman"/>
        <w:sz w:val="20"/>
        <w:szCs w:val="20"/>
      </w:rPr>
      <w:fldChar w:fldCharType="separate"/>
    </w:r>
    <w:r w:rsidR="00B70CB3">
      <w:rPr>
        <w:rFonts w:cs="Times New Roman"/>
        <w:noProof/>
        <w:sz w:val="20"/>
        <w:szCs w:val="20"/>
      </w:rPr>
      <w:t>2</w:t>
    </w:r>
    <w:r w:rsidR="007F0DEB" w:rsidRPr="00E9438C">
      <w:rPr>
        <w:rFonts w:cs="Times New Roman"/>
        <w:sz w:val="20"/>
        <w:szCs w:val="20"/>
      </w:rPr>
      <w:fldChar w:fldCharType="end"/>
    </w:r>
    <w:r w:rsidRPr="00E9438C">
      <w:rPr>
        <w:rFonts w:cs="Times New Roman"/>
        <w:sz w:val="20"/>
        <w:szCs w:val="20"/>
      </w:rPr>
      <w:t xml:space="preserve"> of </w:t>
    </w:r>
    <w:r w:rsidR="007F0DEB" w:rsidRPr="00E9438C">
      <w:rPr>
        <w:rFonts w:cs="Times New Roman"/>
        <w:sz w:val="20"/>
        <w:szCs w:val="20"/>
      </w:rPr>
      <w:fldChar w:fldCharType="begin"/>
    </w:r>
    <w:r w:rsidRPr="00E9438C">
      <w:rPr>
        <w:rFonts w:cs="Times New Roman"/>
        <w:sz w:val="20"/>
        <w:szCs w:val="20"/>
      </w:rPr>
      <w:instrText xml:space="preserve"> NUMPAGES </w:instrText>
    </w:r>
    <w:r w:rsidR="007F0DEB" w:rsidRPr="00E9438C">
      <w:rPr>
        <w:rFonts w:cs="Times New Roman"/>
        <w:sz w:val="20"/>
        <w:szCs w:val="20"/>
      </w:rPr>
      <w:fldChar w:fldCharType="separate"/>
    </w:r>
    <w:r w:rsidR="00B70CB3">
      <w:rPr>
        <w:rFonts w:cs="Times New Roman"/>
        <w:noProof/>
        <w:sz w:val="20"/>
        <w:szCs w:val="20"/>
      </w:rPr>
      <w:t>15</w:t>
    </w:r>
    <w:r w:rsidR="007F0DEB" w:rsidRPr="00E9438C">
      <w:rPr>
        <w:rFonts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B4F" w:rsidRDefault="00B20B4F" w:rsidP="0047588A">
      <w:pPr>
        <w:spacing w:after="0" w:line="240" w:lineRule="auto"/>
      </w:pPr>
      <w:r>
        <w:separator/>
      </w:r>
    </w:p>
  </w:footnote>
  <w:footnote w:type="continuationSeparator" w:id="0">
    <w:p w:rsidR="00B20B4F" w:rsidRDefault="00B20B4F" w:rsidP="0047588A">
      <w:pPr>
        <w:spacing w:after="0" w:line="240" w:lineRule="auto"/>
      </w:pPr>
      <w:r>
        <w:continuationSeparator/>
      </w:r>
    </w:p>
  </w:footnote>
  <w:footnote w:id="1">
    <w:p w:rsidR="009F3745" w:rsidRPr="002C6D2C" w:rsidRDefault="009F3745">
      <w:pPr>
        <w:pStyle w:val="FootnoteText"/>
        <w:rPr>
          <w:lang w:val="en-US"/>
        </w:rPr>
      </w:pPr>
      <w:r>
        <w:rPr>
          <w:rStyle w:val="FootnoteReference"/>
        </w:rPr>
        <w:footnoteRef/>
      </w:r>
      <w:r>
        <w:t xml:space="preserve">  Complaints Principles 2015: </w:t>
      </w:r>
      <w:hyperlink r:id="rId1" w:history="1">
        <w:r w:rsidRPr="004C64E0">
          <w:rPr>
            <w:rStyle w:val="Hyperlink"/>
          </w:rPr>
          <w:t>https://www.legislation.gov.au/Details/F2015L02125</w:t>
        </w:r>
      </w:hyperlink>
      <w:r>
        <w:t xml:space="preserve"> </w:t>
      </w:r>
    </w:p>
  </w:footnote>
  <w:footnote w:id="2">
    <w:p w:rsidR="009F3745" w:rsidRPr="002C6D2C" w:rsidRDefault="009F3745">
      <w:pPr>
        <w:pStyle w:val="FootnoteText"/>
        <w:rPr>
          <w:lang w:val="en-US"/>
        </w:rPr>
      </w:pPr>
      <w:r>
        <w:rPr>
          <w:rStyle w:val="FootnoteReference"/>
        </w:rPr>
        <w:footnoteRef/>
      </w:r>
      <w:r>
        <w:t xml:space="preserve"> </w:t>
      </w:r>
      <w:r>
        <w:rPr>
          <w:lang w:val="en-US"/>
        </w:rPr>
        <w:t xml:space="preserve"> User Rights Principles 2014: </w:t>
      </w:r>
      <w:hyperlink r:id="rId2" w:history="1">
        <w:r w:rsidRPr="004C64E0">
          <w:rPr>
            <w:rStyle w:val="Hyperlink"/>
            <w:lang w:val="en-US"/>
          </w:rPr>
          <w:t>https://www.legislation.gov.au/Details/F2016C00444</w:t>
        </w:r>
      </w:hyperlink>
      <w:r>
        <w:rPr>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45" w:rsidRPr="00E9438C" w:rsidRDefault="009F3745" w:rsidP="009E147D">
    <w:pPr>
      <w:pStyle w:val="Header"/>
      <w:spacing w:after="60"/>
      <w:rPr>
        <w:rFonts w:asciiTheme="majorHAnsi" w:hAnsiTheme="majorHAnsi" w:cs="Times New Roman"/>
        <w:sz w:val="20"/>
        <w:szCs w:val="20"/>
      </w:rPr>
    </w:pPr>
    <w:r w:rsidRPr="00E9438C">
      <w:rPr>
        <w:rFonts w:asciiTheme="majorHAnsi" w:hAnsiTheme="majorHAnsi" w:cs="Times New Roman"/>
        <w:b/>
        <w:sz w:val="20"/>
        <w:szCs w:val="20"/>
      </w:rPr>
      <w:t>Submission:</w:t>
    </w:r>
    <w:r w:rsidRPr="00E9438C">
      <w:rPr>
        <w:rFonts w:asciiTheme="majorHAnsi" w:hAnsiTheme="majorHAnsi" w:cs="Times New Roman"/>
        <w:sz w:val="20"/>
        <w:szCs w:val="20"/>
      </w:rPr>
      <w:t xml:space="preserve"> The Australian Law Reform Commission on the Reference On Elder Abuse - August 2016</w:t>
    </w:r>
  </w:p>
  <w:p w:rsidR="009F3745" w:rsidRPr="00E9438C" w:rsidRDefault="009F3745" w:rsidP="002C6D2C">
    <w:pPr>
      <w:pStyle w:val="Header"/>
      <w:pBdr>
        <w:bottom w:val="single" w:sz="4" w:space="5" w:color="92CDDC" w:themeColor="accent5" w:themeTint="99"/>
      </w:pBdr>
      <w:rPr>
        <w:rFonts w:asciiTheme="majorHAnsi" w:hAnsiTheme="majorHAnsi" w:cs="Times New Roman"/>
        <w:i/>
        <w:sz w:val="20"/>
        <w:szCs w:val="20"/>
      </w:rPr>
    </w:pPr>
    <w:r w:rsidRPr="00E9438C">
      <w:rPr>
        <w:rFonts w:asciiTheme="majorHAnsi" w:hAnsiTheme="majorHAnsi" w:cs="Times New Roman"/>
        <w:i/>
        <w:sz w:val="20"/>
        <w:szCs w:val="20"/>
      </w:rPr>
      <w:t>Making the Australian Consumer Law a real alternative for serious complaints in the aged care system</w:t>
    </w:r>
  </w:p>
  <w:p w:rsidR="009F3745" w:rsidRPr="009E147D" w:rsidRDefault="009F3745" w:rsidP="009E147D">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62E"/>
    <w:multiLevelType w:val="hybridMultilevel"/>
    <w:tmpl w:val="2AECE316"/>
    <w:lvl w:ilvl="0" w:tplc="7F08BB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A33F41"/>
    <w:multiLevelType w:val="hybridMultilevel"/>
    <w:tmpl w:val="A162A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092C60"/>
    <w:multiLevelType w:val="hybridMultilevel"/>
    <w:tmpl w:val="FB00E2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3538E5"/>
    <w:multiLevelType w:val="hybridMultilevel"/>
    <w:tmpl w:val="DEE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554FD"/>
    <w:multiLevelType w:val="hybridMultilevel"/>
    <w:tmpl w:val="6616B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AC60DC"/>
    <w:multiLevelType w:val="hybridMultilevel"/>
    <w:tmpl w:val="3556AC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03C4CA1"/>
    <w:multiLevelType w:val="hybridMultilevel"/>
    <w:tmpl w:val="79F4EAA8"/>
    <w:lvl w:ilvl="0" w:tplc="11FC31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91A152F"/>
    <w:multiLevelType w:val="hybridMultilevel"/>
    <w:tmpl w:val="A934C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1227DF"/>
    <w:multiLevelType w:val="hybridMultilevel"/>
    <w:tmpl w:val="BEA2F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A704BDB"/>
    <w:multiLevelType w:val="hybridMultilevel"/>
    <w:tmpl w:val="B5E6C496"/>
    <w:lvl w:ilvl="0" w:tplc="0409000F">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0">
    <w:nsid w:val="2CB73359"/>
    <w:multiLevelType w:val="hybridMultilevel"/>
    <w:tmpl w:val="1524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26428C"/>
    <w:multiLevelType w:val="hybridMultilevel"/>
    <w:tmpl w:val="8778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571B7B"/>
    <w:multiLevelType w:val="hybridMultilevel"/>
    <w:tmpl w:val="0B4E1D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1A849D4"/>
    <w:multiLevelType w:val="hybridMultilevel"/>
    <w:tmpl w:val="2EF2673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6A21ECD"/>
    <w:multiLevelType w:val="hybridMultilevel"/>
    <w:tmpl w:val="8E14F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06511C8"/>
    <w:multiLevelType w:val="hybridMultilevel"/>
    <w:tmpl w:val="92F6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102841"/>
    <w:multiLevelType w:val="hybridMultilevel"/>
    <w:tmpl w:val="F3628F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85E70C6"/>
    <w:multiLevelType w:val="hybridMultilevel"/>
    <w:tmpl w:val="285E0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C272687"/>
    <w:multiLevelType w:val="hybridMultilevel"/>
    <w:tmpl w:val="7B5E4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CA93D17"/>
    <w:multiLevelType w:val="hybridMultilevel"/>
    <w:tmpl w:val="C7548E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526D709D"/>
    <w:multiLevelType w:val="hybridMultilevel"/>
    <w:tmpl w:val="D9DE9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556E1728"/>
    <w:multiLevelType w:val="hybridMultilevel"/>
    <w:tmpl w:val="F93C1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55A977F2"/>
    <w:multiLevelType w:val="hybridMultilevel"/>
    <w:tmpl w:val="9D4CE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8D94127"/>
    <w:multiLevelType w:val="hybridMultilevel"/>
    <w:tmpl w:val="522CE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4206DA"/>
    <w:multiLevelType w:val="hybridMultilevel"/>
    <w:tmpl w:val="2F9A6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A5F44D6"/>
    <w:multiLevelType w:val="hybridMultilevel"/>
    <w:tmpl w:val="02885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010AB9"/>
    <w:multiLevelType w:val="hybridMultilevel"/>
    <w:tmpl w:val="D9CE5776"/>
    <w:lvl w:ilvl="0" w:tplc="E7A8A2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F5041D7"/>
    <w:multiLevelType w:val="multilevel"/>
    <w:tmpl w:val="AAA29B64"/>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0377A12"/>
    <w:multiLevelType w:val="multilevel"/>
    <w:tmpl w:val="E488EB56"/>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5BB048A"/>
    <w:multiLevelType w:val="hybridMultilevel"/>
    <w:tmpl w:val="BE16F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1E5CEE"/>
    <w:multiLevelType w:val="hybridMultilevel"/>
    <w:tmpl w:val="B772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B3634F"/>
    <w:multiLevelType w:val="hybridMultilevel"/>
    <w:tmpl w:val="5846C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2"/>
  </w:num>
  <w:num w:numId="4">
    <w:abstractNumId w:val="1"/>
  </w:num>
  <w:num w:numId="5">
    <w:abstractNumId w:val="6"/>
  </w:num>
  <w:num w:numId="6">
    <w:abstractNumId w:val="13"/>
  </w:num>
  <w:num w:numId="7">
    <w:abstractNumId w:val="20"/>
  </w:num>
  <w:num w:numId="8">
    <w:abstractNumId w:val="21"/>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2"/>
  </w:num>
  <w:num w:numId="12">
    <w:abstractNumId w:val="7"/>
  </w:num>
  <w:num w:numId="13">
    <w:abstractNumId w:val="5"/>
  </w:num>
  <w:num w:numId="14">
    <w:abstractNumId w:val="31"/>
  </w:num>
  <w:num w:numId="15">
    <w:abstractNumId w:val="4"/>
  </w:num>
  <w:num w:numId="16">
    <w:abstractNumId w:val="14"/>
  </w:num>
  <w:num w:numId="17">
    <w:abstractNumId w:val="26"/>
  </w:num>
  <w:num w:numId="18">
    <w:abstractNumId w:val="17"/>
  </w:num>
  <w:num w:numId="19">
    <w:abstractNumId w:val="8"/>
  </w:num>
  <w:num w:numId="20">
    <w:abstractNumId w:val="9"/>
  </w:num>
  <w:num w:numId="21">
    <w:abstractNumId w:val="19"/>
  </w:num>
  <w:num w:numId="22">
    <w:abstractNumId w:val="30"/>
  </w:num>
  <w:num w:numId="23">
    <w:abstractNumId w:val="0"/>
  </w:num>
  <w:num w:numId="24">
    <w:abstractNumId w:val="3"/>
  </w:num>
  <w:num w:numId="25">
    <w:abstractNumId w:val="2"/>
  </w:num>
  <w:num w:numId="26">
    <w:abstractNumId w:val="10"/>
  </w:num>
  <w:num w:numId="27">
    <w:abstractNumId w:val="23"/>
  </w:num>
  <w:num w:numId="28">
    <w:abstractNumId w:val="29"/>
  </w:num>
  <w:num w:numId="29">
    <w:abstractNumId w:val="11"/>
  </w:num>
  <w:num w:numId="30">
    <w:abstractNumId w:val="15"/>
  </w:num>
  <w:num w:numId="31">
    <w:abstractNumId w:val="25"/>
  </w:num>
  <w:num w:numId="32">
    <w:abstractNumId w:val="27"/>
  </w:num>
  <w:num w:numId="33">
    <w:abstractNumId w:val="27"/>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docVars>
    <w:docVar w:name="dgnword-docGUID" w:val="{66E75701-BF3B-49CB-8F78-730BD8A69AA2}"/>
    <w:docVar w:name="dgnword-drafile" w:val="C:\Users\Rodney\AppData\Local\Temp\draF0C1.tmp"/>
    <w:docVar w:name="dgnword-eventsink" w:val="246875856"/>
  </w:docVars>
  <w:rsids>
    <w:rsidRoot w:val="00AE1DB1"/>
    <w:rsid w:val="00001863"/>
    <w:rsid w:val="0000372E"/>
    <w:rsid w:val="00024E98"/>
    <w:rsid w:val="0002770D"/>
    <w:rsid w:val="00065443"/>
    <w:rsid w:val="00090E1A"/>
    <w:rsid w:val="00094E5E"/>
    <w:rsid w:val="000950B0"/>
    <w:rsid w:val="000C6D4A"/>
    <w:rsid w:val="000D5F7B"/>
    <w:rsid w:val="000E7ABE"/>
    <w:rsid w:val="000F5BE3"/>
    <w:rsid w:val="00103D37"/>
    <w:rsid w:val="0010542D"/>
    <w:rsid w:val="00116983"/>
    <w:rsid w:val="00132B26"/>
    <w:rsid w:val="001369F6"/>
    <w:rsid w:val="00145FD0"/>
    <w:rsid w:val="001614ED"/>
    <w:rsid w:val="00166239"/>
    <w:rsid w:val="001A2895"/>
    <w:rsid w:val="001A4A09"/>
    <w:rsid w:val="001A6EED"/>
    <w:rsid w:val="001B5509"/>
    <w:rsid w:val="001F1ED3"/>
    <w:rsid w:val="001F2C5A"/>
    <w:rsid w:val="001F6911"/>
    <w:rsid w:val="002127B1"/>
    <w:rsid w:val="00230166"/>
    <w:rsid w:val="00265B88"/>
    <w:rsid w:val="0028735B"/>
    <w:rsid w:val="002A08DC"/>
    <w:rsid w:val="002C6D2C"/>
    <w:rsid w:val="002F5E33"/>
    <w:rsid w:val="003075BF"/>
    <w:rsid w:val="00316351"/>
    <w:rsid w:val="003207CC"/>
    <w:rsid w:val="00342CD1"/>
    <w:rsid w:val="00343B6E"/>
    <w:rsid w:val="0036327B"/>
    <w:rsid w:val="00367FFA"/>
    <w:rsid w:val="00397D84"/>
    <w:rsid w:val="003F00A4"/>
    <w:rsid w:val="003F53FA"/>
    <w:rsid w:val="004119DB"/>
    <w:rsid w:val="00425197"/>
    <w:rsid w:val="00436C9F"/>
    <w:rsid w:val="00437946"/>
    <w:rsid w:val="00441B23"/>
    <w:rsid w:val="004460FA"/>
    <w:rsid w:val="004556C7"/>
    <w:rsid w:val="00473EFC"/>
    <w:rsid w:val="0047588A"/>
    <w:rsid w:val="00491F20"/>
    <w:rsid w:val="004A7E3F"/>
    <w:rsid w:val="004E232D"/>
    <w:rsid w:val="00506570"/>
    <w:rsid w:val="00556CDA"/>
    <w:rsid w:val="00566F4D"/>
    <w:rsid w:val="00585E9C"/>
    <w:rsid w:val="00591CAD"/>
    <w:rsid w:val="00591FBD"/>
    <w:rsid w:val="00597F76"/>
    <w:rsid w:val="005B4D6C"/>
    <w:rsid w:val="005C6EE4"/>
    <w:rsid w:val="005D35A8"/>
    <w:rsid w:val="00635EC3"/>
    <w:rsid w:val="006423F7"/>
    <w:rsid w:val="0067506B"/>
    <w:rsid w:val="00677AC5"/>
    <w:rsid w:val="0068225D"/>
    <w:rsid w:val="00683B38"/>
    <w:rsid w:val="00684C9E"/>
    <w:rsid w:val="00691DD3"/>
    <w:rsid w:val="006969E8"/>
    <w:rsid w:val="006A7B8C"/>
    <w:rsid w:val="006C79AF"/>
    <w:rsid w:val="006E3173"/>
    <w:rsid w:val="00727DAB"/>
    <w:rsid w:val="00733182"/>
    <w:rsid w:val="007446B5"/>
    <w:rsid w:val="007467E7"/>
    <w:rsid w:val="00762CB0"/>
    <w:rsid w:val="00770923"/>
    <w:rsid w:val="0077092F"/>
    <w:rsid w:val="0079679A"/>
    <w:rsid w:val="007B3A58"/>
    <w:rsid w:val="007E7FDD"/>
    <w:rsid w:val="007F0DEB"/>
    <w:rsid w:val="007F2392"/>
    <w:rsid w:val="008246D2"/>
    <w:rsid w:val="00847512"/>
    <w:rsid w:val="00847D87"/>
    <w:rsid w:val="00854D1C"/>
    <w:rsid w:val="008678B4"/>
    <w:rsid w:val="00883402"/>
    <w:rsid w:val="008A28C9"/>
    <w:rsid w:val="008A4FAE"/>
    <w:rsid w:val="008B0BB8"/>
    <w:rsid w:val="008D5449"/>
    <w:rsid w:val="008E7297"/>
    <w:rsid w:val="00904AE0"/>
    <w:rsid w:val="00906012"/>
    <w:rsid w:val="00912452"/>
    <w:rsid w:val="0092358B"/>
    <w:rsid w:val="00941B76"/>
    <w:rsid w:val="00944A90"/>
    <w:rsid w:val="009502D7"/>
    <w:rsid w:val="009578B2"/>
    <w:rsid w:val="00966A0E"/>
    <w:rsid w:val="009758DB"/>
    <w:rsid w:val="00986818"/>
    <w:rsid w:val="0099637B"/>
    <w:rsid w:val="009A2970"/>
    <w:rsid w:val="009D5B59"/>
    <w:rsid w:val="009E147D"/>
    <w:rsid w:val="009E1B20"/>
    <w:rsid w:val="009F3745"/>
    <w:rsid w:val="00A207B7"/>
    <w:rsid w:val="00A25090"/>
    <w:rsid w:val="00A41EB6"/>
    <w:rsid w:val="00A443C9"/>
    <w:rsid w:val="00A46BDF"/>
    <w:rsid w:val="00A507AA"/>
    <w:rsid w:val="00A64844"/>
    <w:rsid w:val="00A73F10"/>
    <w:rsid w:val="00A7409E"/>
    <w:rsid w:val="00A8757D"/>
    <w:rsid w:val="00AA78F4"/>
    <w:rsid w:val="00AD0D11"/>
    <w:rsid w:val="00AE1DB1"/>
    <w:rsid w:val="00AE24AD"/>
    <w:rsid w:val="00AE6C6D"/>
    <w:rsid w:val="00B0469C"/>
    <w:rsid w:val="00B05D9E"/>
    <w:rsid w:val="00B20B4F"/>
    <w:rsid w:val="00B50487"/>
    <w:rsid w:val="00B70CB3"/>
    <w:rsid w:val="00BA1F83"/>
    <w:rsid w:val="00BB1C55"/>
    <w:rsid w:val="00BB2896"/>
    <w:rsid w:val="00BD2CF7"/>
    <w:rsid w:val="00BF320C"/>
    <w:rsid w:val="00C238A1"/>
    <w:rsid w:val="00C60B57"/>
    <w:rsid w:val="00C7544A"/>
    <w:rsid w:val="00C82903"/>
    <w:rsid w:val="00C84245"/>
    <w:rsid w:val="00CE3C96"/>
    <w:rsid w:val="00CE4C12"/>
    <w:rsid w:val="00CF4901"/>
    <w:rsid w:val="00CF6DDA"/>
    <w:rsid w:val="00D03551"/>
    <w:rsid w:val="00D16012"/>
    <w:rsid w:val="00D56A65"/>
    <w:rsid w:val="00D60371"/>
    <w:rsid w:val="00D61F75"/>
    <w:rsid w:val="00D654BF"/>
    <w:rsid w:val="00D86C84"/>
    <w:rsid w:val="00DB5B7C"/>
    <w:rsid w:val="00DB68AE"/>
    <w:rsid w:val="00DC5C3E"/>
    <w:rsid w:val="00DC7B32"/>
    <w:rsid w:val="00DD448A"/>
    <w:rsid w:val="00DD74AC"/>
    <w:rsid w:val="00DF7F53"/>
    <w:rsid w:val="00E12C37"/>
    <w:rsid w:val="00E4490F"/>
    <w:rsid w:val="00E70B35"/>
    <w:rsid w:val="00E9438C"/>
    <w:rsid w:val="00EB287A"/>
    <w:rsid w:val="00EC07F5"/>
    <w:rsid w:val="00EC15C4"/>
    <w:rsid w:val="00ED262B"/>
    <w:rsid w:val="00EF2825"/>
    <w:rsid w:val="00F06EE4"/>
    <w:rsid w:val="00F10C8A"/>
    <w:rsid w:val="00F40C8D"/>
    <w:rsid w:val="00F43A15"/>
    <w:rsid w:val="00F56C2C"/>
    <w:rsid w:val="00F664AA"/>
    <w:rsid w:val="00F80EBD"/>
    <w:rsid w:val="00F940DB"/>
    <w:rsid w:val="00FA0F68"/>
    <w:rsid w:val="00FC1A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FDD"/>
    <w:pPr>
      <w:spacing w:after="180" w:line="280" w:lineRule="atLeast"/>
    </w:pPr>
    <w:rPr>
      <w:rFonts w:ascii="Cambria" w:hAnsi="Cambria"/>
    </w:rPr>
  </w:style>
  <w:style w:type="paragraph" w:styleId="Heading1">
    <w:name w:val="heading 1"/>
    <w:basedOn w:val="Normal"/>
    <w:next w:val="Normal"/>
    <w:link w:val="Heading1Char"/>
    <w:uiPriority w:val="9"/>
    <w:qFormat/>
    <w:rsid w:val="00EC07F5"/>
    <w:pPr>
      <w:keepNext/>
      <w:keepLines/>
      <w:numPr>
        <w:numId w:val="32"/>
      </w:numPr>
      <w:tabs>
        <w:tab w:val="left" w:pos="567"/>
      </w:tabs>
      <w:spacing w:before="480" w:after="100"/>
      <w:ind w:left="567" w:hanging="567"/>
      <w:outlineLvl w:val="0"/>
    </w:pPr>
    <w:rPr>
      <w:rFonts w:ascii="Arial" w:eastAsiaTheme="majorEastAsia" w:hAnsi="Arial" w:cstheme="majorBidi"/>
      <w:b/>
      <w:bCs/>
      <w:color w:val="17365D" w:themeColor="text2" w:themeShade="BF"/>
      <w:sz w:val="30"/>
      <w:szCs w:val="32"/>
    </w:rPr>
  </w:style>
  <w:style w:type="paragraph" w:styleId="Heading2">
    <w:name w:val="heading 2"/>
    <w:basedOn w:val="Normal"/>
    <w:next w:val="Normal"/>
    <w:link w:val="Heading2Char"/>
    <w:uiPriority w:val="9"/>
    <w:unhideWhenUsed/>
    <w:qFormat/>
    <w:rsid w:val="00A507AA"/>
    <w:pPr>
      <w:keepNext/>
      <w:keepLines/>
      <w:spacing w:before="280" w:after="60" w:line="240" w:lineRule="auto"/>
      <w:outlineLvl w:val="1"/>
    </w:pPr>
    <w:rPr>
      <w:rFonts w:ascii="Arial" w:eastAsiaTheme="majorEastAsia" w:hAnsi="Arial" w:cstheme="majorBidi"/>
      <w:b/>
      <w:bCs/>
      <w:color w:val="17365D" w:themeColor="text2" w:themeShade="BF"/>
      <w:sz w:val="26"/>
      <w:szCs w:val="26"/>
    </w:rPr>
  </w:style>
  <w:style w:type="paragraph" w:styleId="Heading3">
    <w:name w:val="heading 3"/>
    <w:basedOn w:val="Normal"/>
    <w:link w:val="Heading3Char"/>
    <w:uiPriority w:val="9"/>
    <w:qFormat/>
    <w:rsid w:val="00473E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head4">
    <w:name w:val="acthead4"/>
    <w:basedOn w:val="Normal"/>
    <w:rsid w:val="00591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subdno">
    <w:name w:val="charsubdno"/>
    <w:basedOn w:val="DefaultParagraphFont"/>
    <w:rsid w:val="00591FBD"/>
  </w:style>
  <w:style w:type="character" w:customStyle="1" w:styleId="charsubdtext">
    <w:name w:val="charsubdtext"/>
    <w:basedOn w:val="DefaultParagraphFont"/>
    <w:rsid w:val="00591FBD"/>
  </w:style>
  <w:style w:type="paragraph" w:customStyle="1" w:styleId="acthead5">
    <w:name w:val="acthead5"/>
    <w:basedOn w:val="Normal"/>
    <w:rsid w:val="00591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sectno">
    <w:name w:val="charsectno"/>
    <w:basedOn w:val="DefaultParagraphFont"/>
    <w:rsid w:val="00591FBD"/>
  </w:style>
  <w:style w:type="paragraph" w:customStyle="1" w:styleId="subsection">
    <w:name w:val="subsection"/>
    <w:basedOn w:val="Normal"/>
    <w:rsid w:val="0059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59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ub">
    <w:name w:val="paragraphsub"/>
    <w:basedOn w:val="Normal"/>
    <w:rsid w:val="0059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2">
    <w:name w:val="subsection2"/>
    <w:basedOn w:val="Normal"/>
    <w:rsid w:val="00591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73EFC"/>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90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E1A"/>
    <w:rPr>
      <w:rFonts w:ascii="Tahoma" w:hAnsi="Tahoma" w:cs="Tahoma"/>
      <w:sz w:val="16"/>
      <w:szCs w:val="16"/>
    </w:rPr>
  </w:style>
  <w:style w:type="paragraph" w:styleId="ListParagraph">
    <w:name w:val="List Paragraph"/>
    <w:basedOn w:val="Normal"/>
    <w:uiPriority w:val="34"/>
    <w:qFormat/>
    <w:rsid w:val="00C84245"/>
    <w:pPr>
      <w:ind w:left="720"/>
      <w:contextualSpacing/>
    </w:pPr>
  </w:style>
  <w:style w:type="table" w:styleId="TableGrid">
    <w:name w:val="Table Grid"/>
    <w:basedOn w:val="TableNormal"/>
    <w:uiPriority w:val="59"/>
    <w:rsid w:val="000C6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41EB6"/>
    <w:pPr>
      <w:spacing w:after="0" w:line="240" w:lineRule="auto"/>
    </w:pPr>
  </w:style>
  <w:style w:type="character" w:styleId="Emphasis">
    <w:name w:val="Emphasis"/>
    <w:basedOn w:val="DefaultParagraphFont"/>
    <w:uiPriority w:val="20"/>
    <w:qFormat/>
    <w:rsid w:val="00A73F10"/>
    <w:rPr>
      <w:i/>
      <w:iCs/>
    </w:rPr>
  </w:style>
  <w:style w:type="character" w:customStyle="1" w:styleId="apple-converted-space">
    <w:name w:val="apple-converted-space"/>
    <w:basedOn w:val="DefaultParagraphFont"/>
    <w:rsid w:val="00A73F10"/>
  </w:style>
  <w:style w:type="paragraph" w:customStyle="1" w:styleId="clause">
    <w:name w:val="clause"/>
    <w:basedOn w:val="Normal"/>
    <w:rsid w:val="00265B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5B88"/>
    <w:rPr>
      <w:color w:val="0000FF"/>
      <w:u w:val="single"/>
    </w:rPr>
  </w:style>
  <w:style w:type="character" w:customStyle="1" w:styleId="Heading1Char">
    <w:name w:val="Heading 1 Char"/>
    <w:basedOn w:val="DefaultParagraphFont"/>
    <w:link w:val="Heading1"/>
    <w:uiPriority w:val="9"/>
    <w:rsid w:val="00EC07F5"/>
    <w:rPr>
      <w:rFonts w:ascii="Arial" w:eastAsiaTheme="majorEastAsia" w:hAnsi="Arial" w:cstheme="majorBidi"/>
      <w:b/>
      <w:bCs/>
      <w:color w:val="17365D" w:themeColor="text2" w:themeShade="BF"/>
      <w:sz w:val="30"/>
      <w:szCs w:val="32"/>
    </w:rPr>
  </w:style>
  <w:style w:type="character" w:customStyle="1" w:styleId="Heading2Char">
    <w:name w:val="Heading 2 Char"/>
    <w:basedOn w:val="DefaultParagraphFont"/>
    <w:link w:val="Heading2"/>
    <w:uiPriority w:val="9"/>
    <w:rsid w:val="00A507AA"/>
    <w:rPr>
      <w:rFonts w:ascii="Arial" w:eastAsiaTheme="majorEastAsia" w:hAnsi="Arial" w:cstheme="majorBidi"/>
      <w:b/>
      <w:bCs/>
      <w:color w:val="17365D" w:themeColor="text2" w:themeShade="BF"/>
      <w:sz w:val="26"/>
      <w:szCs w:val="26"/>
    </w:rPr>
  </w:style>
  <w:style w:type="paragraph" w:styleId="Header">
    <w:name w:val="header"/>
    <w:basedOn w:val="Normal"/>
    <w:link w:val="HeaderChar"/>
    <w:uiPriority w:val="99"/>
    <w:unhideWhenUsed/>
    <w:rsid w:val="00475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47588A"/>
  </w:style>
  <w:style w:type="paragraph" w:styleId="Footer">
    <w:name w:val="footer"/>
    <w:basedOn w:val="Normal"/>
    <w:link w:val="FooterChar"/>
    <w:uiPriority w:val="99"/>
    <w:unhideWhenUsed/>
    <w:rsid w:val="00475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588A"/>
  </w:style>
  <w:style w:type="paragraph" w:styleId="TOC1">
    <w:name w:val="toc 1"/>
    <w:basedOn w:val="Normal"/>
    <w:next w:val="Normal"/>
    <w:autoRedefine/>
    <w:uiPriority w:val="39"/>
    <w:unhideWhenUsed/>
    <w:rsid w:val="009E147D"/>
    <w:pPr>
      <w:tabs>
        <w:tab w:val="right" w:leader="dot" w:pos="9622"/>
      </w:tabs>
      <w:spacing w:before="160" w:after="0" w:line="260" w:lineRule="atLeast"/>
    </w:pPr>
    <w:rPr>
      <w:rFonts w:ascii="Arial" w:eastAsia="Times" w:hAnsi="Arial" w:cs="Times New Roman"/>
      <w:b/>
      <w:color w:val="1D1B11" w:themeColor="background2" w:themeShade="1A"/>
      <w:sz w:val="28"/>
      <w:szCs w:val="24"/>
      <w:lang w:eastAsia="en-US"/>
    </w:rPr>
  </w:style>
  <w:style w:type="paragraph" w:styleId="TOC2">
    <w:name w:val="toc 2"/>
    <w:basedOn w:val="Normal"/>
    <w:next w:val="Normal"/>
    <w:autoRedefine/>
    <w:uiPriority w:val="39"/>
    <w:unhideWhenUsed/>
    <w:rsid w:val="009E147D"/>
    <w:pPr>
      <w:tabs>
        <w:tab w:val="left" w:pos="567"/>
        <w:tab w:val="left" w:pos="964"/>
        <w:tab w:val="left" w:pos="1134"/>
        <w:tab w:val="left" w:pos="1702"/>
        <w:tab w:val="right" w:leader="dot" w:pos="9622"/>
      </w:tabs>
      <w:spacing w:before="120" w:after="40" w:line="260" w:lineRule="atLeast"/>
      <w:ind w:left="1134" w:hanging="567"/>
    </w:pPr>
    <w:rPr>
      <w:rFonts w:ascii="Arial" w:eastAsia="Times" w:hAnsi="Arial" w:cs="Times New Roman"/>
      <w:b/>
      <w:color w:val="1D1B11" w:themeColor="background2" w:themeShade="1A"/>
      <w:lang w:eastAsia="en-US"/>
    </w:rPr>
  </w:style>
  <w:style w:type="paragraph" w:styleId="TOC3">
    <w:name w:val="toc 3"/>
    <w:basedOn w:val="Normal"/>
    <w:next w:val="Normal"/>
    <w:autoRedefine/>
    <w:uiPriority w:val="39"/>
    <w:unhideWhenUsed/>
    <w:rsid w:val="009E147D"/>
    <w:pPr>
      <w:tabs>
        <w:tab w:val="left" w:pos="849"/>
        <w:tab w:val="left" w:pos="1134"/>
        <w:tab w:val="right" w:leader="dot" w:pos="9622"/>
      </w:tabs>
      <w:spacing w:after="100" w:line="240" w:lineRule="auto"/>
      <w:ind w:left="1985" w:hanging="851"/>
    </w:pPr>
    <w:rPr>
      <w:rFonts w:ascii="Arial" w:eastAsia="Times" w:hAnsi="Arial" w:cs="Times New Roman"/>
      <w:color w:val="1D1B11" w:themeColor="background2" w:themeShade="1A"/>
      <w:sz w:val="20"/>
      <w:szCs w:val="21"/>
      <w:lang w:eastAsia="en-US"/>
    </w:rPr>
  </w:style>
  <w:style w:type="paragraph" w:styleId="FootnoteText">
    <w:name w:val="footnote text"/>
    <w:basedOn w:val="Normal"/>
    <w:link w:val="FootnoteTextChar"/>
    <w:uiPriority w:val="99"/>
    <w:unhideWhenUsed/>
    <w:rsid w:val="002C6D2C"/>
    <w:pPr>
      <w:spacing w:after="0" w:line="240" w:lineRule="auto"/>
    </w:pPr>
    <w:rPr>
      <w:sz w:val="18"/>
      <w:szCs w:val="24"/>
    </w:rPr>
  </w:style>
  <w:style w:type="character" w:customStyle="1" w:styleId="FootnoteTextChar">
    <w:name w:val="Footnote Text Char"/>
    <w:basedOn w:val="DefaultParagraphFont"/>
    <w:link w:val="FootnoteText"/>
    <w:uiPriority w:val="99"/>
    <w:rsid w:val="002C6D2C"/>
    <w:rPr>
      <w:rFonts w:ascii="Georgia" w:hAnsi="Georgia"/>
      <w:sz w:val="18"/>
      <w:szCs w:val="24"/>
    </w:rPr>
  </w:style>
  <w:style w:type="character" w:styleId="FootnoteReference">
    <w:name w:val="footnote reference"/>
    <w:basedOn w:val="DefaultParagraphFont"/>
    <w:uiPriority w:val="99"/>
    <w:unhideWhenUsed/>
    <w:rsid w:val="002C6D2C"/>
    <w:rPr>
      <w:vertAlign w:val="superscript"/>
    </w:rPr>
  </w:style>
</w:styles>
</file>

<file path=word/webSettings.xml><?xml version="1.0" encoding="utf-8"?>
<w:webSettings xmlns:r="http://schemas.openxmlformats.org/officeDocument/2006/relationships" xmlns:w="http://schemas.openxmlformats.org/wordprocessingml/2006/main">
  <w:divs>
    <w:div w:id="755711405">
      <w:bodyDiv w:val="1"/>
      <w:marLeft w:val="0"/>
      <w:marRight w:val="0"/>
      <w:marTop w:val="0"/>
      <w:marBottom w:val="0"/>
      <w:divBdr>
        <w:top w:val="none" w:sz="0" w:space="0" w:color="auto"/>
        <w:left w:val="none" w:sz="0" w:space="0" w:color="auto"/>
        <w:bottom w:val="none" w:sz="0" w:space="0" w:color="auto"/>
        <w:right w:val="none" w:sz="0" w:space="0" w:color="auto"/>
      </w:divBdr>
    </w:div>
    <w:div w:id="1140002105">
      <w:bodyDiv w:val="1"/>
      <w:marLeft w:val="0"/>
      <w:marRight w:val="0"/>
      <w:marTop w:val="0"/>
      <w:marBottom w:val="0"/>
      <w:divBdr>
        <w:top w:val="none" w:sz="0" w:space="0" w:color="auto"/>
        <w:left w:val="none" w:sz="0" w:space="0" w:color="auto"/>
        <w:bottom w:val="none" w:sz="0" w:space="0" w:color="auto"/>
        <w:right w:val="none" w:sz="0" w:space="0" w:color="auto"/>
      </w:divBdr>
      <w:divsChild>
        <w:div w:id="12978921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73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240370">
          <w:blockQuote w:val="1"/>
          <w:marLeft w:val="720"/>
          <w:marRight w:val="720"/>
          <w:marTop w:val="100"/>
          <w:marBottom w:val="100"/>
          <w:divBdr>
            <w:top w:val="none" w:sz="0" w:space="0" w:color="auto"/>
            <w:left w:val="none" w:sz="0" w:space="0" w:color="auto"/>
            <w:bottom w:val="none" w:sz="0" w:space="0" w:color="auto"/>
            <w:right w:val="none" w:sz="0" w:space="0" w:color="auto"/>
          </w:divBdr>
        </w:div>
        <w:div w:id="261039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353725">
      <w:bodyDiv w:val="1"/>
      <w:marLeft w:val="0"/>
      <w:marRight w:val="0"/>
      <w:marTop w:val="0"/>
      <w:marBottom w:val="0"/>
      <w:divBdr>
        <w:top w:val="none" w:sz="0" w:space="0" w:color="auto"/>
        <w:left w:val="none" w:sz="0" w:space="0" w:color="auto"/>
        <w:bottom w:val="none" w:sz="0" w:space="0" w:color="auto"/>
        <w:right w:val="none" w:sz="0" w:space="0" w:color="auto"/>
      </w:divBdr>
    </w:div>
    <w:div w:id="1829635975">
      <w:bodyDiv w:val="1"/>
      <w:marLeft w:val="0"/>
      <w:marRight w:val="0"/>
      <w:marTop w:val="0"/>
      <w:marBottom w:val="0"/>
      <w:divBdr>
        <w:top w:val="none" w:sz="0" w:space="0" w:color="auto"/>
        <w:left w:val="none" w:sz="0" w:space="0" w:color="auto"/>
        <w:bottom w:val="none" w:sz="0" w:space="0" w:color="auto"/>
        <w:right w:val="none" w:sz="0" w:space="0" w:color="auto"/>
      </w:divBdr>
      <w:divsChild>
        <w:div w:id="855388017">
          <w:blockQuote w:val="1"/>
          <w:marLeft w:val="720"/>
          <w:marRight w:val="720"/>
          <w:marTop w:val="100"/>
          <w:marBottom w:val="100"/>
          <w:divBdr>
            <w:top w:val="none" w:sz="0" w:space="0" w:color="auto"/>
            <w:left w:val="none" w:sz="0" w:space="0" w:color="auto"/>
            <w:bottom w:val="none" w:sz="0" w:space="0" w:color="auto"/>
            <w:right w:val="none" w:sz="0" w:space="0" w:color="auto"/>
          </w:divBdr>
        </w:div>
        <w:div w:id="399254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705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475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dcarecrisis.com" TargetMode="External"/><Relationship Id="rId13" Type="http://schemas.openxmlformats.org/officeDocument/2006/relationships/hyperlink" Target="http://www.austlii.edu.au/au/legis/nsw/consol_act/fta1987117/s4.html" TargetMode="External"/><Relationship Id="rId18" Type="http://schemas.openxmlformats.org/officeDocument/2006/relationships/hyperlink" Target="http://www.austlii.edu.au/au/legis/nsw/consol_act/fta1987117/s4.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ustlii.edu.au/au/legis/nsw/consol_act/fta1987117/s4.html" TargetMode="External"/><Relationship Id="rId7" Type="http://schemas.openxmlformats.org/officeDocument/2006/relationships/endnotes" Target="endnotes.xml"/><Relationship Id="rId12" Type="http://schemas.openxmlformats.org/officeDocument/2006/relationships/hyperlink" Target="http://www.austlii.edu.au/au/legis/nsw/consol_act/fta1987117/s4.html" TargetMode="External"/><Relationship Id="rId17" Type="http://schemas.openxmlformats.org/officeDocument/2006/relationships/hyperlink" Target="http://www.austlii.edu.au/au/legis/nsw/consol_act/fta1987117/s4.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ustlii.edu.au/au/legis/nsw/consol_act/fta1987117/s4.html" TargetMode="External"/><Relationship Id="rId20" Type="http://schemas.openxmlformats.org/officeDocument/2006/relationships/hyperlink" Target="http://www.austlii.edu.au/au/legis/nsw/consol_act/fta1987117/s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lii.edu.au/au/legis/nsw/consol_act/fta1987117/s4.html" TargetMode="External"/><Relationship Id="rId24" Type="http://schemas.openxmlformats.org/officeDocument/2006/relationships/hyperlink" Target="http://www.austlii.edu.au/au/legis/nsw/consol_act/fta1987117/s4.html" TargetMode="External"/><Relationship Id="rId5" Type="http://schemas.openxmlformats.org/officeDocument/2006/relationships/webSettings" Target="webSettings.xml"/><Relationship Id="rId15" Type="http://schemas.openxmlformats.org/officeDocument/2006/relationships/hyperlink" Target="http://www.austlii.edu.au/au/legis/nsw/consol_act/fta1987117/s4.html" TargetMode="External"/><Relationship Id="rId23" Type="http://schemas.openxmlformats.org/officeDocument/2006/relationships/hyperlink" Target="http://www.austlii.edu.au/au/legis/nsw/consol_act/fta1987117/s4.html" TargetMode="External"/><Relationship Id="rId28" Type="http://schemas.openxmlformats.org/officeDocument/2006/relationships/theme" Target="theme/theme1.xml"/><Relationship Id="rId10" Type="http://schemas.openxmlformats.org/officeDocument/2006/relationships/hyperlink" Target="http://www.austlii.edu.au/au/legis/nsw/consol_act/fta1987117/s4.html" TargetMode="External"/><Relationship Id="rId19" Type="http://schemas.openxmlformats.org/officeDocument/2006/relationships/hyperlink" Target="http://www.austlii.edu.au/au/legis/nsw/consol_act/fta1987117/s4.html" TargetMode="External"/><Relationship Id="rId4" Type="http://schemas.openxmlformats.org/officeDocument/2006/relationships/settings" Target="settings.xml"/><Relationship Id="rId9" Type="http://schemas.openxmlformats.org/officeDocument/2006/relationships/hyperlink" Target="http://www.austlii.edu.au/au/legis/nsw/consol_act/fta1987117/s4.html" TargetMode="External"/><Relationship Id="rId14" Type="http://schemas.openxmlformats.org/officeDocument/2006/relationships/hyperlink" Target="http://www.austlii.edu.au/au/legis/nsw/consol_act/fta1987117/s4.html" TargetMode="External"/><Relationship Id="rId22" Type="http://schemas.openxmlformats.org/officeDocument/2006/relationships/hyperlink" Target="http://www.austlii.edu.au/au/legis/nsw/consol_act/fta1987117/s4.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au/Details/F2016C00444" TargetMode="External"/><Relationship Id="rId1" Type="http://schemas.openxmlformats.org/officeDocument/2006/relationships/hyperlink" Target="https://www.legislation.gov.au/Details/F2015L02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EE4F6-64AF-4BFA-9E4D-41CBFE3A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5968</Words>
  <Characters>34018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Lewis</dc:creator>
  <cp:lastModifiedBy>marie-claire.muir</cp:lastModifiedBy>
  <cp:revision>2</cp:revision>
  <cp:lastPrinted>2016-08-22T06:24:00Z</cp:lastPrinted>
  <dcterms:created xsi:type="dcterms:W3CDTF">2016-08-23T06:31:00Z</dcterms:created>
  <dcterms:modified xsi:type="dcterms:W3CDTF">2016-08-23T06:31:00Z</dcterms:modified>
</cp:coreProperties>
</file>