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15" w:rsidRDefault="007F2715" w:rsidP="00C844CD">
      <w:pPr>
        <w:pStyle w:val="PlainText"/>
        <w:spacing w:line="480" w:lineRule="auto"/>
        <w:rPr>
          <w:rFonts w:ascii="Times New Roman" w:hAnsi="Times New Roman" w:cs="Courier New"/>
          <w:sz w:val="24"/>
          <w:lang w:val="en-AU"/>
        </w:rPr>
      </w:pPr>
      <w:bookmarkStart w:id="0" w:name="_GoBack"/>
      <w:bookmarkEnd w:id="0"/>
      <w:r>
        <w:rPr>
          <w:rFonts w:ascii="Times New Roman" w:hAnsi="Times New Roman" w:cs="Courier New"/>
          <w:sz w:val="24"/>
          <w:lang w:val="en-AU"/>
        </w:rPr>
        <w:t xml:space="preserve">Dr Paul </w:t>
      </w:r>
      <w:proofErr w:type="spellStart"/>
      <w:r>
        <w:rPr>
          <w:rFonts w:ascii="Times New Roman" w:hAnsi="Times New Roman" w:cs="Courier New"/>
          <w:sz w:val="24"/>
          <w:lang w:val="en-AU"/>
        </w:rPr>
        <w:t>Harpur</w:t>
      </w:r>
      <w:proofErr w:type="spellEnd"/>
    </w:p>
    <w:p w:rsidR="007F2715" w:rsidRDefault="007F2715" w:rsidP="00C844CD">
      <w:pPr>
        <w:pStyle w:val="PlainText"/>
        <w:spacing w:line="480" w:lineRule="auto"/>
        <w:rPr>
          <w:rFonts w:ascii="Times New Roman" w:hAnsi="Times New Roman" w:cs="Courier New"/>
          <w:sz w:val="24"/>
          <w:lang w:val="en-AU"/>
        </w:rPr>
      </w:pPr>
      <w:r>
        <w:rPr>
          <w:rFonts w:ascii="Times New Roman" w:hAnsi="Times New Roman" w:cs="Courier New"/>
          <w:sz w:val="24"/>
          <w:lang w:val="en-AU"/>
        </w:rPr>
        <w:t xml:space="preserve">TC </w:t>
      </w:r>
      <w:proofErr w:type="spellStart"/>
      <w:r>
        <w:rPr>
          <w:rFonts w:ascii="Times New Roman" w:hAnsi="Times New Roman" w:cs="Courier New"/>
          <w:sz w:val="24"/>
          <w:lang w:val="en-AU"/>
        </w:rPr>
        <w:t>Beirne</w:t>
      </w:r>
      <w:proofErr w:type="spellEnd"/>
      <w:r>
        <w:rPr>
          <w:rFonts w:ascii="Times New Roman" w:hAnsi="Times New Roman" w:cs="Courier New"/>
          <w:sz w:val="24"/>
          <w:lang w:val="en-AU"/>
        </w:rPr>
        <w:t xml:space="preserve"> School </w:t>
      </w:r>
      <w:r w:rsidR="004F23CE">
        <w:rPr>
          <w:rFonts w:ascii="Times New Roman" w:hAnsi="Times New Roman" w:cs="Courier New"/>
          <w:sz w:val="24"/>
          <w:lang w:val="en-AU"/>
        </w:rPr>
        <w:t>of</w:t>
      </w:r>
      <w:r>
        <w:rPr>
          <w:rFonts w:ascii="Times New Roman" w:hAnsi="Times New Roman" w:cs="Courier New"/>
          <w:sz w:val="24"/>
          <w:lang w:val="en-AU"/>
        </w:rPr>
        <w:t xml:space="preserve"> Law</w:t>
      </w:r>
    </w:p>
    <w:p w:rsidR="007F2715" w:rsidRDefault="007F2715" w:rsidP="00C844CD">
      <w:pPr>
        <w:pStyle w:val="PlainText"/>
        <w:spacing w:line="480" w:lineRule="auto"/>
        <w:rPr>
          <w:rFonts w:ascii="Times New Roman" w:hAnsi="Times New Roman" w:cs="Courier New"/>
          <w:sz w:val="24"/>
          <w:lang w:val="en-AU"/>
        </w:rPr>
      </w:pPr>
      <w:r>
        <w:rPr>
          <w:rFonts w:ascii="Times New Roman" w:hAnsi="Times New Roman" w:cs="Courier New"/>
          <w:sz w:val="24"/>
          <w:lang w:val="en-AU"/>
        </w:rPr>
        <w:t>University of Queensland</w:t>
      </w:r>
    </w:p>
    <w:p w:rsidR="007F2715" w:rsidRDefault="007F2715" w:rsidP="00C844CD">
      <w:pPr>
        <w:pStyle w:val="PlainText"/>
        <w:spacing w:line="480" w:lineRule="auto"/>
        <w:rPr>
          <w:rFonts w:ascii="Times New Roman" w:hAnsi="Times New Roman" w:cs="Courier New"/>
          <w:sz w:val="24"/>
          <w:lang w:val="en-AU"/>
        </w:rPr>
      </w:pPr>
    </w:p>
    <w:p w:rsidR="007F2715" w:rsidRDefault="007F2715" w:rsidP="00C844CD">
      <w:pPr>
        <w:pStyle w:val="PlainText"/>
        <w:spacing w:line="480" w:lineRule="auto"/>
        <w:rPr>
          <w:rFonts w:ascii="Times New Roman" w:hAnsi="Times New Roman" w:cs="Courier New"/>
          <w:sz w:val="24"/>
          <w:lang w:val="en-AU"/>
        </w:rPr>
      </w:pPr>
      <w:r>
        <w:rPr>
          <w:rFonts w:ascii="Times New Roman" w:hAnsi="Times New Roman" w:cs="Courier New"/>
          <w:sz w:val="24"/>
          <w:lang w:val="en-AU"/>
        </w:rPr>
        <w:t>Friday, 15 November 2013</w:t>
      </w:r>
    </w:p>
    <w:p w:rsidR="007F2715" w:rsidRDefault="007F2715" w:rsidP="00C844CD">
      <w:pPr>
        <w:pStyle w:val="PlainText"/>
        <w:spacing w:line="480" w:lineRule="auto"/>
        <w:rPr>
          <w:rFonts w:ascii="Times New Roman" w:hAnsi="Times New Roman" w:cs="Courier New"/>
          <w:sz w:val="24"/>
          <w:lang w:val="en-AU"/>
        </w:rPr>
      </w:pPr>
    </w:p>
    <w:p w:rsidR="00826287" w:rsidRPr="00826287" w:rsidRDefault="00826287" w:rsidP="00C844CD">
      <w:pPr>
        <w:pStyle w:val="PlainText"/>
        <w:spacing w:line="480" w:lineRule="auto"/>
        <w:rPr>
          <w:rFonts w:ascii="Times New Roman" w:hAnsi="Times New Roman" w:cs="Courier New"/>
          <w:sz w:val="24"/>
          <w:lang w:val="en-AU"/>
        </w:rPr>
      </w:pPr>
      <w:r w:rsidRPr="00826287">
        <w:rPr>
          <w:rFonts w:ascii="Times New Roman" w:hAnsi="Times New Roman" w:cs="Courier New"/>
          <w:sz w:val="24"/>
          <w:lang w:val="en-AU"/>
        </w:rPr>
        <w:t xml:space="preserve">The Executive Director </w:t>
      </w:r>
    </w:p>
    <w:p w:rsidR="00826287" w:rsidRPr="00826287" w:rsidRDefault="00826287" w:rsidP="00C844CD">
      <w:pPr>
        <w:pStyle w:val="PlainText"/>
        <w:spacing w:line="480" w:lineRule="auto"/>
        <w:rPr>
          <w:rFonts w:ascii="Times New Roman" w:hAnsi="Times New Roman" w:cs="Courier New"/>
          <w:sz w:val="24"/>
          <w:lang w:val="en-AU"/>
        </w:rPr>
      </w:pPr>
      <w:r w:rsidRPr="00826287">
        <w:rPr>
          <w:rFonts w:ascii="Times New Roman" w:hAnsi="Times New Roman" w:cs="Courier New"/>
          <w:sz w:val="24"/>
          <w:lang w:val="en-AU"/>
        </w:rPr>
        <w:t xml:space="preserve">Australian Law Reform Commission </w:t>
      </w:r>
    </w:p>
    <w:p w:rsidR="00826287" w:rsidRPr="00826287" w:rsidRDefault="00826287" w:rsidP="00C844CD">
      <w:pPr>
        <w:pStyle w:val="PlainText"/>
        <w:spacing w:line="480" w:lineRule="auto"/>
        <w:rPr>
          <w:rFonts w:ascii="Times New Roman" w:hAnsi="Times New Roman" w:cs="Courier New"/>
          <w:sz w:val="24"/>
          <w:lang w:val="en-AU"/>
        </w:rPr>
      </w:pPr>
      <w:r w:rsidRPr="00826287">
        <w:rPr>
          <w:rFonts w:ascii="Times New Roman" w:hAnsi="Times New Roman" w:cs="Courier New"/>
          <w:sz w:val="24"/>
          <w:lang w:val="en-AU"/>
        </w:rPr>
        <w:t xml:space="preserve">GPO Box 3708 </w:t>
      </w:r>
    </w:p>
    <w:p w:rsidR="00826287" w:rsidRPr="00826287" w:rsidRDefault="00826287" w:rsidP="00C844CD">
      <w:pPr>
        <w:pStyle w:val="PlainText"/>
        <w:spacing w:line="480" w:lineRule="auto"/>
        <w:rPr>
          <w:rFonts w:ascii="Times New Roman" w:hAnsi="Times New Roman" w:cs="Courier New"/>
          <w:sz w:val="24"/>
          <w:lang w:val="en-AU"/>
        </w:rPr>
      </w:pPr>
      <w:r w:rsidRPr="00826287">
        <w:rPr>
          <w:rFonts w:ascii="Times New Roman" w:hAnsi="Times New Roman" w:cs="Courier New"/>
          <w:sz w:val="24"/>
          <w:lang w:val="en-AU"/>
        </w:rPr>
        <w:t xml:space="preserve">Sydney NSW 2001 </w:t>
      </w:r>
    </w:p>
    <w:p w:rsidR="00826287" w:rsidRDefault="00826287" w:rsidP="00C844CD">
      <w:pPr>
        <w:pStyle w:val="PlainText"/>
        <w:spacing w:line="480" w:lineRule="auto"/>
        <w:rPr>
          <w:rFonts w:ascii="Times New Roman" w:hAnsi="Times New Roman" w:cs="Courier New"/>
          <w:sz w:val="24"/>
          <w:lang w:val="en-AU"/>
        </w:rPr>
      </w:pPr>
      <w:r w:rsidRPr="00826287">
        <w:rPr>
          <w:rFonts w:ascii="Times New Roman" w:hAnsi="Times New Roman" w:cs="Courier New"/>
          <w:sz w:val="24"/>
          <w:lang w:val="en-AU"/>
        </w:rPr>
        <w:t xml:space="preserve">Email: disability@alrc.gov.au </w:t>
      </w:r>
    </w:p>
    <w:p w:rsidR="00826287" w:rsidRDefault="00826287" w:rsidP="00C844CD">
      <w:pPr>
        <w:pStyle w:val="PlainText"/>
        <w:spacing w:line="480" w:lineRule="auto"/>
        <w:rPr>
          <w:rFonts w:ascii="Times New Roman" w:hAnsi="Times New Roman" w:cs="Courier New"/>
          <w:sz w:val="24"/>
          <w:lang w:val="en-AU"/>
        </w:rPr>
      </w:pPr>
    </w:p>
    <w:p w:rsidR="00826287" w:rsidRPr="007F2715" w:rsidRDefault="00826287" w:rsidP="00C844CD">
      <w:pPr>
        <w:pStyle w:val="PlainText"/>
        <w:spacing w:line="480" w:lineRule="auto"/>
        <w:jc w:val="center"/>
        <w:rPr>
          <w:rFonts w:ascii="Times New Roman" w:hAnsi="Times New Roman" w:cs="Courier New"/>
          <w:b/>
          <w:sz w:val="24"/>
          <w:lang w:val="en-AU"/>
        </w:rPr>
      </w:pPr>
      <w:r w:rsidRPr="007F2715">
        <w:rPr>
          <w:rFonts w:ascii="Times New Roman" w:hAnsi="Times New Roman" w:cs="Courier New"/>
          <w:b/>
          <w:sz w:val="24"/>
          <w:lang w:val="en-AU"/>
        </w:rPr>
        <w:t>RE: Submission in response to the Equality, Capacity and Disability in Commonwealth Laws Issues Paper</w:t>
      </w:r>
    </w:p>
    <w:p w:rsidR="00826287" w:rsidRDefault="00826287" w:rsidP="00C844CD">
      <w:pPr>
        <w:pStyle w:val="PlainText"/>
        <w:spacing w:line="480" w:lineRule="auto"/>
        <w:rPr>
          <w:rFonts w:ascii="Times New Roman" w:hAnsi="Times New Roman" w:cs="Courier New"/>
          <w:sz w:val="24"/>
          <w:lang w:val="en-AU"/>
        </w:rPr>
      </w:pPr>
    </w:p>
    <w:p w:rsidR="00826287" w:rsidRDefault="00826287" w:rsidP="00C844CD">
      <w:pPr>
        <w:pStyle w:val="PlainText"/>
        <w:spacing w:line="480" w:lineRule="auto"/>
        <w:rPr>
          <w:rFonts w:ascii="Times New Roman" w:hAnsi="Times New Roman" w:cs="Courier New"/>
          <w:sz w:val="24"/>
          <w:lang w:val="en-AU"/>
        </w:rPr>
      </w:pPr>
      <w:r>
        <w:rPr>
          <w:rFonts w:ascii="Times New Roman" w:hAnsi="Times New Roman" w:cs="Courier New"/>
          <w:sz w:val="24"/>
          <w:lang w:val="en-AU"/>
        </w:rPr>
        <w:t xml:space="preserve">I thank the ARLC for the opportunity of providing a submission in their </w:t>
      </w:r>
      <w:r w:rsidRPr="00826287">
        <w:rPr>
          <w:rFonts w:ascii="Times New Roman" w:hAnsi="Times New Roman" w:cs="Courier New"/>
          <w:sz w:val="24"/>
          <w:lang w:val="en-AU"/>
        </w:rPr>
        <w:t>Review of equal recognition before the law and legal cap</w:t>
      </w:r>
      <w:r>
        <w:rPr>
          <w:rFonts w:ascii="Times New Roman" w:hAnsi="Times New Roman" w:cs="Courier New"/>
          <w:sz w:val="24"/>
          <w:lang w:val="en-AU"/>
        </w:rPr>
        <w:t xml:space="preserve">acity for people with disability.  </w:t>
      </w:r>
    </w:p>
    <w:p w:rsidR="00826287" w:rsidRPr="00826287" w:rsidRDefault="00826287" w:rsidP="00C844CD">
      <w:pPr>
        <w:pStyle w:val="PlainText"/>
        <w:spacing w:line="480" w:lineRule="auto"/>
        <w:rPr>
          <w:rFonts w:ascii="Times New Roman" w:hAnsi="Times New Roman" w:cs="Courier New"/>
          <w:sz w:val="24"/>
          <w:lang w:val="en-AU"/>
        </w:rPr>
      </w:pPr>
      <w:r>
        <w:rPr>
          <w:rFonts w:ascii="Times New Roman" w:hAnsi="Times New Roman" w:cs="Courier New"/>
          <w:sz w:val="24"/>
          <w:lang w:val="en-AU"/>
        </w:rPr>
        <w:t xml:space="preserve">My submission refers to </w:t>
      </w:r>
      <w:r w:rsidRPr="00826287">
        <w:rPr>
          <w:rFonts w:ascii="Times New Roman" w:hAnsi="Times New Roman" w:cs="Courier New"/>
          <w:sz w:val="24"/>
          <w:lang w:val="en-AU"/>
        </w:rPr>
        <w:t xml:space="preserve">Question 6. What issues arise in relation to Commonwealth </w:t>
      </w:r>
      <w:proofErr w:type="gramStart"/>
      <w:r w:rsidRPr="00826287">
        <w:rPr>
          <w:rFonts w:ascii="Times New Roman" w:hAnsi="Times New Roman" w:cs="Courier New"/>
          <w:sz w:val="24"/>
          <w:lang w:val="en-AU"/>
        </w:rPr>
        <w:t>anti-discrimination</w:t>
      </w:r>
      <w:proofErr w:type="gramEnd"/>
      <w:r w:rsidRPr="00826287">
        <w:rPr>
          <w:rFonts w:ascii="Times New Roman" w:hAnsi="Times New Roman" w:cs="Courier New"/>
          <w:sz w:val="24"/>
          <w:lang w:val="en-AU"/>
        </w:rPr>
        <w:t xml:space="preserve"> </w:t>
      </w:r>
    </w:p>
    <w:p w:rsidR="00826287" w:rsidRPr="00826287" w:rsidRDefault="00826287" w:rsidP="00C844CD">
      <w:pPr>
        <w:pStyle w:val="PlainText"/>
        <w:spacing w:line="480" w:lineRule="auto"/>
        <w:rPr>
          <w:rFonts w:ascii="Times New Roman" w:hAnsi="Times New Roman" w:cs="Courier New"/>
          <w:sz w:val="24"/>
          <w:lang w:val="en-AU"/>
        </w:rPr>
      </w:pPr>
      <w:proofErr w:type="gramStart"/>
      <w:r w:rsidRPr="00826287">
        <w:rPr>
          <w:rFonts w:ascii="Times New Roman" w:hAnsi="Times New Roman" w:cs="Courier New"/>
          <w:sz w:val="24"/>
          <w:lang w:val="en-AU"/>
        </w:rPr>
        <w:t>law</w:t>
      </w:r>
      <w:proofErr w:type="gramEnd"/>
      <w:r w:rsidRPr="00826287">
        <w:rPr>
          <w:rFonts w:ascii="Times New Roman" w:hAnsi="Times New Roman" w:cs="Courier New"/>
          <w:sz w:val="24"/>
          <w:lang w:val="en-AU"/>
        </w:rPr>
        <w:t xml:space="preserve"> that may affect the equal recognition before the law of people with disability and </w:t>
      </w:r>
    </w:p>
    <w:p w:rsidR="00826287" w:rsidRPr="00826287" w:rsidRDefault="00826287" w:rsidP="00C844CD">
      <w:pPr>
        <w:pStyle w:val="PlainText"/>
        <w:spacing w:line="480" w:lineRule="auto"/>
        <w:rPr>
          <w:rFonts w:ascii="Times New Roman" w:hAnsi="Times New Roman" w:cs="Courier New"/>
          <w:sz w:val="24"/>
          <w:lang w:val="en-AU"/>
        </w:rPr>
      </w:pPr>
      <w:proofErr w:type="gramStart"/>
      <w:r w:rsidRPr="00826287">
        <w:rPr>
          <w:rFonts w:ascii="Times New Roman" w:hAnsi="Times New Roman" w:cs="Courier New"/>
          <w:sz w:val="24"/>
          <w:lang w:val="en-AU"/>
        </w:rPr>
        <w:t>their</w:t>
      </w:r>
      <w:proofErr w:type="gramEnd"/>
      <w:r w:rsidRPr="00826287">
        <w:rPr>
          <w:rFonts w:ascii="Times New Roman" w:hAnsi="Times New Roman" w:cs="Courier New"/>
          <w:sz w:val="24"/>
          <w:lang w:val="en-AU"/>
        </w:rPr>
        <w:t xml:space="preserve"> ability to exercise legal capacity? What changes, if any, should be made to the </w:t>
      </w:r>
    </w:p>
    <w:p w:rsidR="00826287" w:rsidRPr="00826287" w:rsidRDefault="00826287" w:rsidP="00C844CD">
      <w:pPr>
        <w:pStyle w:val="PlainText"/>
        <w:spacing w:line="480" w:lineRule="auto"/>
        <w:rPr>
          <w:rFonts w:ascii="Times New Roman" w:hAnsi="Times New Roman" w:cs="Courier New"/>
          <w:sz w:val="24"/>
          <w:lang w:val="en-AU"/>
        </w:rPr>
      </w:pPr>
      <w:proofErr w:type="gramStart"/>
      <w:r w:rsidRPr="00826287">
        <w:rPr>
          <w:rFonts w:ascii="Times New Roman" w:hAnsi="Times New Roman" w:cs="Courier New"/>
          <w:sz w:val="24"/>
          <w:lang w:val="en-AU"/>
        </w:rPr>
        <w:t>Disability Discrimination Act 1992 (</w:t>
      </w:r>
      <w:proofErr w:type="spellStart"/>
      <w:r w:rsidRPr="00826287">
        <w:rPr>
          <w:rFonts w:ascii="Times New Roman" w:hAnsi="Times New Roman" w:cs="Courier New"/>
          <w:sz w:val="24"/>
          <w:lang w:val="en-AU"/>
        </w:rPr>
        <w:t>Cth</w:t>
      </w:r>
      <w:proofErr w:type="spellEnd"/>
      <w:r w:rsidRPr="00826287">
        <w:rPr>
          <w:rFonts w:ascii="Times New Roman" w:hAnsi="Times New Roman" w:cs="Courier New"/>
          <w:sz w:val="24"/>
          <w:lang w:val="en-AU"/>
        </w:rPr>
        <w:t>) to address these issues?</w:t>
      </w:r>
      <w:proofErr w:type="gramEnd"/>
      <w:r w:rsidRPr="00826287">
        <w:rPr>
          <w:rFonts w:ascii="Times New Roman" w:hAnsi="Times New Roman" w:cs="Courier New"/>
          <w:sz w:val="24"/>
          <w:lang w:val="en-AU"/>
        </w:rPr>
        <w:t xml:space="preserve"> </w:t>
      </w:r>
    </w:p>
    <w:p w:rsidR="00AC3D8A" w:rsidRDefault="00AC3D8A" w:rsidP="00C844CD">
      <w:pPr>
        <w:pStyle w:val="PlainText"/>
        <w:spacing w:line="480" w:lineRule="auto"/>
        <w:rPr>
          <w:rFonts w:ascii="Times New Roman" w:hAnsi="Times New Roman" w:cs="Courier New"/>
          <w:sz w:val="24"/>
          <w:lang w:val="en-AU"/>
        </w:rPr>
      </w:pPr>
    </w:p>
    <w:p w:rsidR="00826287" w:rsidRPr="00826287" w:rsidRDefault="00826287" w:rsidP="00C844CD">
      <w:pPr>
        <w:pStyle w:val="PlainText"/>
        <w:spacing w:line="480" w:lineRule="auto"/>
        <w:rPr>
          <w:rFonts w:ascii="Times New Roman" w:hAnsi="Times New Roman" w:cs="Courier New"/>
          <w:sz w:val="24"/>
          <w:lang w:val="en-AU"/>
        </w:rPr>
      </w:pPr>
      <w:r>
        <w:rPr>
          <w:rFonts w:ascii="Times New Roman" w:hAnsi="Times New Roman" w:cs="Courier New"/>
          <w:sz w:val="24"/>
          <w:lang w:val="en-AU"/>
        </w:rPr>
        <w:t>W</w:t>
      </w:r>
      <w:r w:rsidR="003B42B4">
        <w:rPr>
          <w:rFonts w:ascii="Times New Roman" w:hAnsi="Times New Roman" w:cs="Courier New"/>
          <w:sz w:val="24"/>
          <w:lang w:val="en-AU"/>
        </w:rPr>
        <w:t>h</w:t>
      </w:r>
      <w:r>
        <w:rPr>
          <w:rFonts w:ascii="Times New Roman" w:hAnsi="Times New Roman" w:cs="Courier New"/>
          <w:sz w:val="24"/>
          <w:lang w:val="en-AU"/>
        </w:rPr>
        <w:t>en considering the operation of anti-discrimination laws at page 41 of the issues paper the significant problems with dire</w:t>
      </w:r>
      <w:r w:rsidR="003B42B4">
        <w:rPr>
          <w:rFonts w:ascii="Times New Roman" w:hAnsi="Times New Roman" w:cs="Courier New"/>
          <w:sz w:val="24"/>
          <w:lang w:val="en-AU"/>
        </w:rPr>
        <w:t>ct discrimination,</w:t>
      </w:r>
      <w:r>
        <w:rPr>
          <w:rFonts w:ascii="Times New Roman" w:hAnsi="Times New Roman" w:cs="Courier New"/>
          <w:sz w:val="24"/>
          <w:lang w:val="en-AU"/>
        </w:rPr>
        <w:t xml:space="preserve"> were not addressed.  This submission focuses on the limitations of the direct discrimination provisions as they appear in the </w:t>
      </w:r>
      <w:r>
        <w:rPr>
          <w:rFonts w:ascii="Times New Roman" w:hAnsi="Times New Roman" w:cs="Courier New"/>
          <w:i/>
          <w:sz w:val="24"/>
          <w:lang w:val="en-AU"/>
        </w:rPr>
        <w:t xml:space="preserve">Disability Discrimination Act 1992 </w:t>
      </w:r>
      <w:r>
        <w:rPr>
          <w:rFonts w:ascii="Times New Roman" w:hAnsi="Times New Roman" w:cs="Courier New"/>
          <w:sz w:val="24"/>
          <w:lang w:val="en-AU"/>
        </w:rPr>
        <w:t>(</w:t>
      </w:r>
      <w:proofErr w:type="spellStart"/>
      <w:r>
        <w:rPr>
          <w:rFonts w:ascii="Times New Roman" w:hAnsi="Times New Roman" w:cs="Courier New"/>
          <w:sz w:val="24"/>
          <w:lang w:val="en-AU"/>
        </w:rPr>
        <w:t>Cth</w:t>
      </w:r>
      <w:proofErr w:type="spellEnd"/>
      <w:r>
        <w:rPr>
          <w:rFonts w:ascii="Times New Roman" w:hAnsi="Times New Roman" w:cs="Courier New"/>
          <w:sz w:val="24"/>
          <w:lang w:val="en-AU"/>
        </w:rPr>
        <w:t>).</w:t>
      </w:r>
    </w:p>
    <w:p w:rsidR="003B42B4" w:rsidRDefault="003B42B4" w:rsidP="00C844CD">
      <w:pPr>
        <w:pStyle w:val="PlainText"/>
        <w:spacing w:line="480" w:lineRule="auto"/>
        <w:rPr>
          <w:rFonts w:ascii="Times New Roman" w:hAnsi="Times New Roman" w:cs="Courier New"/>
          <w:sz w:val="24"/>
          <w:lang w:val="en-AU"/>
        </w:rPr>
      </w:pPr>
    </w:p>
    <w:p w:rsidR="00AC3D8A" w:rsidRPr="003B42B4" w:rsidRDefault="003B42B4" w:rsidP="00C844CD">
      <w:pPr>
        <w:pStyle w:val="PlainText"/>
        <w:spacing w:line="480" w:lineRule="auto"/>
        <w:rPr>
          <w:rFonts w:ascii="Times New Roman" w:hAnsi="Times New Roman" w:cs="Courier New"/>
          <w:i/>
          <w:sz w:val="24"/>
          <w:lang w:val="en-AU"/>
        </w:rPr>
      </w:pPr>
      <w:r w:rsidRPr="003B42B4">
        <w:rPr>
          <w:rFonts w:ascii="Times New Roman" w:hAnsi="Times New Roman" w:cs="Courier New"/>
          <w:i/>
          <w:sz w:val="24"/>
          <w:lang w:val="en-AU"/>
        </w:rPr>
        <w:t xml:space="preserve">                                                        D</w:t>
      </w:r>
      <w:r w:rsidR="00AC3D8A" w:rsidRPr="003B42B4">
        <w:rPr>
          <w:rFonts w:ascii="Times New Roman" w:hAnsi="Times New Roman" w:cs="Courier New"/>
          <w:i/>
          <w:sz w:val="24"/>
          <w:lang w:val="en-AU"/>
        </w:rPr>
        <w:t>irect discrimination</w:t>
      </w:r>
    </w:p>
    <w:p w:rsidR="00AC3D8A" w:rsidRPr="00294C70" w:rsidRDefault="00AC3D8A" w:rsidP="00C844CD">
      <w:pPr>
        <w:pStyle w:val="PlainText"/>
        <w:spacing w:line="480" w:lineRule="auto"/>
        <w:rPr>
          <w:rFonts w:ascii="Times New Roman" w:hAnsi="Times New Roman" w:cs="Courier New"/>
          <w:sz w:val="24"/>
          <w:lang w:val="en-AU"/>
        </w:rPr>
      </w:pPr>
    </w:p>
    <w:p w:rsidR="00D37DEA" w:rsidRDefault="00D37DEA" w:rsidP="00D37DEA">
      <w:pPr>
        <w:pStyle w:val="PlainText"/>
        <w:spacing w:line="480" w:lineRule="auto"/>
        <w:rPr>
          <w:rFonts w:ascii="Times New Roman" w:hAnsi="Times New Roman" w:cs="Courier New"/>
          <w:sz w:val="24"/>
          <w:lang w:val="en-AU"/>
        </w:rPr>
      </w:pPr>
      <w:r w:rsidRPr="00D37DEA">
        <w:rPr>
          <w:rFonts w:ascii="Times New Roman" w:hAnsi="Times New Roman" w:cs="Courier New"/>
          <w:sz w:val="24"/>
          <w:lang w:val="en-AU"/>
        </w:rPr>
        <w:t xml:space="preserve">The </w:t>
      </w:r>
      <w:r w:rsidRPr="00DC098D">
        <w:rPr>
          <w:rFonts w:ascii="Times New Roman" w:hAnsi="Times New Roman" w:cs="Courier New"/>
          <w:i/>
          <w:sz w:val="24"/>
          <w:lang w:val="en-AU"/>
        </w:rPr>
        <w:t>Disability Discrimination Act</w:t>
      </w:r>
      <w:r w:rsidRPr="00D37DEA">
        <w:rPr>
          <w:rFonts w:ascii="Times New Roman" w:hAnsi="Times New Roman" w:cs="Courier New"/>
          <w:sz w:val="24"/>
          <w:lang w:val="en-AU"/>
        </w:rPr>
        <w:t xml:space="preserve"> 1992 (</w:t>
      </w:r>
      <w:proofErr w:type="spellStart"/>
      <w:r w:rsidRPr="00D37DEA">
        <w:rPr>
          <w:rFonts w:ascii="Times New Roman" w:hAnsi="Times New Roman" w:cs="Courier New"/>
          <w:sz w:val="24"/>
          <w:lang w:val="en-AU"/>
        </w:rPr>
        <w:t>Cth</w:t>
      </w:r>
      <w:proofErr w:type="spellEnd"/>
      <w:r w:rsidRPr="00D37DEA">
        <w:rPr>
          <w:rFonts w:ascii="Times New Roman" w:hAnsi="Times New Roman" w:cs="Courier New"/>
          <w:sz w:val="24"/>
          <w:lang w:val="en-AU"/>
        </w:rPr>
        <w:t xml:space="preserve">) s 5 describes direct discrimination: </w:t>
      </w:r>
    </w:p>
    <w:p w:rsidR="00DC098D" w:rsidRPr="00D37DEA" w:rsidRDefault="00DC098D" w:rsidP="00D37DEA">
      <w:pPr>
        <w:pStyle w:val="PlainText"/>
        <w:spacing w:line="480" w:lineRule="auto"/>
        <w:rPr>
          <w:rFonts w:ascii="Times New Roman" w:hAnsi="Times New Roman" w:cs="Courier New"/>
          <w:sz w:val="24"/>
          <w:lang w:val="en-AU"/>
        </w:rPr>
      </w:pPr>
    </w:p>
    <w:p w:rsidR="00D37DEA" w:rsidRPr="00DC098D" w:rsidRDefault="00D37DEA" w:rsidP="00D37DEA">
      <w:pPr>
        <w:pStyle w:val="PlainText"/>
        <w:numPr>
          <w:ilvl w:val="0"/>
          <w:numId w:val="6"/>
        </w:numPr>
        <w:spacing w:line="480" w:lineRule="auto"/>
        <w:rPr>
          <w:rFonts w:ascii="Times New Roman" w:hAnsi="Times New Roman" w:cs="Courier New"/>
          <w:sz w:val="22"/>
          <w:lang w:val="en-AU"/>
        </w:rPr>
      </w:pPr>
      <w:r w:rsidRPr="00DC098D">
        <w:rPr>
          <w:rFonts w:ascii="Times New Roman" w:hAnsi="Times New Roman" w:cs="Courier New"/>
          <w:sz w:val="22"/>
          <w:lang w:val="en-AU"/>
        </w:rPr>
        <w:t xml:space="preserve">For the purposes of this Act, a person (the discriminator) discriminates against another person (the aggrieved person) on the ground of a disability of the aggrieved person if, because of the disability, the discriminator treats, or proposes to treat, the aggrieved person less favourably than the discriminator would treat a person without the disability in circumstances that are not materially different. </w:t>
      </w:r>
    </w:p>
    <w:p w:rsidR="00DC098D" w:rsidRDefault="00DC098D" w:rsidP="00DC098D">
      <w:pPr>
        <w:pStyle w:val="PlainText"/>
        <w:spacing w:line="480" w:lineRule="auto"/>
        <w:ind w:left="720"/>
        <w:rPr>
          <w:rFonts w:ascii="Times New Roman" w:hAnsi="Times New Roman" w:cs="Courier New"/>
          <w:sz w:val="24"/>
          <w:lang w:val="en-AU"/>
        </w:rPr>
      </w:pPr>
    </w:p>
    <w:p w:rsidR="00AC3D8A" w:rsidRPr="00294C70" w:rsidRDefault="00AC3D8A" w:rsidP="00DC098D">
      <w:pPr>
        <w:pStyle w:val="PlainText"/>
        <w:spacing w:line="480" w:lineRule="auto"/>
        <w:ind w:left="720"/>
        <w:rPr>
          <w:rFonts w:ascii="Times New Roman" w:hAnsi="Times New Roman" w:cs="Courier New"/>
          <w:sz w:val="24"/>
          <w:lang w:val="en-AU"/>
        </w:rPr>
      </w:pPr>
      <w:r w:rsidRPr="002C65B3">
        <w:rPr>
          <w:rFonts w:ascii="Times New Roman" w:hAnsi="Times New Roman" w:cs="Courier New"/>
          <w:sz w:val="24"/>
          <w:lang w:val="en-AU"/>
        </w:rPr>
        <w:t xml:space="preserve">Direct discrimination compares the treatment of a person with a disability with the treatment of a real or hypothetical person who does not have the disability.  The way in which this comparison has been approached by the courts has altered and attracted substantial criticism.  This is because the protection afforded by direct discrimination has been considerably narrowed by the current approach to the comparator test.  The comparator test was reinterpreted and narrowed by the High Court of Australia in </w:t>
      </w:r>
      <w:r w:rsidRPr="002C65B3">
        <w:rPr>
          <w:rFonts w:ascii="Times New Roman" w:hAnsi="Times New Roman" w:cs="Courier New"/>
          <w:i/>
          <w:sz w:val="24"/>
          <w:lang w:val="en-AU"/>
        </w:rPr>
        <w:t>Purvis v New South Wales (Department of Education and Training)</w:t>
      </w:r>
      <w:r w:rsidRPr="002C65B3">
        <w:rPr>
          <w:rFonts w:ascii="Times New Roman" w:hAnsi="Times New Roman" w:cs="Courier New"/>
          <w:sz w:val="24"/>
          <w:lang w:val="en-AU"/>
        </w:rPr>
        <w:t>.</w:t>
      </w:r>
      <w:r w:rsidRPr="002C65B3">
        <w:rPr>
          <w:rStyle w:val="FootnoteReference"/>
          <w:rFonts w:ascii="Times New Roman" w:hAnsi="Times New Roman" w:cs="Courier New"/>
          <w:sz w:val="24"/>
          <w:lang w:val="en-AU"/>
        </w:rPr>
        <w:footnoteReference w:id="1"/>
      </w:r>
    </w:p>
    <w:p w:rsidR="00AC3D8A" w:rsidRPr="00294C70" w:rsidRDefault="00AC3D8A" w:rsidP="00C844CD">
      <w:pPr>
        <w:pStyle w:val="PlainText"/>
        <w:spacing w:line="480" w:lineRule="auto"/>
        <w:rPr>
          <w:rFonts w:ascii="Times New Roman" w:hAnsi="Times New Roman" w:cs="Courier New"/>
          <w:sz w:val="24"/>
          <w:lang w:val="en-AU"/>
        </w:rPr>
      </w:pPr>
    </w:p>
    <w:p w:rsidR="00AC3D8A" w:rsidRPr="00294C70" w:rsidRDefault="00AC3D8A" w:rsidP="00C844CD">
      <w:pPr>
        <w:pStyle w:val="PlainText"/>
        <w:spacing w:line="480" w:lineRule="auto"/>
        <w:rPr>
          <w:rFonts w:ascii="Times New Roman" w:hAnsi="Times New Roman" w:cs="Courier New"/>
          <w:sz w:val="24"/>
          <w:lang w:val="en-AU"/>
        </w:rPr>
      </w:pPr>
      <w:r w:rsidRPr="002C65B3">
        <w:rPr>
          <w:rFonts w:ascii="Times New Roman" w:hAnsi="Times New Roman" w:cs="Courier New"/>
          <w:sz w:val="24"/>
          <w:lang w:val="en-AU"/>
        </w:rPr>
        <w:t xml:space="preserve">To determine if direct discrimination </w:t>
      </w:r>
      <w:r w:rsidR="003B42B4">
        <w:rPr>
          <w:rFonts w:ascii="Times New Roman" w:hAnsi="Times New Roman" w:cs="Courier New"/>
          <w:sz w:val="24"/>
          <w:lang w:val="en-AU"/>
        </w:rPr>
        <w:t>exists,</w:t>
      </w:r>
      <w:r w:rsidRPr="002C65B3">
        <w:rPr>
          <w:rFonts w:ascii="Times New Roman" w:hAnsi="Times New Roman" w:cs="Courier New"/>
          <w:sz w:val="24"/>
          <w:lang w:val="en-AU"/>
        </w:rPr>
        <w:t xml:space="preserve"> the tribunal </w:t>
      </w:r>
      <w:r w:rsidR="00DC098D">
        <w:rPr>
          <w:rFonts w:ascii="Times New Roman" w:hAnsi="Times New Roman" w:cs="Courier New"/>
          <w:sz w:val="24"/>
          <w:lang w:val="en-AU"/>
        </w:rPr>
        <w:t xml:space="preserve">separates the manifestations from the disability.  </w:t>
      </w:r>
      <w:r w:rsidRPr="002C65B3">
        <w:rPr>
          <w:rFonts w:ascii="Times New Roman" w:hAnsi="Times New Roman" w:cs="Courier New"/>
          <w:sz w:val="24"/>
          <w:lang w:val="en-AU"/>
        </w:rPr>
        <w:t>I</w:t>
      </w:r>
      <w:r>
        <w:rPr>
          <w:rFonts w:ascii="Times New Roman" w:hAnsi="Times New Roman" w:cs="Courier New"/>
          <w:sz w:val="24"/>
          <w:lang w:val="en-AU"/>
        </w:rPr>
        <w:t>n</w:t>
      </w:r>
      <w:r w:rsidRPr="002C65B3">
        <w:rPr>
          <w:rFonts w:ascii="Times New Roman" w:hAnsi="Times New Roman" w:cs="Courier New"/>
          <w:sz w:val="24"/>
          <w:lang w:val="en-AU"/>
        </w:rPr>
        <w:t xml:space="preserve"> performing this comparison</w:t>
      </w:r>
      <w:r w:rsidR="003B42B4">
        <w:rPr>
          <w:rFonts w:ascii="Times New Roman" w:hAnsi="Times New Roman" w:cs="Courier New"/>
          <w:sz w:val="24"/>
          <w:lang w:val="en-AU"/>
        </w:rPr>
        <w:t>,</w:t>
      </w:r>
      <w:r w:rsidRPr="002C65B3">
        <w:rPr>
          <w:rFonts w:ascii="Times New Roman" w:hAnsi="Times New Roman" w:cs="Courier New"/>
          <w:sz w:val="24"/>
          <w:lang w:val="en-AU"/>
        </w:rPr>
        <w:t xml:space="preserve"> the High Court in </w:t>
      </w:r>
      <w:r w:rsidRPr="002C65B3">
        <w:rPr>
          <w:rFonts w:ascii="Times New Roman" w:hAnsi="Times New Roman" w:cs="Courier New"/>
          <w:i/>
          <w:sz w:val="24"/>
          <w:lang w:val="en-AU"/>
        </w:rPr>
        <w:t>Purvis</w:t>
      </w:r>
      <w:r w:rsidRPr="002C65B3">
        <w:rPr>
          <w:rFonts w:ascii="Times New Roman" w:hAnsi="Times New Roman" w:cs="Courier New"/>
          <w:sz w:val="24"/>
          <w:lang w:val="en-AU"/>
        </w:rPr>
        <w:t xml:space="preserve"> compared the treatment the complainant received against the treatment a hypothetical person who did not have the complainant’s disability, but manifested the </w:t>
      </w:r>
      <w:r w:rsidRPr="002C65B3">
        <w:rPr>
          <w:rFonts w:ascii="Times New Roman" w:hAnsi="Times New Roman" w:cs="Courier New"/>
          <w:sz w:val="24"/>
          <w:lang w:val="en-AU"/>
        </w:rPr>
        <w:lastRenderedPageBreak/>
        <w:t>same symptoms, would have received.</w:t>
      </w:r>
      <w:r w:rsidRPr="002C65B3">
        <w:rPr>
          <w:rStyle w:val="FootnoteReference"/>
          <w:rFonts w:ascii="Times New Roman" w:hAnsi="Times New Roman" w:cs="Courier New"/>
          <w:sz w:val="24"/>
          <w:lang w:val="en-AU"/>
        </w:rPr>
        <w:footnoteReference w:id="2"/>
      </w:r>
      <w:r w:rsidRPr="002C65B3">
        <w:rPr>
          <w:rFonts w:ascii="Times New Roman" w:hAnsi="Times New Roman" w:cs="Courier New"/>
          <w:sz w:val="24"/>
          <w:lang w:val="en-AU"/>
        </w:rPr>
        <w:t xml:space="preserve">  In other words the person with a disability is compared against 'a person without the disability in the same position in all material respects as the aggrieved person’.  In </w:t>
      </w:r>
      <w:r w:rsidRPr="002C65B3">
        <w:rPr>
          <w:rFonts w:ascii="Times New Roman" w:hAnsi="Times New Roman" w:cs="Courier New"/>
          <w:i/>
          <w:sz w:val="24"/>
          <w:lang w:val="en-AU"/>
        </w:rPr>
        <w:t>Purvis</w:t>
      </w:r>
      <w:r w:rsidRPr="002C65B3">
        <w:rPr>
          <w:rFonts w:ascii="Times New Roman" w:hAnsi="Times New Roman" w:cs="Courier New"/>
          <w:sz w:val="24"/>
          <w:lang w:val="en-AU"/>
        </w:rPr>
        <w:t xml:space="preserve"> this approach to the comparator enabled a school to lawfully expel a student because that student was exhibiting symptoms of his disability.  In </w:t>
      </w:r>
      <w:r w:rsidRPr="002C65B3">
        <w:rPr>
          <w:rFonts w:ascii="Times New Roman" w:hAnsi="Times New Roman" w:cs="Courier New"/>
          <w:i/>
          <w:sz w:val="24"/>
          <w:lang w:val="en-AU"/>
        </w:rPr>
        <w:t>Purvis</w:t>
      </w:r>
      <w:r w:rsidRPr="002C65B3">
        <w:rPr>
          <w:rFonts w:ascii="Times New Roman" w:hAnsi="Times New Roman" w:cs="Courier New"/>
          <w:sz w:val="24"/>
          <w:lang w:val="en-AU"/>
        </w:rPr>
        <w:t xml:space="preserve"> the student suffered a disability which meant he could not control his temper.  The High Court in </w:t>
      </w:r>
      <w:r w:rsidRPr="002C65B3">
        <w:rPr>
          <w:rFonts w:ascii="Times New Roman" w:hAnsi="Times New Roman" w:cs="Courier New"/>
          <w:i/>
          <w:sz w:val="24"/>
          <w:lang w:val="en-AU"/>
        </w:rPr>
        <w:t>Purvis</w:t>
      </w:r>
      <w:r w:rsidRPr="002C65B3">
        <w:rPr>
          <w:rFonts w:ascii="Times New Roman" w:hAnsi="Times New Roman" w:cs="Courier New"/>
          <w:sz w:val="24"/>
          <w:lang w:val="en-AU"/>
        </w:rPr>
        <w:t xml:space="preserve"> compared this student against a hypothetical student who had no disability and who had voluntarily decided to misbehave.  As the school would have treated the student who had elected to misbehave the same as the complainant who misbehaved due to his disability, then the High Court held the discrimination was based upon the student’s</w:t>
      </w:r>
      <w:r w:rsidRPr="00294C70">
        <w:rPr>
          <w:rFonts w:ascii="Times New Roman" w:hAnsi="Times New Roman" w:cs="Courier New"/>
          <w:sz w:val="24"/>
          <w:lang w:val="en-AU"/>
        </w:rPr>
        <w:t xml:space="preserve"> behaviour</w:t>
      </w:r>
      <w:r w:rsidRPr="002C65B3">
        <w:rPr>
          <w:rFonts w:ascii="Times New Roman" w:hAnsi="Times New Roman" w:cs="Courier New"/>
          <w:sz w:val="24"/>
          <w:lang w:val="en-AU"/>
        </w:rPr>
        <w:t xml:space="preserve"> and was not based upon the student’s disability.</w:t>
      </w:r>
      <w:r w:rsidRPr="002C65B3">
        <w:rPr>
          <w:rStyle w:val="FootnoteReference"/>
          <w:rFonts w:ascii="Times New Roman" w:hAnsi="Times New Roman" w:cs="Courier New"/>
          <w:sz w:val="24"/>
          <w:lang w:val="en-AU"/>
        </w:rPr>
        <w:footnoteReference w:id="3"/>
      </w:r>
      <w:r w:rsidRPr="002C65B3">
        <w:rPr>
          <w:rFonts w:ascii="Times New Roman" w:hAnsi="Times New Roman" w:cs="Courier New"/>
          <w:sz w:val="24"/>
          <w:lang w:val="en-AU"/>
        </w:rPr>
        <w:t xml:space="preserve">  The fact the complainant was suffering a disability which meant he could not alter his behaviour was largely immaterial. </w:t>
      </w:r>
    </w:p>
    <w:p w:rsidR="00AC3D8A" w:rsidRPr="00294C70" w:rsidRDefault="00AC3D8A" w:rsidP="00C844CD">
      <w:pPr>
        <w:pStyle w:val="PlainText"/>
        <w:spacing w:line="480" w:lineRule="auto"/>
        <w:rPr>
          <w:rFonts w:ascii="Times New Roman" w:hAnsi="Times New Roman" w:cs="Courier New"/>
          <w:sz w:val="24"/>
          <w:lang w:val="en-AU"/>
        </w:rPr>
      </w:pPr>
    </w:p>
    <w:p w:rsidR="003B42B4" w:rsidRDefault="00AC3D8A" w:rsidP="00C844CD">
      <w:pPr>
        <w:spacing w:after="0" w:line="480" w:lineRule="auto"/>
        <w:rPr>
          <w:rFonts w:ascii="Times New Roman" w:hAnsi="Times New Roman" w:cs="Courier New"/>
          <w:sz w:val="24"/>
        </w:rPr>
      </w:pPr>
      <w:r w:rsidRPr="002C65B3">
        <w:rPr>
          <w:rFonts w:ascii="Times New Roman" w:hAnsi="Times New Roman" w:cs="Courier New"/>
          <w:sz w:val="24"/>
        </w:rPr>
        <w:t>The comparator test has concerning implications for persons with disabilities</w:t>
      </w:r>
      <w:r>
        <w:rPr>
          <w:rFonts w:ascii="Times New Roman" w:hAnsi="Times New Roman" w:cs="Courier New"/>
          <w:sz w:val="24"/>
        </w:rPr>
        <w:t xml:space="preserve">.  This can be illustrated by </w:t>
      </w:r>
    </w:p>
    <w:p w:rsidR="003B42B4" w:rsidRDefault="003B42B4" w:rsidP="00C844CD">
      <w:pPr>
        <w:spacing w:after="0" w:line="480" w:lineRule="auto"/>
        <w:rPr>
          <w:rFonts w:ascii="Times New Roman" w:hAnsi="Times New Roman" w:cs="Courier New"/>
          <w:sz w:val="24"/>
        </w:rPr>
      </w:pPr>
    </w:p>
    <w:p w:rsidR="003B42B4" w:rsidRDefault="00AC3D8A" w:rsidP="00C844CD">
      <w:pPr>
        <w:spacing w:after="0" w:line="480" w:lineRule="auto"/>
        <w:rPr>
          <w:rFonts w:ascii="Times New Roman" w:hAnsi="Times New Roman" w:cs="Courier New"/>
          <w:sz w:val="24"/>
        </w:rPr>
      </w:pPr>
      <w:proofErr w:type="gramStart"/>
      <w:r>
        <w:rPr>
          <w:rFonts w:ascii="Times New Roman" w:hAnsi="Times New Roman" w:cs="Courier New"/>
          <w:sz w:val="24"/>
        </w:rPr>
        <w:t>considering</w:t>
      </w:r>
      <w:proofErr w:type="gramEnd"/>
      <w:r>
        <w:rPr>
          <w:rFonts w:ascii="Times New Roman" w:hAnsi="Times New Roman" w:cs="Courier New"/>
          <w:sz w:val="24"/>
        </w:rPr>
        <w:t xml:space="preserve"> the situation for persons with disabilities </w:t>
      </w:r>
      <w:r w:rsidRPr="002C65B3">
        <w:rPr>
          <w:rFonts w:ascii="Times New Roman" w:hAnsi="Times New Roman" w:cs="Courier New"/>
          <w:sz w:val="24"/>
        </w:rPr>
        <w:t>who use guide or assistance dogs</w:t>
      </w:r>
      <w:r>
        <w:rPr>
          <w:rFonts w:ascii="Times New Roman" w:hAnsi="Times New Roman" w:cs="Courier New"/>
          <w:sz w:val="24"/>
        </w:rPr>
        <w:t xml:space="preserve"> and analysing the </w:t>
      </w:r>
    </w:p>
    <w:p w:rsidR="003B42B4" w:rsidRDefault="003B42B4" w:rsidP="00C844CD">
      <w:pPr>
        <w:spacing w:after="0" w:line="480" w:lineRule="auto"/>
        <w:rPr>
          <w:rFonts w:ascii="Times New Roman" w:hAnsi="Times New Roman" w:cs="Courier New"/>
          <w:sz w:val="24"/>
        </w:rPr>
      </w:pPr>
    </w:p>
    <w:p w:rsidR="003B42B4" w:rsidRDefault="00AC3D8A" w:rsidP="00C844CD">
      <w:pPr>
        <w:spacing w:after="0" w:line="480" w:lineRule="auto"/>
        <w:rPr>
          <w:rFonts w:ascii="Times New Roman" w:hAnsi="Times New Roman" w:cs="Courier New"/>
          <w:sz w:val="24"/>
        </w:rPr>
      </w:pPr>
      <w:proofErr w:type="gramStart"/>
      <w:r>
        <w:rPr>
          <w:rFonts w:ascii="Times New Roman" w:hAnsi="Times New Roman" w:cs="Courier New"/>
          <w:sz w:val="24"/>
        </w:rPr>
        <w:t>experiences</w:t>
      </w:r>
      <w:proofErr w:type="gramEnd"/>
      <w:r>
        <w:rPr>
          <w:rFonts w:ascii="Times New Roman" w:hAnsi="Times New Roman" w:cs="Courier New"/>
          <w:sz w:val="24"/>
        </w:rPr>
        <w:t xml:space="preserve"> of a disability advocate, Forest.</w:t>
      </w:r>
      <w:r>
        <w:rPr>
          <w:rStyle w:val="FootnoteReference"/>
          <w:rFonts w:ascii="Times New Roman" w:hAnsi="Times New Roman" w:cs="Courier New"/>
          <w:sz w:val="24"/>
        </w:rPr>
        <w:footnoteReference w:id="4"/>
      </w:r>
      <w:r>
        <w:rPr>
          <w:rFonts w:ascii="Times New Roman" w:hAnsi="Times New Roman" w:cs="Times New Roman"/>
          <w:sz w:val="24"/>
          <w:szCs w:val="24"/>
          <w:lang w:eastAsia="en-AU"/>
        </w:rPr>
        <w:t xml:space="preserve"> </w:t>
      </w:r>
      <w:r w:rsidRPr="002C65B3">
        <w:rPr>
          <w:rFonts w:ascii="Times New Roman" w:hAnsi="Times New Roman" w:cs="Courier New"/>
          <w:sz w:val="24"/>
        </w:rPr>
        <w:t xml:space="preserve">Due to the current interpretation of the comparator test Forest </w:t>
      </w:r>
    </w:p>
    <w:p w:rsidR="003B42B4" w:rsidRDefault="003B42B4" w:rsidP="00C844CD">
      <w:pPr>
        <w:spacing w:after="0" w:line="480" w:lineRule="auto"/>
        <w:rPr>
          <w:rFonts w:ascii="Times New Roman" w:hAnsi="Times New Roman" w:cs="Courier New"/>
          <w:sz w:val="24"/>
        </w:rPr>
      </w:pPr>
    </w:p>
    <w:p w:rsidR="003B42B4" w:rsidRDefault="00AC3D8A" w:rsidP="00C844CD">
      <w:pPr>
        <w:spacing w:after="0" w:line="480" w:lineRule="auto"/>
        <w:rPr>
          <w:rFonts w:ascii="Times New Roman" w:hAnsi="Times New Roman" w:cs="Courier New"/>
          <w:sz w:val="24"/>
        </w:rPr>
      </w:pPr>
      <w:proofErr w:type="gramStart"/>
      <w:r w:rsidRPr="002C65B3">
        <w:rPr>
          <w:rFonts w:ascii="Times New Roman" w:hAnsi="Times New Roman" w:cs="Courier New"/>
          <w:sz w:val="24"/>
        </w:rPr>
        <w:t>encountered</w:t>
      </w:r>
      <w:proofErr w:type="gramEnd"/>
      <w:r w:rsidRPr="002C65B3">
        <w:rPr>
          <w:rFonts w:ascii="Times New Roman" w:hAnsi="Times New Roman" w:cs="Courier New"/>
          <w:sz w:val="24"/>
        </w:rPr>
        <w:t xml:space="preserve"> substantial problems in demonstrating the</w:t>
      </w:r>
      <w:r w:rsidRPr="00294C70">
        <w:rPr>
          <w:rFonts w:ascii="Times New Roman" w:hAnsi="Times New Roman" w:cs="Courier New"/>
          <w:sz w:val="24"/>
        </w:rPr>
        <w:t xml:space="preserve"> unfavourable</w:t>
      </w:r>
      <w:r w:rsidRPr="002C65B3">
        <w:rPr>
          <w:rFonts w:ascii="Times New Roman" w:hAnsi="Times New Roman" w:cs="Courier New"/>
          <w:sz w:val="24"/>
        </w:rPr>
        <w:t xml:space="preserve"> treatment was due to his disability.  </w:t>
      </w:r>
    </w:p>
    <w:p w:rsidR="003B42B4" w:rsidRDefault="003B42B4" w:rsidP="00C844CD">
      <w:pPr>
        <w:spacing w:after="0" w:line="480" w:lineRule="auto"/>
        <w:rPr>
          <w:rFonts w:ascii="Times New Roman" w:hAnsi="Times New Roman" w:cs="Courier New"/>
          <w:sz w:val="24"/>
        </w:rPr>
      </w:pPr>
    </w:p>
    <w:p w:rsidR="003B42B4" w:rsidRDefault="00AC3D8A" w:rsidP="00C844CD">
      <w:pPr>
        <w:spacing w:after="0" w:line="480" w:lineRule="auto"/>
        <w:rPr>
          <w:rFonts w:ascii="Times New Roman" w:hAnsi="Times New Roman" w:cs="Courier New"/>
          <w:sz w:val="24"/>
        </w:rPr>
      </w:pPr>
      <w:r w:rsidRPr="002C65B3">
        <w:rPr>
          <w:rFonts w:ascii="Times New Roman" w:hAnsi="Times New Roman" w:cs="Courier New"/>
          <w:sz w:val="24"/>
        </w:rPr>
        <w:t xml:space="preserve">Queensland Health claimed that Forest was refused access, not because he was disabled, but because his </w:t>
      </w:r>
    </w:p>
    <w:p w:rsidR="003B42B4" w:rsidRDefault="003B42B4" w:rsidP="00C844CD">
      <w:pPr>
        <w:spacing w:after="0" w:line="480" w:lineRule="auto"/>
        <w:rPr>
          <w:rFonts w:ascii="Times New Roman" w:hAnsi="Times New Roman" w:cs="Courier New"/>
          <w:sz w:val="24"/>
        </w:rPr>
      </w:pPr>
    </w:p>
    <w:p w:rsidR="00AC3D8A" w:rsidRPr="00294C70" w:rsidRDefault="00AC3D8A" w:rsidP="00DC098D">
      <w:pPr>
        <w:spacing w:after="0" w:line="480" w:lineRule="auto"/>
        <w:rPr>
          <w:rFonts w:ascii="Times New Roman" w:hAnsi="Times New Roman" w:cs="Courier New"/>
          <w:sz w:val="24"/>
        </w:rPr>
      </w:pPr>
      <w:proofErr w:type="gramStart"/>
      <w:r w:rsidRPr="002C65B3">
        <w:rPr>
          <w:rFonts w:ascii="Times New Roman" w:hAnsi="Times New Roman" w:cs="Courier New"/>
          <w:sz w:val="24"/>
        </w:rPr>
        <w:t>dogs</w:t>
      </w:r>
      <w:proofErr w:type="gramEnd"/>
      <w:r w:rsidRPr="002C65B3">
        <w:rPr>
          <w:rFonts w:ascii="Times New Roman" w:hAnsi="Times New Roman" w:cs="Courier New"/>
          <w:sz w:val="24"/>
        </w:rPr>
        <w:t xml:space="preserve"> were not adequately trained and members of staff had witnessed the dogs mis</w:t>
      </w:r>
      <w:r w:rsidR="00DC098D">
        <w:rPr>
          <w:rFonts w:ascii="Times New Roman" w:hAnsi="Times New Roman" w:cs="Courier New"/>
          <w:sz w:val="24"/>
        </w:rPr>
        <w:t xml:space="preserve">behaving.  The court </w:t>
      </w:r>
      <w:r w:rsidRPr="002C65B3">
        <w:rPr>
          <w:rFonts w:ascii="Times New Roman" w:hAnsi="Times New Roman" w:cs="Courier New"/>
          <w:sz w:val="24"/>
        </w:rPr>
        <w:t>effectively asked whether Queensland Health treated Forest less favourab</w:t>
      </w:r>
      <w:r w:rsidR="00DC098D">
        <w:rPr>
          <w:rFonts w:ascii="Times New Roman" w:hAnsi="Times New Roman" w:cs="Courier New"/>
          <w:sz w:val="24"/>
        </w:rPr>
        <w:t xml:space="preserve">ly than a person who desired to </w:t>
      </w:r>
      <w:r w:rsidRPr="002C65B3">
        <w:rPr>
          <w:rFonts w:ascii="Times New Roman" w:hAnsi="Times New Roman" w:cs="Courier New"/>
          <w:sz w:val="24"/>
        </w:rPr>
        <w:lastRenderedPageBreak/>
        <w:t xml:space="preserve">bring their pets into the hospital.  The problem Forest confronted was proving that the refusal was based on his dogs status as assistance dogs and not because his dogs were accused of engaging in misconduct.  The fact Queensland Health had refused to give Forest service while he was accompanied by his assistance dogs was held not to mean he was discriminated on the basis of his disability.  The Full Court of the Federal </w:t>
      </w:r>
      <w:r w:rsidR="003B42B4">
        <w:rPr>
          <w:rFonts w:ascii="Times New Roman" w:hAnsi="Times New Roman" w:cs="Courier New"/>
          <w:sz w:val="24"/>
        </w:rPr>
        <w:t>Court asked whether Queensland H</w:t>
      </w:r>
      <w:r w:rsidRPr="002C65B3">
        <w:rPr>
          <w:rFonts w:ascii="Times New Roman" w:hAnsi="Times New Roman" w:cs="Courier New"/>
          <w:sz w:val="24"/>
        </w:rPr>
        <w:t xml:space="preserve">ealth would have treated a hypothetical person without a disability the same way if that person had dogs which appeared to misbehave.  </w:t>
      </w:r>
      <w:bookmarkStart w:id="1" w:name="OLE_LINK5"/>
      <w:bookmarkStart w:id="2" w:name="OLE_LINK6"/>
      <w:r w:rsidR="002F2754">
        <w:rPr>
          <w:rFonts w:ascii="Times New Roman" w:hAnsi="Times New Roman" w:cs="Courier New"/>
          <w:sz w:val="24"/>
        </w:rPr>
        <w:t xml:space="preserve">Justices </w:t>
      </w:r>
      <w:r w:rsidRPr="002C65B3">
        <w:rPr>
          <w:rFonts w:ascii="Times New Roman" w:hAnsi="Times New Roman" w:cs="Courier New"/>
          <w:sz w:val="24"/>
        </w:rPr>
        <w:t xml:space="preserve">Spender and Emmett JJ </w:t>
      </w:r>
      <w:bookmarkEnd w:id="1"/>
      <w:bookmarkEnd w:id="2"/>
      <w:r w:rsidRPr="002C65B3">
        <w:rPr>
          <w:rFonts w:ascii="Times New Roman" w:hAnsi="Times New Roman" w:cs="Courier New"/>
          <w:sz w:val="24"/>
        </w:rPr>
        <w:t>explained</w:t>
      </w:r>
      <w:r>
        <w:rPr>
          <w:rFonts w:ascii="Times New Roman" w:hAnsi="Times New Roman" w:cs="Courier New"/>
          <w:sz w:val="24"/>
        </w:rPr>
        <w:t>:</w:t>
      </w:r>
    </w:p>
    <w:p w:rsidR="00AC3D8A" w:rsidRPr="00294C70" w:rsidRDefault="00AC3D8A" w:rsidP="00C844CD">
      <w:pPr>
        <w:pStyle w:val="PlainText"/>
        <w:spacing w:line="480" w:lineRule="auto"/>
        <w:rPr>
          <w:rFonts w:ascii="Times New Roman" w:hAnsi="Times New Roman" w:cs="Courier New"/>
          <w:sz w:val="24"/>
          <w:lang w:val="en-AU"/>
        </w:rPr>
      </w:pPr>
    </w:p>
    <w:p w:rsidR="00AC3D8A" w:rsidRPr="00294C70" w:rsidRDefault="00AC3D8A" w:rsidP="00C844CD">
      <w:pPr>
        <w:pStyle w:val="PlainText"/>
        <w:spacing w:line="480" w:lineRule="auto"/>
        <w:ind w:left="720"/>
        <w:rPr>
          <w:rFonts w:ascii="Times New Roman" w:hAnsi="Times New Roman" w:cs="Courier New"/>
          <w:sz w:val="24"/>
          <w:lang w:val="en-AU"/>
        </w:rPr>
      </w:pPr>
      <w:r w:rsidRPr="002C65B3">
        <w:rPr>
          <w:rFonts w:ascii="Times New Roman" w:hAnsi="Times New Roman" w:cs="Courier New"/>
          <w:sz w:val="24"/>
          <w:lang w:val="en-AU"/>
        </w:rPr>
        <w:t>While it may be that Queensland Health discriminated against Mr Forest … because it treated him less favourably because of the fact that he was accompanied by his dogs, it did not do so on the ground of his psychiatric disability. The ground on which Queensland Health discriminated against Mr Forest … is that his dogs were ill-behaved and ill-controlled and there was inadequate evidence of proper assistance dog training. Thus, Queensland Health did not discriminate against Mr Forest on the ground of his disability, even though it may have discriminated against Mr Forest within s 9 of the Act. It follows that there was no unlawful conduct on the part of Queensland Health.</w:t>
      </w:r>
      <w:r w:rsidRPr="002C65B3">
        <w:rPr>
          <w:rStyle w:val="FootnoteReference"/>
          <w:rFonts w:ascii="Times New Roman" w:hAnsi="Times New Roman" w:cs="Courier New"/>
          <w:sz w:val="24"/>
          <w:lang w:val="en-AU"/>
        </w:rPr>
        <w:footnoteReference w:id="5"/>
      </w:r>
    </w:p>
    <w:p w:rsidR="00AC3D8A" w:rsidRPr="00294C70" w:rsidRDefault="00AC3D8A" w:rsidP="00C844CD">
      <w:pPr>
        <w:pStyle w:val="PlainText"/>
        <w:spacing w:line="480" w:lineRule="auto"/>
        <w:rPr>
          <w:rFonts w:ascii="Times New Roman" w:hAnsi="Times New Roman" w:cs="Courier New"/>
          <w:sz w:val="24"/>
          <w:lang w:val="en-AU"/>
        </w:rPr>
      </w:pPr>
    </w:p>
    <w:p w:rsidR="00AC3D8A" w:rsidRPr="00294C70" w:rsidRDefault="00AC3D8A" w:rsidP="00C844CD">
      <w:pPr>
        <w:pStyle w:val="PlainText"/>
        <w:spacing w:line="480" w:lineRule="auto"/>
        <w:rPr>
          <w:rFonts w:ascii="Times New Roman" w:hAnsi="Times New Roman" w:cs="Courier New"/>
          <w:sz w:val="24"/>
          <w:lang w:val="en-AU"/>
        </w:rPr>
      </w:pPr>
      <w:r w:rsidRPr="002C65B3">
        <w:rPr>
          <w:rFonts w:ascii="Times New Roman" w:hAnsi="Times New Roman" w:cs="Courier New"/>
          <w:sz w:val="24"/>
          <w:lang w:val="en-AU"/>
        </w:rPr>
        <w:t xml:space="preserve">Similar to </w:t>
      </w:r>
      <w:r w:rsidR="002F2754">
        <w:rPr>
          <w:rFonts w:ascii="Times New Roman" w:hAnsi="Times New Roman" w:cs="Courier New"/>
          <w:sz w:val="24"/>
          <w:lang w:val="en-AU"/>
        </w:rPr>
        <w:t xml:space="preserve">Justices </w:t>
      </w:r>
      <w:r w:rsidRPr="002C65B3">
        <w:rPr>
          <w:rFonts w:ascii="Times New Roman" w:hAnsi="Times New Roman" w:cs="Courier New"/>
          <w:sz w:val="24"/>
          <w:lang w:val="en-AU"/>
        </w:rPr>
        <w:t>Spender and Emmett JJ, Black CJ focused upon the alleged conduct of Forest’s assistance dogs:</w:t>
      </w:r>
    </w:p>
    <w:p w:rsidR="00AC3D8A" w:rsidRPr="00294C70" w:rsidRDefault="00AC3D8A" w:rsidP="00C844CD">
      <w:pPr>
        <w:pStyle w:val="PlainText"/>
        <w:spacing w:line="480" w:lineRule="auto"/>
        <w:rPr>
          <w:rFonts w:ascii="Times New Roman" w:hAnsi="Times New Roman" w:cs="Courier New"/>
          <w:sz w:val="24"/>
          <w:lang w:val="en-AU"/>
        </w:rPr>
      </w:pPr>
    </w:p>
    <w:p w:rsidR="00AC3D8A" w:rsidRPr="00294C70" w:rsidRDefault="00AC3D8A" w:rsidP="00C844CD">
      <w:pPr>
        <w:pStyle w:val="PlainText"/>
        <w:spacing w:line="480" w:lineRule="auto"/>
        <w:ind w:left="720"/>
        <w:rPr>
          <w:rFonts w:ascii="Times New Roman" w:hAnsi="Times New Roman" w:cs="Courier New"/>
          <w:sz w:val="24"/>
          <w:lang w:val="en-AU"/>
        </w:rPr>
      </w:pPr>
      <w:r w:rsidRPr="002C65B3">
        <w:rPr>
          <w:rFonts w:ascii="Times New Roman" w:hAnsi="Times New Roman" w:cs="Courier New"/>
          <w:sz w:val="24"/>
          <w:lang w:val="en-AU"/>
        </w:rPr>
        <w:t xml:space="preserve">It could be said that attributes of a particular animal, such as being dangerous or infectious, were matters relating to the fact of a person being accompanied by that animal.  In general, however, attributes of this nature are unlikely to have anything to do with whether the conduct is, in truth, discriminatory.  If, for example, a public health institution had a carefully considered, non-discriminatory, policy that allowed for the admission of assistance animals and the facts showed that the policy was properly administered, it would hardly advance the objects of the Act if, on a </w:t>
      </w:r>
      <w:r w:rsidRPr="002C65B3">
        <w:rPr>
          <w:rFonts w:ascii="Times New Roman" w:hAnsi="Times New Roman" w:cs="Courier New"/>
          <w:sz w:val="24"/>
          <w:lang w:val="en-AU"/>
        </w:rPr>
        <w:lastRenderedPageBreak/>
        <w:t>particular occasion, a person accompanied by a patently dangerous assistance animal were refused entry to a hospital.  In such an instance, it would not be foreign to the objects of the Act if access were refused not “because of the fact that the person was accompanied by the animal” or “because of any matter related to that fact”.  The object of eliminating discrimination on the ground of disability and the further object of ensuring, as far as practicable, that persons with disabilities have the same rights to equality before the law as the rest of the community, are not advanced by a construction of such width as, in effect, to allow any animal into any public premises under any circumstances.  Such extremes may have nothing to do with discrimination and indeed could frustrate the objects of the Act by impeding the increasing acceptance of the important functions not only of guide dogs but of other appropriately trained assistance animals.  The precise scope of the provision is not easy to determine and will need to be worked out over time on a case by case basis.</w:t>
      </w:r>
      <w:r w:rsidRPr="002C65B3">
        <w:rPr>
          <w:rStyle w:val="FootnoteReference"/>
          <w:rFonts w:ascii="Times New Roman" w:hAnsi="Times New Roman" w:cs="Courier New"/>
          <w:sz w:val="24"/>
          <w:lang w:val="en-AU"/>
        </w:rPr>
        <w:footnoteReference w:id="6"/>
      </w:r>
    </w:p>
    <w:p w:rsidR="00AC3D8A" w:rsidRPr="00294C70" w:rsidRDefault="00AC3D8A" w:rsidP="00C844CD">
      <w:pPr>
        <w:pStyle w:val="PlainText"/>
        <w:spacing w:line="480" w:lineRule="auto"/>
        <w:rPr>
          <w:rFonts w:ascii="Times New Roman" w:hAnsi="Times New Roman" w:cs="Courier New"/>
          <w:sz w:val="24"/>
          <w:lang w:val="en-AU"/>
        </w:rPr>
      </w:pPr>
      <w:r w:rsidRPr="002C65B3">
        <w:rPr>
          <w:rFonts w:ascii="Times New Roman" w:hAnsi="Times New Roman" w:cs="Courier New"/>
          <w:sz w:val="24"/>
          <w:lang w:val="en-AU"/>
        </w:rPr>
        <w:t xml:space="preserve"> </w:t>
      </w:r>
    </w:p>
    <w:p w:rsidR="00AC3D8A" w:rsidRPr="00294C70" w:rsidRDefault="00AC3D8A" w:rsidP="00C844CD">
      <w:pPr>
        <w:pStyle w:val="PlainText"/>
        <w:spacing w:line="480" w:lineRule="auto"/>
        <w:rPr>
          <w:rFonts w:ascii="Times New Roman" w:hAnsi="Times New Roman" w:cs="Courier New"/>
          <w:sz w:val="24"/>
          <w:lang w:val="en-AU"/>
        </w:rPr>
      </w:pPr>
      <w:r w:rsidRPr="002C65B3">
        <w:rPr>
          <w:rFonts w:ascii="Times New Roman" w:hAnsi="Times New Roman" w:cs="Courier New"/>
          <w:sz w:val="24"/>
          <w:lang w:val="en-AU"/>
        </w:rPr>
        <w:t>Underpinning the reasoning of Black CJ, Spender and Emmett JJ was the grounds that the</w:t>
      </w:r>
      <w:r w:rsidRPr="00294C70">
        <w:rPr>
          <w:rFonts w:ascii="Times New Roman" w:hAnsi="Times New Roman" w:cs="Courier New"/>
          <w:sz w:val="24"/>
          <w:lang w:val="en-AU"/>
        </w:rPr>
        <w:t xml:space="preserve"> unfavourable</w:t>
      </w:r>
      <w:r w:rsidRPr="002C65B3">
        <w:rPr>
          <w:rFonts w:ascii="Times New Roman" w:hAnsi="Times New Roman" w:cs="Courier New"/>
          <w:sz w:val="24"/>
          <w:lang w:val="en-AU"/>
        </w:rPr>
        <w:t xml:space="preserve"> conduct was based upon the dog’s</w:t>
      </w:r>
      <w:r w:rsidRPr="00294C70">
        <w:rPr>
          <w:rFonts w:ascii="Times New Roman" w:hAnsi="Times New Roman" w:cs="Courier New"/>
          <w:sz w:val="24"/>
          <w:lang w:val="en-AU"/>
        </w:rPr>
        <w:t xml:space="preserve"> misbehaviour</w:t>
      </w:r>
      <w:r w:rsidRPr="002C65B3">
        <w:rPr>
          <w:rFonts w:ascii="Times New Roman" w:hAnsi="Times New Roman" w:cs="Courier New"/>
          <w:sz w:val="24"/>
          <w:lang w:val="en-AU"/>
        </w:rPr>
        <w:t>.  If courts do not rigorously investigate and challenge the discriminator’s evidence and conclusions then there would be nothing stopping people in the future claiming they observed conduct which they regarded as unsafe.  The decision to exclude Forest was based upon observations of a Queensland Health employee.  The quality or accuracy of these observations was never challenged in court.  Was the employee an experienced dog handler or qualified to make a judgment on a dog’s apparent</w:t>
      </w:r>
      <w:r w:rsidRPr="00294C70">
        <w:rPr>
          <w:rFonts w:ascii="Times New Roman" w:hAnsi="Times New Roman" w:cs="Courier New"/>
          <w:sz w:val="24"/>
          <w:lang w:val="en-AU"/>
        </w:rPr>
        <w:t xml:space="preserve"> misbehaviour</w:t>
      </w:r>
      <w:r w:rsidRPr="002C65B3">
        <w:rPr>
          <w:rFonts w:ascii="Times New Roman" w:hAnsi="Times New Roman" w:cs="Courier New"/>
          <w:sz w:val="24"/>
          <w:lang w:val="en-AU"/>
        </w:rPr>
        <w:t>?  What did</w:t>
      </w:r>
      <w:r w:rsidRPr="00294C70">
        <w:rPr>
          <w:rFonts w:ascii="Times New Roman" w:hAnsi="Times New Roman" w:cs="Courier New"/>
          <w:sz w:val="24"/>
          <w:lang w:val="en-AU"/>
        </w:rPr>
        <w:t xml:space="preserve"> misbehaviour</w:t>
      </w:r>
      <w:r w:rsidRPr="002C65B3">
        <w:rPr>
          <w:rFonts w:ascii="Times New Roman" w:hAnsi="Times New Roman" w:cs="Courier New"/>
          <w:sz w:val="24"/>
          <w:lang w:val="en-AU"/>
        </w:rPr>
        <w:t xml:space="preserve"> constitute?  Was the dog simply acting playful</w:t>
      </w:r>
      <w:r>
        <w:rPr>
          <w:rFonts w:ascii="Times New Roman" w:hAnsi="Times New Roman" w:cs="Courier New"/>
          <w:sz w:val="24"/>
          <w:lang w:val="en-AU"/>
        </w:rPr>
        <w:t>ly</w:t>
      </w:r>
      <w:r w:rsidR="008A51DC">
        <w:rPr>
          <w:rFonts w:ascii="Times New Roman" w:hAnsi="Times New Roman" w:cs="Courier New"/>
          <w:sz w:val="24"/>
          <w:lang w:val="en-AU"/>
        </w:rPr>
        <w:t xml:space="preserve"> </w:t>
      </w:r>
      <w:r w:rsidRPr="002C65B3">
        <w:rPr>
          <w:rFonts w:ascii="Times New Roman" w:hAnsi="Times New Roman" w:cs="Courier New"/>
          <w:sz w:val="24"/>
          <w:lang w:val="en-AU"/>
        </w:rPr>
        <w:t xml:space="preserve">and </w:t>
      </w:r>
      <w:r w:rsidR="008A51DC">
        <w:rPr>
          <w:rFonts w:ascii="Times New Roman" w:hAnsi="Times New Roman" w:cs="Courier New"/>
          <w:sz w:val="24"/>
          <w:lang w:val="en-AU"/>
        </w:rPr>
        <w:t>posed no actual risk</w:t>
      </w:r>
      <w:r w:rsidRPr="002C65B3">
        <w:rPr>
          <w:rFonts w:ascii="Times New Roman" w:hAnsi="Times New Roman" w:cs="Courier New"/>
          <w:sz w:val="24"/>
          <w:lang w:val="en-AU"/>
        </w:rPr>
        <w:t xml:space="preserve">?  Did the Queensland Health employee have a phobia of dogs?  These important questions were not asked in the Forest case.  As a consequence the decision to exclude Forest could have been unjustified. </w:t>
      </w:r>
    </w:p>
    <w:p w:rsidR="00AC3D8A" w:rsidRPr="00294C70" w:rsidRDefault="00AC3D8A" w:rsidP="00C844CD">
      <w:pPr>
        <w:pStyle w:val="PlainText"/>
        <w:spacing w:line="480" w:lineRule="auto"/>
        <w:rPr>
          <w:rFonts w:ascii="Times New Roman" w:hAnsi="Times New Roman" w:cs="Courier New"/>
          <w:sz w:val="24"/>
          <w:lang w:val="en-AU"/>
        </w:rPr>
      </w:pPr>
    </w:p>
    <w:p w:rsidR="00AC3D8A" w:rsidRPr="00294C70" w:rsidRDefault="00AC3D8A" w:rsidP="00C844CD">
      <w:pPr>
        <w:pStyle w:val="PlainText"/>
        <w:spacing w:line="480" w:lineRule="auto"/>
        <w:rPr>
          <w:rFonts w:ascii="Times New Roman" w:hAnsi="Times New Roman" w:cs="Courier New"/>
          <w:sz w:val="24"/>
          <w:lang w:val="en-AU"/>
        </w:rPr>
      </w:pPr>
      <w:r w:rsidRPr="002C65B3">
        <w:rPr>
          <w:rFonts w:ascii="Times New Roman" w:hAnsi="Times New Roman" w:cs="Courier New"/>
          <w:sz w:val="24"/>
          <w:lang w:val="en-AU"/>
        </w:rPr>
        <w:lastRenderedPageBreak/>
        <w:t xml:space="preserve">The </w:t>
      </w:r>
      <w:r w:rsidRPr="008A51DC">
        <w:rPr>
          <w:rFonts w:ascii="Times New Roman" w:hAnsi="Times New Roman" w:cs="Courier New"/>
          <w:i/>
          <w:sz w:val="24"/>
          <w:lang w:val="en-AU"/>
        </w:rPr>
        <w:t>Disabilit</w:t>
      </w:r>
      <w:r w:rsidRPr="002C65B3">
        <w:rPr>
          <w:rFonts w:ascii="Times New Roman" w:hAnsi="Times New Roman" w:cs="Courier New"/>
          <w:i/>
          <w:sz w:val="24"/>
          <w:lang w:val="en-AU"/>
        </w:rPr>
        <w:t>y</w:t>
      </w:r>
      <w:r>
        <w:rPr>
          <w:rFonts w:ascii="Times New Roman" w:hAnsi="Times New Roman" w:cs="Courier New"/>
          <w:i/>
          <w:sz w:val="24"/>
          <w:lang w:val="en-AU"/>
        </w:rPr>
        <w:t xml:space="preserve"> D</w:t>
      </w:r>
      <w:r w:rsidRPr="002C65B3">
        <w:rPr>
          <w:rFonts w:ascii="Times New Roman" w:hAnsi="Times New Roman" w:cs="Courier New"/>
          <w:i/>
          <w:sz w:val="24"/>
          <w:lang w:val="en-AU"/>
        </w:rPr>
        <w:t xml:space="preserve">iscrimination and </w:t>
      </w:r>
      <w:r>
        <w:rPr>
          <w:rFonts w:ascii="Times New Roman" w:hAnsi="Times New Roman" w:cs="Courier New"/>
          <w:i/>
          <w:sz w:val="24"/>
          <w:lang w:val="en-AU"/>
        </w:rPr>
        <w:t>O</w:t>
      </w:r>
      <w:r w:rsidRPr="002C65B3">
        <w:rPr>
          <w:rFonts w:ascii="Times New Roman" w:hAnsi="Times New Roman" w:cs="Courier New"/>
          <w:i/>
          <w:sz w:val="24"/>
          <w:lang w:val="en-AU"/>
        </w:rPr>
        <w:t>ther</w:t>
      </w:r>
      <w:r>
        <w:rPr>
          <w:rFonts w:ascii="Times New Roman" w:hAnsi="Times New Roman" w:cs="Courier New"/>
          <w:i/>
          <w:sz w:val="24"/>
          <w:lang w:val="en-AU"/>
        </w:rPr>
        <w:t xml:space="preserve"> H</w:t>
      </w:r>
      <w:r w:rsidRPr="002C65B3">
        <w:rPr>
          <w:rFonts w:ascii="Times New Roman" w:hAnsi="Times New Roman" w:cs="Courier New"/>
          <w:i/>
          <w:sz w:val="24"/>
          <w:lang w:val="en-AU"/>
        </w:rPr>
        <w:t xml:space="preserve">uman </w:t>
      </w:r>
      <w:r>
        <w:rPr>
          <w:rFonts w:ascii="Times New Roman" w:hAnsi="Times New Roman" w:cs="Courier New"/>
          <w:i/>
          <w:sz w:val="24"/>
          <w:lang w:val="en-AU"/>
        </w:rPr>
        <w:t>R</w:t>
      </w:r>
      <w:r w:rsidRPr="002C65B3">
        <w:rPr>
          <w:rFonts w:ascii="Times New Roman" w:hAnsi="Times New Roman" w:cs="Courier New"/>
          <w:i/>
          <w:sz w:val="24"/>
          <w:lang w:val="en-AU"/>
        </w:rPr>
        <w:t xml:space="preserve">ights </w:t>
      </w:r>
      <w:r>
        <w:rPr>
          <w:rFonts w:ascii="Times New Roman" w:hAnsi="Times New Roman" w:cs="Courier New"/>
          <w:i/>
          <w:sz w:val="24"/>
          <w:lang w:val="en-AU"/>
        </w:rPr>
        <w:t>L</w:t>
      </w:r>
      <w:r w:rsidRPr="002C65B3">
        <w:rPr>
          <w:rFonts w:ascii="Times New Roman" w:hAnsi="Times New Roman" w:cs="Courier New"/>
          <w:i/>
          <w:sz w:val="24"/>
          <w:lang w:val="en-AU"/>
        </w:rPr>
        <w:t xml:space="preserve">egislation </w:t>
      </w:r>
      <w:r>
        <w:rPr>
          <w:rFonts w:ascii="Times New Roman" w:hAnsi="Times New Roman" w:cs="Courier New"/>
          <w:i/>
          <w:sz w:val="24"/>
          <w:lang w:val="en-AU"/>
        </w:rPr>
        <w:t>A</w:t>
      </w:r>
      <w:r w:rsidRPr="002C65B3">
        <w:rPr>
          <w:rFonts w:ascii="Times New Roman" w:hAnsi="Times New Roman" w:cs="Courier New"/>
          <w:i/>
          <w:sz w:val="24"/>
          <w:lang w:val="en-AU"/>
        </w:rPr>
        <w:t>mendment Act 2009</w:t>
      </w:r>
      <w:r w:rsidRPr="002C65B3">
        <w:rPr>
          <w:rFonts w:ascii="Times New Roman" w:hAnsi="Times New Roman" w:cs="Courier New"/>
          <w:sz w:val="24"/>
          <w:lang w:val="en-AU"/>
        </w:rPr>
        <w:t xml:space="preserve"> (</w:t>
      </w:r>
      <w:proofErr w:type="spellStart"/>
      <w:r w:rsidRPr="002C65B3">
        <w:rPr>
          <w:rFonts w:ascii="Times New Roman" w:hAnsi="Times New Roman" w:cs="Courier New"/>
          <w:sz w:val="24"/>
          <w:lang w:val="en-AU"/>
        </w:rPr>
        <w:t>Cth</w:t>
      </w:r>
      <w:proofErr w:type="spellEnd"/>
      <w:r w:rsidRPr="002C65B3">
        <w:rPr>
          <w:rFonts w:ascii="Times New Roman" w:hAnsi="Times New Roman" w:cs="Courier New"/>
          <w:sz w:val="24"/>
          <w:lang w:val="en-AU"/>
        </w:rPr>
        <w:t>) did not amend the operation of the comparator test.  The Standing Committee which was considering the Disability Discrimination and Other Human Rights Legislation Amendment Bill 2008 (</w:t>
      </w:r>
      <w:proofErr w:type="spellStart"/>
      <w:r w:rsidRPr="002C65B3">
        <w:rPr>
          <w:rFonts w:ascii="Times New Roman" w:hAnsi="Times New Roman" w:cs="Courier New"/>
          <w:sz w:val="24"/>
          <w:lang w:val="en-AU"/>
        </w:rPr>
        <w:t>Cth</w:t>
      </w:r>
      <w:proofErr w:type="spellEnd"/>
      <w:r w:rsidRPr="002C65B3">
        <w:rPr>
          <w:rFonts w:ascii="Times New Roman" w:hAnsi="Times New Roman" w:cs="Courier New"/>
          <w:sz w:val="24"/>
          <w:lang w:val="en-AU"/>
        </w:rPr>
        <w:t>) received considerable evidence that the comparator test was resulting in people being unable to prosecute genuine direct discrimination claims.</w:t>
      </w:r>
      <w:r w:rsidRPr="002C65B3">
        <w:rPr>
          <w:rStyle w:val="FootnoteReference"/>
          <w:rFonts w:ascii="Times New Roman" w:hAnsi="Times New Roman" w:cs="Courier New"/>
          <w:sz w:val="24"/>
          <w:lang w:val="en-AU"/>
        </w:rPr>
        <w:footnoteReference w:id="7"/>
      </w:r>
      <w:r w:rsidRPr="002C65B3">
        <w:rPr>
          <w:rFonts w:ascii="Times New Roman" w:hAnsi="Times New Roman" w:cs="Courier New"/>
          <w:sz w:val="24"/>
          <w:lang w:val="en-AU"/>
        </w:rPr>
        <w:t xml:space="preserve">  Despite this evidence the Standing Committee decided not to recommend the removal of the comparator test and proposed the continuation of the status quo.</w:t>
      </w:r>
      <w:r w:rsidRPr="002C65B3">
        <w:rPr>
          <w:rStyle w:val="FootnoteReference"/>
          <w:rFonts w:ascii="Times New Roman" w:hAnsi="Times New Roman" w:cs="Courier New"/>
          <w:sz w:val="24"/>
          <w:lang w:val="en-AU"/>
        </w:rPr>
        <w:footnoteReference w:id="8"/>
      </w:r>
      <w:r w:rsidRPr="002C65B3">
        <w:rPr>
          <w:rFonts w:ascii="Times New Roman" w:hAnsi="Times New Roman" w:cs="Courier New"/>
          <w:sz w:val="24"/>
          <w:lang w:val="en-AU"/>
        </w:rPr>
        <w:t xml:space="preserve">  </w:t>
      </w:r>
      <w:r w:rsidR="002F2754">
        <w:rPr>
          <w:rFonts w:ascii="Times New Roman" w:hAnsi="Times New Roman" w:cs="Courier New"/>
          <w:sz w:val="24"/>
          <w:lang w:val="en-AU"/>
        </w:rPr>
        <w:t>This submission</w:t>
      </w:r>
      <w:r w:rsidRPr="002C65B3">
        <w:rPr>
          <w:rFonts w:ascii="Times New Roman" w:hAnsi="Times New Roman" w:cs="Courier New"/>
          <w:sz w:val="24"/>
          <w:lang w:val="en-AU"/>
        </w:rPr>
        <w:t xml:space="preserve"> reiterates the arguments to the Standing Committee about the operation of the comparator test and argues that the application of the comparator, as interpreted in </w:t>
      </w:r>
      <w:r w:rsidRPr="002C65B3">
        <w:rPr>
          <w:rFonts w:ascii="Times New Roman" w:hAnsi="Times New Roman" w:cs="Courier New"/>
          <w:i/>
          <w:sz w:val="24"/>
          <w:lang w:val="en-AU"/>
        </w:rPr>
        <w:t>Purvis</w:t>
      </w:r>
      <w:r w:rsidRPr="002C65B3">
        <w:rPr>
          <w:rFonts w:ascii="Times New Roman" w:hAnsi="Times New Roman" w:cs="Courier New"/>
          <w:sz w:val="24"/>
          <w:lang w:val="en-AU"/>
        </w:rPr>
        <w:t>, is not consistent with the concept of disability discrimination in the CRPD.  The CRPD regards any negative treatment based upon an attribute of a person’s disability to constitute discrimination. In contrast to the</w:t>
      </w:r>
      <w:r w:rsidRPr="00294C70">
        <w:rPr>
          <w:rFonts w:ascii="Times New Roman" w:hAnsi="Times New Roman" w:cs="Courier New"/>
          <w:sz w:val="24"/>
          <w:lang w:val="en-AU"/>
        </w:rPr>
        <w:t xml:space="preserve"> C</w:t>
      </w:r>
      <w:r>
        <w:rPr>
          <w:rFonts w:ascii="Times New Roman" w:hAnsi="Times New Roman" w:cs="Courier New"/>
          <w:sz w:val="24"/>
          <w:lang w:val="en-AU"/>
        </w:rPr>
        <w:t>R</w:t>
      </w:r>
      <w:r w:rsidRPr="00294C70">
        <w:rPr>
          <w:rFonts w:ascii="Times New Roman" w:hAnsi="Times New Roman" w:cs="Courier New"/>
          <w:sz w:val="24"/>
          <w:lang w:val="en-AU"/>
        </w:rPr>
        <w:t>PD</w:t>
      </w:r>
      <w:r w:rsidRPr="002C65B3">
        <w:rPr>
          <w:rFonts w:ascii="Times New Roman" w:hAnsi="Times New Roman" w:cs="Courier New"/>
          <w:sz w:val="24"/>
          <w:lang w:val="en-AU"/>
        </w:rPr>
        <w:t xml:space="preserve">, the comparator test as interpreted by </w:t>
      </w:r>
      <w:r w:rsidRPr="002C65B3">
        <w:rPr>
          <w:rFonts w:ascii="Times New Roman" w:hAnsi="Times New Roman" w:cs="Courier New"/>
          <w:i/>
          <w:sz w:val="24"/>
          <w:lang w:val="en-AU"/>
        </w:rPr>
        <w:t>Purvis</w:t>
      </w:r>
      <w:r w:rsidRPr="002C65B3">
        <w:rPr>
          <w:rFonts w:ascii="Times New Roman" w:hAnsi="Times New Roman" w:cs="Courier New"/>
          <w:sz w:val="24"/>
          <w:lang w:val="en-AU"/>
        </w:rPr>
        <w:t xml:space="preserve"> provides that</w:t>
      </w:r>
      <w:r w:rsidRPr="00294C70">
        <w:rPr>
          <w:rFonts w:ascii="Times New Roman" w:hAnsi="Times New Roman" w:cs="Courier New"/>
          <w:sz w:val="24"/>
          <w:lang w:val="en-AU"/>
        </w:rPr>
        <w:t xml:space="preserve"> unfavourable</w:t>
      </w:r>
      <w:r w:rsidRPr="002C65B3">
        <w:rPr>
          <w:rFonts w:ascii="Times New Roman" w:hAnsi="Times New Roman" w:cs="Courier New"/>
          <w:sz w:val="24"/>
          <w:lang w:val="en-AU"/>
        </w:rPr>
        <w:t xml:space="preserve"> treatment based upon an attribute does not necessarily constitute disability discrimination.  This means even though </w:t>
      </w:r>
      <w:r w:rsidRPr="002C65B3">
        <w:rPr>
          <w:rFonts w:ascii="Times New Roman" w:hAnsi="Times New Roman" w:cs="Courier New"/>
          <w:i/>
          <w:sz w:val="24"/>
          <w:lang w:val="en-AU"/>
        </w:rPr>
        <w:t xml:space="preserve">DDA </w:t>
      </w:r>
      <w:r w:rsidRPr="002C65B3">
        <w:rPr>
          <w:rFonts w:ascii="Times New Roman" w:hAnsi="Times New Roman" w:cs="Courier New"/>
          <w:sz w:val="24"/>
          <w:lang w:val="en-AU"/>
        </w:rPr>
        <w:t xml:space="preserve">s 8(1) provides that the </w:t>
      </w:r>
      <w:r w:rsidRPr="002C65B3">
        <w:rPr>
          <w:rFonts w:ascii="Times New Roman" w:hAnsi="Times New Roman" w:cs="Courier New"/>
          <w:i/>
          <w:sz w:val="24"/>
          <w:lang w:val="en-AU"/>
        </w:rPr>
        <w:t xml:space="preserve">DDA </w:t>
      </w:r>
      <w:r w:rsidRPr="002C65B3">
        <w:rPr>
          <w:rFonts w:ascii="Times New Roman" w:hAnsi="Times New Roman" w:cs="Courier New"/>
          <w:sz w:val="24"/>
          <w:lang w:val="en-AU"/>
        </w:rPr>
        <w:t xml:space="preserve">‘applies in relation to having a </w:t>
      </w:r>
      <w:proofErr w:type="spellStart"/>
      <w:r w:rsidRPr="002C65B3">
        <w:rPr>
          <w:rFonts w:ascii="Times New Roman" w:hAnsi="Times New Roman" w:cs="Courier New"/>
          <w:sz w:val="24"/>
          <w:lang w:val="en-AU"/>
        </w:rPr>
        <w:t>carer</w:t>
      </w:r>
      <w:proofErr w:type="spellEnd"/>
      <w:r w:rsidRPr="002C65B3">
        <w:rPr>
          <w:rFonts w:ascii="Times New Roman" w:hAnsi="Times New Roman" w:cs="Courier New"/>
          <w:sz w:val="24"/>
          <w:lang w:val="en-AU"/>
        </w:rPr>
        <w:t xml:space="preserve">, assistant, assistance animal or disability aid in the same way as it applies in relation to having a disability’ this does not mean discrimination based upon an assistance animal will be unlawful.  In </w:t>
      </w:r>
      <w:r w:rsidRPr="002C65B3">
        <w:rPr>
          <w:rFonts w:ascii="Times New Roman" w:hAnsi="Times New Roman" w:cs="Courier New"/>
          <w:i/>
          <w:sz w:val="24"/>
          <w:lang w:val="en-AU"/>
        </w:rPr>
        <w:t>Purvis</w:t>
      </w:r>
      <w:r w:rsidRPr="002C65B3">
        <w:rPr>
          <w:rFonts w:ascii="Times New Roman" w:hAnsi="Times New Roman" w:cs="Courier New"/>
          <w:sz w:val="24"/>
          <w:lang w:val="en-AU"/>
        </w:rPr>
        <w:t xml:space="preserve"> the treatment was based upon behavio</w:t>
      </w:r>
      <w:r>
        <w:rPr>
          <w:rFonts w:ascii="Times New Roman" w:hAnsi="Times New Roman" w:cs="Courier New"/>
          <w:sz w:val="24"/>
          <w:lang w:val="en-AU"/>
        </w:rPr>
        <w:t>u</w:t>
      </w:r>
      <w:r w:rsidRPr="002C65B3">
        <w:rPr>
          <w:rFonts w:ascii="Times New Roman" w:hAnsi="Times New Roman" w:cs="Courier New"/>
          <w:sz w:val="24"/>
          <w:lang w:val="en-AU"/>
        </w:rPr>
        <w:t xml:space="preserve">r which was caused by a disability.  In </w:t>
      </w:r>
      <w:r w:rsidRPr="002C65B3">
        <w:rPr>
          <w:rFonts w:ascii="Times New Roman" w:hAnsi="Times New Roman" w:cs="Courier New"/>
          <w:i/>
          <w:sz w:val="24"/>
          <w:lang w:val="en-AU"/>
        </w:rPr>
        <w:t>Forest</w:t>
      </w:r>
      <w:r w:rsidRPr="002C65B3">
        <w:rPr>
          <w:rFonts w:ascii="Times New Roman" w:hAnsi="Times New Roman" w:cs="Courier New"/>
          <w:sz w:val="24"/>
          <w:lang w:val="en-AU"/>
        </w:rPr>
        <w:t xml:space="preserve"> the treatment was based upon the alleged conduct of dogs.  Under the new </w:t>
      </w:r>
      <w:r w:rsidRPr="002C65B3">
        <w:rPr>
          <w:rFonts w:ascii="Times New Roman" w:hAnsi="Times New Roman" w:cs="Courier New"/>
          <w:i/>
          <w:sz w:val="24"/>
          <w:lang w:val="en-AU"/>
        </w:rPr>
        <w:t xml:space="preserve">DDA </w:t>
      </w:r>
      <w:proofErr w:type="spellStart"/>
      <w:r w:rsidRPr="002C65B3">
        <w:rPr>
          <w:rFonts w:ascii="Times New Roman" w:hAnsi="Times New Roman" w:cs="Courier New"/>
          <w:sz w:val="24"/>
          <w:lang w:val="en-AU"/>
        </w:rPr>
        <w:t>ss</w:t>
      </w:r>
      <w:proofErr w:type="spellEnd"/>
      <w:r w:rsidRPr="002C65B3">
        <w:rPr>
          <w:rFonts w:ascii="Times New Roman" w:hAnsi="Times New Roman" w:cs="Courier New"/>
          <w:sz w:val="24"/>
          <w:lang w:val="en-AU"/>
        </w:rPr>
        <w:t xml:space="preserve"> 5, 8 and 9 the comparator test can still </w:t>
      </w:r>
      <w:proofErr w:type="gramStart"/>
      <w:r w:rsidRPr="002C65B3">
        <w:rPr>
          <w:rFonts w:ascii="Times New Roman" w:hAnsi="Times New Roman" w:cs="Courier New"/>
          <w:sz w:val="24"/>
          <w:lang w:val="en-AU"/>
        </w:rPr>
        <w:t>be</w:t>
      </w:r>
      <w:proofErr w:type="gramEnd"/>
      <w:r w:rsidRPr="002C65B3">
        <w:rPr>
          <w:rFonts w:ascii="Times New Roman" w:hAnsi="Times New Roman" w:cs="Courier New"/>
          <w:sz w:val="24"/>
          <w:lang w:val="en-AU"/>
        </w:rPr>
        <w:t xml:space="preserve"> used to exclude people for attributes of their disability such as the alleged conduct of a guide or assistance dog.  </w:t>
      </w:r>
      <w:r w:rsidR="002F2754">
        <w:rPr>
          <w:rFonts w:ascii="Times New Roman" w:hAnsi="Times New Roman" w:cs="Courier New"/>
          <w:sz w:val="24"/>
          <w:lang w:val="en-AU"/>
        </w:rPr>
        <w:t>This submission</w:t>
      </w:r>
      <w:r w:rsidRPr="002C65B3">
        <w:rPr>
          <w:rFonts w:ascii="Times New Roman" w:hAnsi="Times New Roman" w:cs="Courier New"/>
          <w:sz w:val="24"/>
          <w:lang w:val="en-AU"/>
        </w:rPr>
        <w:t xml:space="preserve"> submits that the comparator test in the DDA should be amended to reflect the CRPD so that genuine direct discrimination claims to be successfully prosecuted.</w:t>
      </w:r>
    </w:p>
    <w:p w:rsidR="00AC3D8A" w:rsidRPr="00294C70" w:rsidRDefault="00AC3D8A" w:rsidP="00C844CD">
      <w:pPr>
        <w:pStyle w:val="PlainText"/>
        <w:spacing w:line="480" w:lineRule="auto"/>
        <w:rPr>
          <w:rFonts w:ascii="Times New Roman" w:hAnsi="Times New Roman" w:cs="Courier New"/>
          <w:sz w:val="24"/>
          <w:lang w:val="en-AU"/>
        </w:rPr>
      </w:pPr>
    </w:p>
    <w:p w:rsidR="00AC3D8A" w:rsidRPr="00294C70" w:rsidRDefault="00AC3D8A" w:rsidP="00C844CD">
      <w:pPr>
        <w:pStyle w:val="PlainText"/>
        <w:spacing w:line="480" w:lineRule="auto"/>
        <w:rPr>
          <w:rFonts w:ascii="Times New Roman" w:hAnsi="Times New Roman" w:cs="Courier New"/>
          <w:sz w:val="24"/>
          <w:lang w:val="en-AU"/>
        </w:rPr>
      </w:pPr>
      <w:r w:rsidRPr="002C65B3">
        <w:rPr>
          <w:rFonts w:ascii="Times New Roman" w:hAnsi="Times New Roman" w:cs="Courier New"/>
          <w:sz w:val="24"/>
          <w:lang w:val="en-AU"/>
        </w:rPr>
        <w:t xml:space="preserve">The continuing use of the comparator test and the </w:t>
      </w:r>
      <w:r w:rsidRPr="002C65B3">
        <w:rPr>
          <w:rFonts w:ascii="Times New Roman" w:hAnsi="Times New Roman" w:cs="Courier New"/>
          <w:i/>
          <w:sz w:val="24"/>
          <w:lang w:val="en-AU"/>
        </w:rPr>
        <w:t>Forest</w:t>
      </w:r>
      <w:r w:rsidRPr="002C65B3">
        <w:rPr>
          <w:rFonts w:ascii="Times New Roman" w:hAnsi="Times New Roman" w:cs="Courier New"/>
          <w:sz w:val="24"/>
          <w:lang w:val="en-AU"/>
        </w:rPr>
        <w:t xml:space="preserve"> decision has serious implications for persons who use guide or assistance dogs.  While </w:t>
      </w:r>
      <w:r w:rsidRPr="002C65B3">
        <w:rPr>
          <w:rFonts w:ascii="Times New Roman" w:hAnsi="Times New Roman" w:cs="Courier New"/>
          <w:i/>
          <w:sz w:val="24"/>
          <w:lang w:val="en-AU"/>
        </w:rPr>
        <w:t>Forest</w:t>
      </w:r>
      <w:r w:rsidRPr="002C65B3">
        <w:rPr>
          <w:rFonts w:ascii="Times New Roman" w:hAnsi="Times New Roman" w:cs="Courier New"/>
          <w:sz w:val="24"/>
          <w:lang w:val="en-AU"/>
        </w:rPr>
        <w:t xml:space="preserve"> concerned an assistance dog, the decision is equally applicable to persons using guide dogs.  It is foreseeable that people who are innately scared of dogs may feel </w:t>
      </w:r>
      <w:r w:rsidRPr="002C65B3">
        <w:rPr>
          <w:rFonts w:ascii="Times New Roman" w:hAnsi="Times New Roman" w:cs="Courier New"/>
          <w:sz w:val="24"/>
          <w:lang w:val="en-AU"/>
        </w:rPr>
        <w:lastRenderedPageBreak/>
        <w:t xml:space="preserve">threatened by a guide or assistance dog where that dog is well behaved and is not demonstrating any aggressive behaviour.  The comparator test does not consider whether or not the decision of the alleged discriminator was reasonable.  The test simply asks if the discrimination was based upon a disability or upon the dogs' alleged misconduct.  It is submitted that whether or not a guide or assistance dog is misbehaving is immaterial to whether or not the person has been discriminated against.  Even if the dog is a risk to hygiene this should not be relevant for the comparator test.  The comparator test should focus upon the question of whether or not discrimination had occurred and then the onus should shift so the discriminator is required to defend their conduct under </w:t>
      </w:r>
      <w:r w:rsidRPr="002C65B3">
        <w:rPr>
          <w:rFonts w:ascii="Times New Roman" w:hAnsi="Times New Roman" w:cs="Courier New"/>
          <w:i/>
          <w:sz w:val="24"/>
          <w:lang w:val="en-AU"/>
        </w:rPr>
        <w:t xml:space="preserve">DDA </w:t>
      </w:r>
      <w:r w:rsidRPr="002C65B3">
        <w:rPr>
          <w:rFonts w:ascii="Times New Roman" w:hAnsi="Times New Roman" w:cs="Courier New"/>
          <w:sz w:val="24"/>
          <w:lang w:val="en-AU"/>
        </w:rPr>
        <w:t>s 54A.</w:t>
      </w:r>
    </w:p>
    <w:p w:rsidR="00AC3D8A" w:rsidRPr="00294C70" w:rsidRDefault="00AC3D8A" w:rsidP="00C844CD">
      <w:pPr>
        <w:pStyle w:val="PlainText"/>
        <w:spacing w:line="480" w:lineRule="auto"/>
        <w:rPr>
          <w:rFonts w:ascii="Times New Roman" w:hAnsi="Times New Roman" w:cs="Courier New"/>
          <w:sz w:val="24"/>
          <w:lang w:val="en-AU"/>
        </w:rPr>
      </w:pPr>
    </w:p>
    <w:p w:rsidR="00AC3D8A" w:rsidRPr="00294C70" w:rsidRDefault="00AC3D8A" w:rsidP="00C844CD">
      <w:pPr>
        <w:pStyle w:val="PlainText"/>
        <w:spacing w:line="480" w:lineRule="auto"/>
        <w:rPr>
          <w:rFonts w:ascii="Times New Roman" w:hAnsi="Times New Roman" w:cs="Courier New"/>
          <w:sz w:val="24"/>
          <w:lang w:val="en-AU"/>
        </w:rPr>
      </w:pPr>
      <w:r w:rsidRPr="002C65B3">
        <w:rPr>
          <w:rFonts w:ascii="Times New Roman" w:hAnsi="Times New Roman" w:cs="Courier New"/>
          <w:i/>
          <w:sz w:val="24"/>
          <w:lang w:val="en-AU"/>
        </w:rPr>
        <w:t xml:space="preserve">DDA s </w:t>
      </w:r>
      <w:r w:rsidRPr="002C65B3">
        <w:rPr>
          <w:rFonts w:ascii="Times New Roman" w:hAnsi="Times New Roman" w:cs="Courier New"/>
          <w:sz w:val="24"/>
          <w:lang w:val="en-AU"/>
        </w:rPr>
        <w:t xml:space="preserve">54A contains circumstances where direct discrimination against guide and assistance dogs is lawful.  Section </w:t>
      </w:r>
      <w:proofErr w:type="gramStart"/>
      <w:r w:rsidRPr="002C65B3">
        <w:rPr>
          <w:rFonts w:ascii="Times New Roman" w:hAnsi="Times New Roman" w:cs="Courier New"/>
          <w:sz w:val="24"/>
          <w:lang w:val="en-AU"/>
        </w:rPr>
        <w:t>54A(</w:t>
      </w:r>
      <w:proofErr w:type="gramEnd"/>
      <w:r w:rsidRPr="002C65B3">
        <w:rPr>
          <w:rFonts w:ascii="Times New Roman" w:hAnsi="Times New Roman" w:cs="Courier New"/>
          <w:sz w:val="24"/>
          <w:lang w:val="en-AU"/>
        </w:rPr>
        <w:t xml:space="preserve">2) permits a person to require that a guide or assistance dog remains under the control of their handler or a person who is accompanying the person with a disability.  Section </w:t>
      </w:r>
      <w:proofErr w:type="gramStart"/>
      <w:r w:rsidRPr="002C65B3">
        <w:rPr>
          <w:rFonts w:ascii="Times New Roman" w:hAnsi="Times New Roman" w:cs="Courier New"/>
          <w:sz w:val="24"/>
          <w:lang w:val="en-AU"/>
        </w:rPr>
        <w:t>54A(</w:t>
      </w:r>
      <w:proofErr w:type="gramEnd"/>
      <w:r w:rsidRPr="002C65B3">
        <w:rPr>
          <w:rFonts w:ascii="Times New Roman" w:hAnsi="Times New Roman" w:cs="Courier New"/>
          <w:sz w:val="24"/>
          <w:lang w:val="en-AU"/>
        </w:rPr>
        <w:t xml:space="preserve">4) then permits discrimination against a guide or assistance dog where the discriminator ‘reasonably suspects that the assistance animal has an infectious disease … and the discrimination is reasonably necessary to protect public health or the health of other animals.’  If a person believes the guide or assistance dog is a threat then </w:t>
      </w:r>
      <w:proofErr w:type="spellStart"/>
      <w:r w:rsidRPr="002C65B3">
        <w:rPr>
          <w:rFonts w:ascii="Times New Roman" w:hAnsi="Times New Roman" w:cs="Courier New"/>
          <w:sz w:val="24"/>
          <w:lang w:val="en-AU"/>
        </w:rPr>
        <w:t>ss</w:t>
      </w:r>
      <w:proofErr w:type="spellEnd"/>
      <w:r w:rsidRPr="002C65B3">
        <w:rPr>
          <w:rFonts w:ascii="Times New Roman" w:hAnsi="Times New Roman" w:cs="Courier New"/>
          <w:sz w:val="24"/>
          <w:lang w:val="en-AU"/>
        </w:rPr>
        <w:t xml:space="preserve"> </w:t>
      </w:r>
      <w:proofErr w:type="gramStart"/>
      <w:r w:rsidRPr="002C65B3">
        <w:rPr>
          <w:rFonts w:ascii="Times New Roman" w:hAnsi="Times New Roman" w:cs="Courier New"/>
          <w:sz w:val="24"/>
          <w:lang w:val="en-AU"/>
        </w:rPr>
        <w:t>54A(</w:t>
      </w:r>
      <w:proofErr w:type="gramEnd"/>
      <w:r w:rsidRPr="002C65B3">
        <w:rPr>
          <w:rFonts w:ascii="Times New Roman" w:hAnsi="Times New Roman" w:cs="Courier New"/>
          <w:sz w:val="24"/>
          <w:lang w:val="en-AU"/>
        </w:rPr>
        <w:t>5) and (6) permit a person to require the person with a disability to produce evidence that:</w:t>
      </w:r>
    </w:p>
    <w:p w:rsidR="00AC3D8A" w:rsidRPr="00294C70" w:rsidRDefault="00AC3D8A" w:rsidP="00C844CD">
      <w:pPr>
        <w:pStyle w:val="PlainText"/>
        <w:spacing w:line="480" w:lineRule="auto"/>
        <w:rPr>
          <w:rFonts w:ascii="Times New Roman" w:hAnsi="Times New Roman" w:cs="Courier New"/>
          <w:sz w:val="24"/>
          <w:lang w:val="en-AU"/>
        </w:rPr>
      </w:pPr>
    </w:p>
    <w:p w:rsidR="00AC3D8A" w:rsidRPr="00294C70" w:rsidRDefault="00AC3D8A" w:rsidP="00C844CD">
      <w:pPr>
        <w:pStyle w:val="PlainText"/>
        <w:numPr>
          <w:ilvl w:val="0"/>
          <w:numId w:val="1"/>
        </w:numPr>
        <w:spacing w:line="480" w:lineRule="auto"/>
        <w:rPr>
          <w:rFonts w:ascii="Times New Roman" w:hAnsi="Times New Roman" w:cs="Courier New"/>
          <w:sz w:val="24"/>
          <w:lang w:val="en-AU"/>
        </w:rPr>
      </w:pPr>
      <w:r w:rsidRPr="002C65B3">
        <w:rPr>
          <w:rFonts w:ascii="Times New Roman" w:hAnsi="Times New Roman" w:cs="Courier New"/>
          <w:sz w:val="24"/>
          <w:lang w:val="en-AU"/>
        </w:rPr>
        <w:t xml:space="preserve">the animal is an assistance animal; or </w:t>
      </w:r>
    </w:p>
    <w:p w:rsidR="00AC3D8A" w:rsidRPr="00294C70" w:rsidRDefault="00AC3D8A" w:rsidP="00C844CD">
      <w:pPr>
        <w:pStyle w:val="PlainText"/>
        <w:numPr>
          <w:ilvl w:val="0"/>
          <w:numId w:val="1"/>
        </w:numPr>
        <w:spacing w:line="480" w:lineRule="auto"/>
        <w:rPr>
          <w:rFonts w:ascii="Times New Roman" w:hAnsi="Times New Roman" w:cs="Courier New"/>
          <w:sz w:val="24"/>
          <w:lang w:val="en-AU"/>
        </w:rPr>
      </w:pPr>
      <w:proofErr w:type="gramStart"/>
      <w:r w:rsidRPr="002C65B3">
        <w:rPr>
          <w:rFonts w:ascii="Times New Roman" w:hAnsi="Times New Roman" w:cs="Courier New"/>
          <w:sz w:val="24"/>
          <w:lang w:val="en-AU"/>
        </w:rPr>
        <w:t>the</w:t>
      </w:r>
      <w:proofErr w:type="gramEnd"/>
      <w:r w:rsidRPr="002C65B3">
        <w:rPr>
          <w:rFonts w:ascii="Times New Roman" w:hAnsi="Times New Roman" w:cs="Courier New"/>
          <w:sz w:val="24"/>
          <w:lang w:val="en-AU"/>
        </w:rPr>
        <w:t xml:space="preserve"> animal is trained to meet standards of hygiene and behaviour that are appropriate for an animal in a public place.</w:t>
      </w:r>
    </w:p>
    <w:p w:rsidR="00AC3D8A" w:rsidRPr="00294C70" w:rsidRDefault="00AC3D8A" w:rsidP="00C844CD">
      <w:pPr>
        <w:pStyle w:val="PlainText"/>
        <w:spacing w:line="480" w:lineRule="auto"/>
        <w:rPr>
          <w:rFonts w:ascii="Times New Roman" w:hAnsi="Times New Roman" w:cs="Courier New"/>
          <w:sz w:val="24"/>
          <w:lang w:val="en-AU"/>
        </w:rPr>
      </w:pPr>
    </w:p>
    <w:p w:rsidR="00AC3D8A" w:rsidRPr="00294C70" w:rsidRDefault="00AC3D8A" w:rsidP="00C844CD">
      <w:pPr>
        <w:pStyle w:val="PlainText"/>
        <w:spacing w:line="480" w:lineRule="auto"/>
        <w:rPr>
          <w:rFonts w:ascii="Times New Roman" w:hAnsi="Times New Roman" w:cs="Courier New"/>
          <w:sz w:val="24"/>
          <w:lang w:val="en-AU"/>
        </w:rPr>
      </w:pPr>
      <w:r w:rsidRPr="002C65B3">
        <w:rPr>
          <w:rFonts w:ascii="Times New Roman" w:hAnsi="Times New Roman" w:cs="Courier New"/>
          <w:sz w:val="24"/>
          <w:lang w:val="en-AU"/>
        </w:rPr>
        <w:t>If the person with a disability does not produce such evidence then it is lawful to discriminate against them.</w:t>
      </w:r>
    </w:p>
    <w:p w:rsidR="00AC3D8A" w:rsidRPr="00294C70" w:rsidRDefault="00AC3D8A" w:rsidP="00C844CD">
      <w:pPr>
        <w:pStyle w:val="PlainText"/>
        <w:spacing w:line="480" w:lineRule="auto"/>
        <w:rPr>
          <w:rFonts w:ascii="Times New Roman" w:hAnsi="Times New Roman" w:cs="Courier New"/>
          <w:sz w:val="24"/>
          <w:lang w:val="en-AU"/>
        </w:rPr>
      </w:pPr>
    </w:p>
    <w:p w:rsidR="00AC3D8A" w:rsidRDefault="00AC3D8A" w:rsidP="00C844CD">
      <w:pPr>
        <w:pStyle w:val="PlainText"/>
        <w:spacing w:line="480" w:lineRule="auto"/>
        <w:rPr>
          <w:rFonts w:ascii="Times New Roman" w:hAnsi="Times New Roman" w:cs="Courier New"/>
          <w:sz w:val="24"/>
          <w:lang w:val="en-AU"/>
        </w:rPr>
      </w:pPr>
      <w:r w:rsidRPr="002C65B3">
        <w:rPr>
          <w:rFonts w:ascii="Times New Roman" w:hAnsi="Times New Roman" w:cs="Courier New"/>
          <w:sz w:val="24"/>
          <w:lang w:val="en-AU"/>
        </w:rPr>
        <w:t xml:space="preserve">The comparator test is intended to determine whether a person has suffered unfavourable treatment due to their disability.  </w:t>
      </w:r>
      <w:r w:rsidR="002F2754">
        <w:rPr>
          <w:rFonts w:ascii="Times New Roman" w:hAnsi="Times New Roman" w:cs="Courier New"/>
          <w:sz w:val="24"/>
          <w:lang w:val="en-AU"/>
        </w:rPr>
        <w:t>This submission</w:t>
      </w:r>
      <w:r w:rsidRPr="002C65B3">
        <w:rPr>
          <w:rFonts w:ascii="Times New Roman" w:hAnsi="Times New Roman" w:cs="Courier New"/>
          <w:sz w:val="24"/>
          <w:lang w:val="en-AU"/>
        </w:rPr>
        <w:t xml:space="preserve"> argues that the inclusion of additional factors into this assessment distorts </w:t>
      </w:r>
      <w:r w:rsidRPr="002C65B3">
        <w:rPr>
          <w:rFonts w:ascii="Times New Roman" w:hAnsi="Times New Roman" w:cs="Courier New"/>
          <w:sz w:val="24"/>
          <w:lang w:val="en-AU"/>
        </w:rPr>
        <w:lastRenderedPageBreak/>
        <w:t xml:space="preserve">the test for disability discrimination.  If a person directly discriminates against a person because they are accompanied by a guide or assistance dog then it is reasonable for the onus to shift to the alleged discriminator to defend their conduct under </w:t>
      </w:r>
      <w:r w:rsidRPr="002C65B3">
        <w:rPr>
          <w:rFonts w:ascii="Times New Roman" w:hAnsi="Times New Roman" w:cs="Courier New"/>
          <w:i/>
          <w:sz w:val="24"/>
          <w:lang w:val="en-AU"/>
        </w:rPr>
        <w:t>DDA</w:t>
      </w:r>
      <w:r w:rsidRPr="002C65B3">
        <w:rPr>
          <w:rFonts w:ascii="Times New Roman" w:hAnsi="Times New Roman" w:cs="Courier New"/>
          <w:sz w:val="24"/>
          <w:lang w:val="en-AU"/>
        </w:rPr>
        <w:t xml:space="preserve"> s 54A.  This approach of having a wide definition of disability discrimination and placing other factors in exceptions to the prohibition against discrimination reflects the approach in the CRPD.  The Federal Government should urgently review the operation of the comparator test in the </w:t>
      </w:r>
      <w:r w:rsidRPr="002C65B3">
        <w:rPr>
          <w:rFonts w:ascii="Times New Roman" w:hAnsi="Times New Roman" w:cs="Courier New"/>
          <w:i/>
          <w:sz w:val="24"/>
          <w:lang w:val="en-AU"/>
        </w:rPr>
        <w:t>DDA</w:t>
      </w:r>
      <w:r w:rsidRPr="002C65B3">
        <w:rPr>
          <w:rFonts w:ascii="Times New Roman" w:hAnsi="Times New Roman" w:cs="Courier New"/>
          <w:sz w:val="24"/>
          <w:lang w:val="en-AU"/>
        </w:rPr>
        <w:t xml:space="preserve"> and consider amending the comparator test. </w:t>
      </w:r>
    </w:p>
    <w:p w:rsidR="00826287" w:rsidRDefault="00826287" w:rsidP="00C844CD">
      <w:pPr>
        <w:pStyle w:val="PlainText"/>
        <w:spacing w:line="480" w:lineRule="auto"/>
        <w:rPr>
          <w:rFonts w:ascii="Times New Roman" w:hAnsi="Times New Roman" w:cs="Courier New"/>
          <w:sz w:val="24"/>
          <w:lang w:val="en-AU"/>
        </w:rPr>
      </w:pPr>
    </w:p>
    <w:p w:rsidR="00826287" w:rsidRDefault="00826287" w:rsidP="00C844CD">
      <w:pPr>
        <w:pStyle w:val="PlainText"/>
        <w:spacing w:line="480" w:lineRule="auto"/>
        <w:jc w:val="center"/>
        <w:rPr>
          <w:rFonts w:ascii="Times New Roman" w:hAnsi="Times New Roman" w:cs="Courier New"/>
          <w:i/>
          <w:sz w:val="24"/>
          <w:lang w:val="en-AU"/>
        </w:rPr>
      </w:pPr>
      <w:r>
        <w:rPr>
          <w:rFonts w:ascii="Times New Roman" w:hAnsi="Times New Roman" w:cs="Courier New"/>
          <w:i/>
          <w:sz w:val="24"/>
          <w:lang w:val="en-AU"/>
        </w:rPr>
        <w:t>Expertise in Disability Laws</w:t>
      </w:r>
    </w:p>
    <w:p w:rsidR="00826287" w:rsidRDefault="00826287" w:rsidP="00C844CD">
      <w:pPr>
        <w:pStyle w:val="PlainText"/>
        <w:spacing w:line="480" w:lineRule="auto"/>
        <w:jc w:val="center"/>
        <w:rPr>
          <w:rFonts w:ascii="Times New Roman" w:hAnsi="Times New Roman" w:cs="Courier New"/>
          <w:i/>
          <w:sz w:val="24"/>
          <w:lang w:val="en-AU"/>
        </w:rPr>
      </w:pPr>
    </w:p>
    <w:p w:rsidR="00DC098D" w:rsidRDefault="00C03BAE" w:rsidP="00C844CD">
      <w:pPr>
        <w:pStyle w:val="PlainText"/>
        <w:spacing w:line="480" w:lineRule="auto"/>
        <w:rPr>
          <w:rFonts w:ascii="Times New Roman" w:hAnsi="Times New Roman" w:cs="Courier New"/>
          <w:sz w:val="24"/>
        </w:rPr>
      </w:pPr>
      <w:r>
        <w:rPr>
          <w:rFonts w:ascii="Times New Roman" w:hAnsi="Times New Roman" w:cs="Courier New"/>
          <w:sz w:val="24"/>
        </w:rPr>
        <w:t>My expertise surrounding disability discrimination laws comes from pers</w:t>
      </w:r>
      <w:r w:rsidR="008A51DC">
        <w:rPr>
          <w:rFonts w:ascii="Times New Roman" w:hAnsi="Times New Roman" w:cs="Courier New"/>
          <w:sz w:val="24"/>
        </w:rPr>
        <w:t xml:space="preserve">onal experiences as a guide dog </w:t>
      </w:r>
      <w:r>
        <w:rPr>
          <w:rFonts w:ascii="Times New Roman" w:hAnsi="Times New Roman" w:cs="Courier New"/>
          <w:sz w:val="24"/>
        </w:rPr>
        <w:t xml:space="preserve">user and as </w:t>
      </w:r>
      <w:r w:rsidR="008A51DC">
        <w:rPr>
          <w:rFonts w:ascii="Times New Roman" w:hAnsi="Times New Roman" w:cs="Courier New"/>
          <w:sz w:val="24"/>
        </w:rPr>
        <w:t>an</w:t>
      </w:r>
      <w:r>
        <w:rPr>
          <w:rFonts w:ascii="Times New Roman" w:hAnsi="Times New Roman" w:cs="Courier New"/>
          <w:sz w:val="24"/>
        </w:rPr>
        <w:t xml:space="preserve"> academic lawyer.</w:t>
      </w:r>
      <w:r w:rsidR="008A51DC">
        <w:rPr>
          <w:rFonts w:ascii="Times New Roman" w:hAnsi="Times New Roman" w:cs="Courier New"/>
          <w:sz w:val="24"/>
        </w:rPr>
        <w:t xml:space="preserve"> </w:t>
      </w:r>
      <w:r>
        <w:rPr>
          <w:rFonts w:ascii="Times New Roman" w:hAnsi="Times New Roman" w:cs="Courier New"/>
          <w:sz w:val="24"/>
        </w:rPr>
        <w:t xml:space="preserve">Most guide dog users have experienced direct discrimination due to their guide dog.  Taxis, restaurants, hotels and bars have all discriminated over the years.  As a lawyer I am equipped to resolve most matters.  I have personally experienced the same issues that were raised against Forest in the above example.  </w:t>
      </w:r>
      <w:r w:rsidR="008A51DC">
        <w:rPr>
          <w:rFonts w:ascii="Times New Roman" w:hAnsi="Times New Roman" w:cs="Courier New"/>
          <w:sz w:val="24"/>
        </w:rPr>
        <w:t xml:space="preserve"> </w:t>
      </w:r>
    </w:p>
    <w:p w:rsidR="00DC098D" w:rsidRDefault="00DC098D" w:rsidP="00C844CD">
      <w:pPr>
        <w:pStyle w:val="PlainText"/>
        <w:spacing w:line="480" w:lineRule="auto"/>
        <w:rPr>
          <w:rFonts w:ascii="Times New Roman" w:hAnsi="Times New Roman" w:cs="Courier New"/>
          <w:sz w:val="24"/>
        </w:rPr>
      </w:pPr>
    </w:p>
    <w:p w:rsidR="00AA5265" w:rsidRDefault="00AA5265" w:rsidP="00C844CD">
      <w:pPr>
        <w:pStyle w:val="PlainText"/>
        <w:spacing w:line="480" w:lineRule="auto"/>
        <w:rPr>
          <w:rFonts w:ascii="Times New Roman" w:hAnsi="Times New Roman" w:cs="Courier New"/>
          <w:sz w:val="24"/>
        </w:rPr>
      </w:pPr>
      <w:r>
        <w:rPr>
          <w:rFonts w:ascii="Times New Roman" w:hAnsi="Times New Roman" w:cs="Courier New"/>
          <w:sz w:val="24"/>
        </w:rPr>
        <w:t xml:space="preserve">My research agenda as a legal academic focuses largely around disability rights.  I am currently a lecturer at the TC </w:t>
      </w:r>
      <w:proofErr w:type="spellStart"/>
      <w:r>
        <w:rPr>
          <w:rFonts w:ascii="Times New Roman" w:hAnsi="Times New Roman" w:cs="Courier New"/>
          <w:sz w:val="24"/>
        </w:rPr>
        <w:t>Beirne</w:t>
      </w:r>
      <w:proofErr w:type="spellEnd"/>
      <w:r>
        <w:rPr>
          <w:rFonts w:ascii="Times New Roman" w:hAnsi="Times New Roman" w:cs="Courier New"/>
          <w:sz w:val="24"/>
        </w:rPr>
        <w:t xml:space="preserve"> School of Law at the University of Queensland and have a range of publications in this area including:</w:t>
      </w:r>
    </w:p>
    <w:p w:rsidR="00AA5265" w:rsidRDefault="00AA5265" w:rsidP="00C844CD">
      <w:pPr>
        <w:pStyle w:val="PlainText"/>
        <w:spacing w:line="480" w:lineRule="auto"/>
        <w:jc w:val="center"/>
        <w:rPr>
          <w:rFonts w:ascii="Times New Roman" w:hAnsi="Times New Roman" w:cs="Courier New"/>
          <w:sz w:val="24"/>
        </w:rPr>
      </w:pPr>
    </w:p>
    <w:p w:rsidR="001A7243" w:rsidRPr="00F7503D" w:rsidRDefault="001A7243" w:rsidP="00C844CD">
      <w:pPr>
        <w:spacing w:line="480" w:lineRule="auto"/>
        <w:ind w:left="720" w:hanging="294"/>
        <w:jc w:val="both"/>
      </w:pPr>
    </w:p>
    <w:p w:rsidR="001A7243" w:rsidRPr="008A51DC" w:rsidRDefault="001A7243" w:rsidP="00C844CD">
      <w:pPr>
        <w:spacing w:line="480" w:lineRule="auto"/>
        <w:ind w:left="720" w:hanging="294"/>
        <w:rPr>
          <w:rFonts w:ascii="Times New Roman" w:hAnsi="Times New Roman" w:cs="Times New Roman"/>
          <w:b/>
          <w:sz w:val="24"/>
          <w:szCs w:val="24"/>
        </w:rPr>
      </w:pPr>
      <w:r w:rsidRPr="008A51DC">
        <w:rPr>
          <w:rFonts w:ascii="Times New Roman" w:hAnsi="Times New Roman" w:cs="Times New Roman"/>
          <w:b/>
          <w:sz w:val="24"/>
          <w:szCs w:val="24"/>
        </w:rPr>
        <w:t>Articles</w:t>
      </w:r>
    </w:p>
    <w:p w:rsidR="001A7243" w:rsidRPr="008A51DC" w:rsidRDefault="001A7243" w:rsidP="00C844CD">
      <w:pPr>
        <w:spacing w:line="480" w:lineRule="auto"/>
        <w:ind w:left="720" w:hanging="294"/>
        <w:rPr>
          <w:rFonts w:ascii="Times New Roman" w:hAnsi="Times New Roman" w:cs="Times New Roman"/>
          <w:sz w:val="24"/>
          <w:szCs w:val="24"/>
        </w:rPr>
      </w:pPr>
    </w:p>
    <w:p w:rsidR="001A7243" w:rsidRPr="008A51DC" w:rsidRDefault="001A7243" w:rsidP="00C844CD">
      <w:pPr>
        <w:numPr>
          <w:ilvl w:val="0"/>
          <w:numId w:val="5"/>
        </w:numPr>
        <w:spacing w:after="0" w:line="480" w:lineRule="auto"/>
        <w:rPr>
          <w:rFonts w:ascii="Times New Roman" w:hAnsi="Times New Roman" w:cs="Times New Roman"/>
          <w:sz w:val="24"/>
          <w:szCs w:val="24"/>
        </w:rPr>
      </w:pPr>
      <w:bookmarkStart w:id="3" w:name="OLE_LINK2"/>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'Combating Prejudice in the Workplace with Contact Theory: The Lived Experiences of Professionals with Disabilities' (2014) 1 </w:t>
      </w:r>
      <w:r w:rsidRPr="008A51DC">
        <w:rPr>
          <w:rFonts w:ascii="Times New Roman" w:hAnsi="Times New Roman" w:cs="Times New Roman"/>
          <w:bCs/>
          <w:i/>
          <w:sz w:val="24"/>
          <w:szCs w:val="24"/>
        </w:rPr>
        <w:t>Disability Studies Quarterly</w:t>
      </w:r>
      <w:r w:rsidRPr="008A51DC">
        <w:rPr>
          <w:rFonts w:ascii="Times New Roman" w:hAnsi="Times New Roman" w:cs="Times New Roman"/>
          <w:bCs/>
          <w:sz w:val="24"/>
          <w:szCs w:val="24"/>
        </w:rPr>
        <w:t>.</w:t>
      </w:r>
    </w:p>
    <w:p w:rsidR="001A7243" w:rsidRPr="008A51DC" w:rsidRDefault="001A7243" w:rsidP="00C844CD">
      <w:pPr>
        <w:numPr>
          <w:ilvl w:val="0"/>
          <w:numId w:val="5"/>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lastRenderedPageBreak/>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and Nic </w:t>
      </w:r>
      <w:proofErr w:type="spellStart"/>
      <w:r w:rsidRPr="008A51DC">
        <w:rPr>
          <w:rFonts w:ascii="Times New Roman" w:hAnsi="Times New Roman" w:cs="Times New Roman"/>
          <w:bCs/>
          <w:sz w:val="24"/>
          <w:szCs w:val="24"/>
        </w:rPr>
        <w:t>Suzor</w:t>
      </w:r>
      <w:proofErr w:type="spellEnd"/>
      <w:r w:rsidRPr="008A51DC">
        <w:rPr>
          <w:rFonts w:ascii="Times New Roman" w:hAnsi="Times New Roman" w:cs="Times New Roman"/>
          <w:bCs/>
          <w:sz w:val="24"/>
          <w:szCs w:val="24"/>
        </w:rPr>
        <w:t xml:space="preserve">, ‘Copyright Protections and Disability Rights: Turning the Page to a New International Paradigm’ (2013) 36 </w:t>
      </w:r>
      <w:r w:rsidRPr="008A51DC">
        <w:rPr>
          <w:rFonts w:ascii="Times New Roman" w:hAnsi="Times New Roman" w:cs="Times New Roman"/>
          <w:bCs/>
          <w:i/>
          <w:sz w:val="24"/>
          <w:szCs w:val="24"/>
        </w:rPr>
        <w:t>University of New South Wales Law Journal</w:t>
      </w:r>
      <w:r w:rsidRPr="008A51DC">
        <w:rPr>
          <w:rFonts w:ascii="Times New Roman" w:hAnsi="Times New Roman" w:cs="Times New Roman"/>
          <w:bCs/>
          <w:sz w:val="24"/>
          <w:szCs w:val="24"/>
        </w:rPr>
        <w:t xml:space="preserve"> 3- In press.</w:t>
      </w:r>
    </w:p>
    <w:p w:rsidR="001A7243" w:rsidRPr="008A51DC" w:rsidRDefault="001A7243" w:rsidP="00C844CD">
      <w:pPr>
        <w:pStyle w:val="ListParagraph"/>
        <w:numPr>
          <w:ilvl w:val="0"/>
          <w:numId w:val="4"/>
        </w:numPr>
        <w:spacing w:line="480" w:lineRule="auto"/>
        <w:rPr>
          <w:szCs w:val="24"/>
        </w:rPr>
      </w:pPr>
      <w:r w:rsidRPr="008A51DC">
        <w:rPr>
          <w:bCs/>
          <w:szCs w:val="24"/>
        </w:rPr>
        <w:t xml:space="preserve">Paul </w:t>
      </w:r>
      <w:proofErr w:type="spellStart"/>
      <w:r w:rsidRPr="008A51DC">
        <w:rPr>
          <w:bCs/>
          <w:szCs w:val="24"/>
        </w:rPr>
        <w:t>Harpur</w:t>
      </w:r>
      <w:proofErr w:type="spellEnd"/>
      <w:r w:rsidRPr="008A51DC">
        <w:rPr>
          <w:bCs/>
          <w:szCs w:val="24"/>
        </w:rPr>
        <w:t>, '</w:t>
      </w:r>
      <w:proofErr w:type="gramStart"/>
      <w:r w:rsidRPr="008A51DC">
        <w:rPr>
          <w:szCs w:val="24"/>
        </w:rPr>
        <w:t>From</w:t>
      </w:r>
      <w:proofErr w:type="gramEnd"/>
      <w:r w:rsidRPr="008A51DC">
        <w:rPr>
          <w:szCs w:val="24"/>
        </w:rPr>
        <w:t xml:space="preserve"> universal exclusion to universal equality: Regulating </w:t>
      </w:r>
      <w:proofErr w:type="spellStart"/>
      <w:r w:rsidRPr="008A51DC">
        <w:rPr>
          <w:szCs w:val="24"/>
        </w:rPr>
        <w:t>Ableism</w:t>
      </w:r>
      <w:proofErr w:type="spellEnd"/>
      <w:r w:rsidRPr="008A51DC">
        <w:rPr>
          <w:szCs w:val="24"/>
        </w:rPr>
        <w:t xml:space="preserve"> in a Digital Age' (2013) 40 </w:t>
      </w:r>
      <w:r w:rsidRPr="008A51DC">
        <w:rPr>
          <w:i/>
          <w:szCs w:val="24"/>
        </w:rPr>
        <w:t>Northern Kentucky Law Review</w:t>
      </w:r>
      <w:r w:rsidRPr="008A51DC">
        <w:rPr>
          <w:szCs w:val="24"/>
        </w:rPr>
        <w:t xml:space="preserve"> 3, 529-565.</w:t>
      </w:r>
    </w:p>
    <w:p w:rsidR="001A7243" w:rsidRPr="008A51DC" w:rsidRDefault="001A7243" w:rsidP="00C844CD">
      <w:pPr>
        <w:pStyle w:val="ListParagraph"/>
        <w:numPr>
          <w:ilvl w:val="0"/>
          <w:numId w:val="4"/>
        </w:numPr>
        <w:spacing w:line="480" w:lineRule="auto"/>
        <w:rPr>
          <w:szCs w:val="24"/>
        </w:rPr>
      </w:pPr>
      <w:r w:rsidRPr="008A51DC">
        <w:rPr>
          <w:bCs/>
          <w:szCs w:val="24"/>
        </w:rPr>
        <w:t xml:space="preserve">Paul </w:t>
      </w:r>
      <w:proofErr w:type="spellStart"/>
      <w:r w:rsidRPr="008A51DC">
        <w:rPr>
          <w:bCs/>
          <w:szCs w:val="24"/>
        </w:rPr>
        <w:t>Harpur</w:t>
      </w:r>
      <w:proofErr w:type="spellEnd"/>
      <w:r w:rsidRPr="008A51DC">
        <w:rPr>
          <w:bCs/>
          <w:szCs w:val="24"/>
        </w:rPr>
        <w:t xml:space="preserve">, Ben French and Richard Bales, 'Australia’s </w:t>
      </w:r>
      <w:r w:rsidRPr="008A51DC">
        <w:rPr>
          <w:bCs/>
          <w:i/>
          <w:szCs w:val="24"/>
        </w:rPr>
        <w:t>Fair Work Act</w:t>
      </w:r>
      <w:r w:rsidRPr="008A51DC">
        <w:rPr>
          <w:bCs/>
          <w:szCs w:val="24"/>
        </w:rPr>
        <w:t xml:space="preserve"> and the Transformation of Workplace Disability Discrimination Law' (2012) 30 </w:t>
      </w:r>
      <w:r w:rsidRPr="008A51DC">
        <w:rPr>
          <w:bCs/>
          <w:i/>
          <w:szCs w:val="24"/>
        </w:rPr>
        <w:t>Wisconsin International Law Journal</w:t>
      </w:r>
      <w:r w:rsidRPr="008A51DC">
        <w:rPr>
          <w:bCs/>
          <w:szCs w:val="24"/>
        </w:rPr>
        <w:t xml:space="preserve">, 190-248. </w:t>
      </w:r>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'From Disability to Ability:  Changing the Phrasing of the Debate' (2012) 27 </w:t>
      </w:r>
      <w:r w:rsidRPr="008A51DC">
        <w:rPr>
          <w:rFonts w:ascii="Times New Roman" w:hAnsi="Times New Roman" w:cs="Times New Roman"/>
          <w:bCs/>
          <w:i/>
          <w:sz w:val="24"/>
          <w:szCs w:val="24"/>
        </w:rPr>
        <w:t xml:space="preserve">Disability and Society </w:t>
      </w:r>
      <w:r w:rsidRPr="008A51DC">
        <w:rPr>
          <w:rFonts w:ascii="Times New Roman" w:hAnsi="Times New Roman" w:cs="Times New Roman"/>
          <w:bCs/>
          <w:sz w:val="24"/>
          <w:szCs w:val="24"/>
        </w:rPr>
        <w:t>3, 325-337.</w:t>
      </w:r>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Embracing the New Disability Rights Paradigm: The importance of the Convention on the Rights of Persons with Disabilities’ (2012) 27 </w:t>
      </w:r>
      <w:r w:rsidRPr="008A51DC">
        <w:rPr>
          <w:rFonts w:ascii="Times New Roman" w:hAnsi="Times New Roman" w:cs="Times New Roman"/>
          <w:bCs/>
          <w:i/>
          <w:sz w:val="24"/>
          <w:szCs w:val="24"/>
        </w:rPr>
        <w:t xml:space="preserve">Disability and Society </w:t>
      </w:r>
      <w:r w:rsidRPr="008A51DC">
        <w:rPr>
          <w:rFonts w:ascii="Times New Roman" w:hAnsi="Times New Roman" w:cs="Times New Roman"/>
          <w:bCs/>
          <w:sz w:val="24"/>
          <w:szCs w:val="24"/>
        </w:rPr>
        <w:t>1, 1-14.</w:t>
      </w:r>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Ben French and Richard Bales, 'Australia’s Solution to Disability Discrimination Enforcement' (2011) 11 </w:t>
      </w:r>
      <w:r w:rsidRPr="008A51DC">
        <w:rPr>
          <w:rFonts w:ascii="Times New Roman" w:hAnsi="Times New Roman" w:cs="Times New Roman"/>
          <w:i/>
          <w:sz w:val="24"/>
          <w:szCs w:val="24"/>
        </w:rPr>
        <w:t>Cornell HR Review</w:t>
      </w:r>
      <w:r w:rsidRPr="008A51DC">
        <w:rPr>
          <w:rFonts w:ascii="Times New Roman" w:hAnsi="Times New Roman" w:cs="Times New Roman"/>
          <w:sz w:val="24"/>
          <w:szCs w:val="24"/>
        </w:rPr>
        <w:t>.</w:t>
      </w:r>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t xml:space="preserve">Paul </w:t>
      </w:r>
      <w:bookmarkStart w:id="4" w:name="OLE_LINK36"/>
      <w:bookmarkStart w:id="5" w:name="OLE_LINK37"/>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and Rebecca Loudoun, ‘The Barrier of the Written Word: Analysing Universities’ Policies to Include Students with Print Disabilities and Calls for Reforms’ (2011) 33 </w:t>
      </w:r>
      <w:proofErr w:type="gramStart"/>
      <w:r w:rsidRPr="008A51DC">
        <w:rPr>
          <w:rFonts w:ascii="Times New Roman" w:hAnsi="Times New Roman" w:cs="Times New Roman"/>
          <w:bCs/>
          <w:i/>
          <w:sz w:val="24"/>
          <w:szCs w:val="24"/>
        </w:rPr>
        <w:t>Journal</w:t>
      </w:r>
      <w:proofErr w:type="gramEnd"/>
      <w:r w:rsidRPr="008A51DC">
        <w:rPr>
          <w:rFonts w:ascii="Times New Roman" w:hAnsi="Times New Roman" w:cs="Times New Roman"/>
          <w:bCs/>
          <w:i/>
          <w:sz w:val="24"/>
          <w:szCs w:val="24"/>
        </w:rPr>
        <w:t xml:space="preserve"> of Higher Education Policy and Management</w:t>
      </w:r>
      <w:r w:rsidRPr="008A51DC">
        <w:rPr>
          <w:rFonts w:ascii="Times New Roman" w:hAnsi="Times New Roman" w:cs="Times New Roman"/>
          <w:bCs/>
          <w:sz w:val="24"/>
          <w:szCs w:val="24"/>
        </w:rPr>
        <w:t xml:space="preserve"> 2, 153-167.</w:t>
      </w:r>
    </w:p>
    <w:bookmarkEnd w:id="4"/>
    <w:bookmarkEnd w:id="5"/>
    <w:p w:rsidR="001A7243" w:rsidRPr="008A51DC" w:rsidRDefault="001A7243" w:rsidP="00C844CD">
      <w:pPr>
        <w:numPr>
          <w:ilvl w:val="0"/>
          <w:numId w:val="4"/>
        </w:numPr>
        <w:spacing w:after="0" w:line="480" w:lineRule="auto"/>
        <w:rPr>
          <w:rFonts w:ascii="Times New Roman" w:hAnsi="Times New Roman" w:cs="Times New Roman"/>
          <w:i/>
          <w:sz w:val="24"/>
          <w:szCs w:val="24"/>
        </w:rPr>
      </w:pPr>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'New Governance and the Role of Public and Private Monitoring of </w:t>
      </w:r>
      <w:proofErr w:type="spellStart"/>
      <w:r w:rsidRPr="008A51DC">
        <w:rPr>
          <w:rFonts w:ascii="Times New Roman" w:hAnsi="Times New Roman" w:cs="Times New Roman"/>
          <w:bCs/>
          <w:sz w:val="24"/>
          <w:szCs w:val="24"/>
        </w:rPr>
        <w:t>Labor</w:t>
      </w:r>
      <w:proofErr w:type="spellEnd"/>
      <w:r w:rsidRPr="008A51DC">
        <w:rPr>
          <w:rFonts w:ascii="Times New Roman" w:hAnsi="Times New Roman" w:cs="Times New Roman"/>
          <w:bCs/>
          <w:sz w:val="24"/>
          <w:szCs w:val="24"/>
        </w:rPr>
        <w:t xml:space="preserve"> Conditions: Sweatshops and China Social Compliance for Textile and Apparel Industry/CSC9000T' (2011) 38 </w:t>
      </w:r>
      <w:r w:rsidRPr="008A51DC">
        <w:rPr>
          <w:rFonts w:ascii="Times New Roman" w:hAnsi="Times New Roman" w:cs="Times New Roman"/>
          <w:bCs/>
          <w:i/>
          <w:sz w:val="24"/>
          <w:szCs w:val="24"/>
        </w:rPr>
        <w:t>Rutgers Law Record</w:t>
      </w:r>
      <w:r w:rsidRPr="008A51DC">
        <w:rPr>
          <w:rFonts w:ascii="Times New Roman" w:hAnsi="Times New Roman" w:cs="Times New Roman"/>
          <w:bCs/>
          <w:sz w:val="24"/>
          <w:szCs w:val="24"/>
        </w:rPr>
        <w:t>.</w:t>
      </w:r>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‘Time to be Heard:  How Advocates can use the Convention on the Rights of Persons with Disabilities to Drive Change’ (2011) 45 </w:t>
      </w:r>
      <w:r w:rsidRPr="008A51DC">
        <w:rPr>
          <w:rFonts w:ascii="Times New Roman" w:hAnsi="Times New Roman" w:cs="Times New Roman"/>
          <w:bCs/>
          <w:i/>
          <w:sz w:val="24"/>
          <w:szCs w:val="24"/>
        </w:rPr>
        <w:t>Valparaiso University Law Review</w:t>
      </w:r>
      <w:r w:rsidRPr="008A51DC">
        <w:rPr>
          <w:rFonts w:ascii="Times New Roman" w:hAnsi="Times New Roman" w:cs="Times New Roman"/>
          <w:bCs/>
          <w:sz w:val="24"/>
          <w:szCs w:val="24"/>
        </w:rPr>
        <w:t xml:space="preserve"> 3, 1271-1296.</w:t>
      </w:r>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‘Better Work: Problems with Exporting the Better Factories Cambodia Project to Jordan, Lesotho, and Vietnam’ (2011) 36 </w:t>
      </w:r>
      <w:r w:rsidRPr="008A51DC">
        <w:rPr>
          <w:rFonts w:ascii="Times New Roman" w:hAnsi="Times New Roman" w:cs="Times New Roman"/>
          <w:bCs/>
          <w:i/>
          <w:sz w:val="24"/>
          <w:szCs w:val="24"/>
        </w:rPr>
        <w:t>Employee Relations Law Journal</w:t>
      </w:r>
      <w:r w:rsidRPr="008A51DC">
        <w:rPr>
          <w:rFonts w:ascii="Times New Roman" w:hAnsi="Times New Roman" w:cs="Times New Roman"/>
          <w:bCs/>
          <w:sz w:val="24"/>
          <w:szCs w:val="24"/>
        </w:rPr>
        <w:t xml:space="preserve"> 4, 79-98.</w:t>
      </w:r>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and Richard Bales, ‘ADA Amendments Issue: The Positive Impact of the Convention on the Rights of Persons with Disabilities: A Case Study on the South Pacific and Lessons from the U.S. Experience’ (2010)</w:t>
      </w:r>
      <w:r w:rsidRPr="008A51DC">
        <w:rPr>
          <w:rFonts w:ascii="Times New Roman" w:hAnsi="Times New Roman" w:cs="Times New Roman"/>
          <w:bCs/>
          <w:i/>
          <w:sz w:val="24"/>
          <w:szCs w:val="24"/>
        </w:rPr>
        <w:t xml:space="preserve"> </w:t>
      </w:r>
      <w:r w:rsidRPr="008A51DC">
        <w:rPr>
          <w:rFonts w:ascii="Times New Roman" w:hAnsi="Times New Roman" w:cs="Times New Roman"/>
          <w:bCs/>
          <w:sz w:val="24"/>
          <w:szCs w:val="24"/>
        </w:rPr>
        <w:t xml:space="preserve">37 </w:t>
      </w:r>
      <w:r w:rsidRPr="008A51DC">
        <w:rPr>
          <w:rFonts w:ascii="Times New Roman" w:hAnsi="Times New Roman" w:cs="Times New Roman"/>
          <w:bCs/>
          <w:i/>
          <w:sz w:val="24"/>
          <w:szCs w:val="24"/>
        </w:rPr>
        <w:t>Northern Kentucky Law Review</w:t>
      </w:r>
      <w:r w:rsidRPr="008A51DC">
        <w:rPr>
          <w:rFonts w:ascii="Times New Roman" w:hAnsi="Times New Roman" w:cs="Times New Roman"/>
          <w:bCs/>
          <w:sz w:val="24"/>
          <w:szCs w:val="24"/>
        </w:rPr>
        <w:t xml:space="preserve">, 363-.398. </w:t>
      </w:r>
    </w:p>
    <w:p w:rsidR="001A7243" w:rsidRPr="008A51DC" w:rsidRDefault="001A7243" w:rsidP="00C844CD">
      <w:pPr>
        <w:numPr>
          <w:ilvl w:val="0"/>
          <w:numId w:val="4"/>
        </w:numPr>
        <w:spacing w:after="0" w:line="480" w:lineRule="auto"/>
        <w:rPr>
          <w:rFonts w:ascii="Times New Roman" w:hAnsi="Times New Roman" w:cs="Times New Roman"/>
          <w:sz w:val="24"/>
          <w:szCs w:val="24"/>
        </w:rPr>
      </w:pPr>
      <w:bookmarkStart w:id="6" w:name="OLE_LINK15"/>
      <w:bookmarkStart w:id="7" w:name="OLE_LINK16"/>
      <w:r w:rsidRPr="008A51DC">
        <w:rPr>
          <w:rFonts w:ascii="Times New Roman" w:hAnsi="Times New Roman" w:cs="Times New Roman"/>
          <w:bCs/>
          <w:sz w:val="24"/>
          <w:szCs w:val="24"/>
        </w:rPr>
        <w:lastRenderedPageBreak/>
        <w:t xml:space="preserve">Paul </w:t>
      </w:r>
      <w:bookmarkStart w:id="8" w:name="OLE_LINK18"/>
      <w:bookmarkStart w:id="9" w:name="OLE_LINK17"/>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and Kerry Brown, ‘The Global Financial Crisis and the strategic alignment of asset management in the tourism industry’ (2010) 3 </w:t>
      </w:r>
      <w:r w:rsidRPr="008A51DC">
        <w:rPr>
          <w:rFonts w:ascii="Times New Roman" w:hAnsi="Times New Roman" w:cs="Times New Roman"/>
          <w:bCs/>
          <w:i/>
          <w:sz w:val="24"/>
          <w:szCs w:val="24"/>
        </w:rPr>
        <w:t>Deakin Business Review</w:t>
      </w:r>
      <w:r w:rsidRPr="008A51DC">
        <w:rPr>
          <w:rFonts w:ascii="Times New Roman" w:hAnsi="Times New Roman" w:cs="Times New Roman"/>
          <w:bCs/>
          <w:sz w:val="24"/>
          <w:szCs w:val="24"/>
        </w:rPr>
        <w:t xml:space="preserve"> 1, 46-53. </w:t>
      </w:r>
      <w:bookmarkEnd w:id="6"/>
      <w:bookmarkEnd w:id="7"/>
      <w:bookmarkEnd w:id="8"/>
      <w:bookmarkEnd w:id="9"/>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‘The Convention on the Rights of Persons with Disabilities and Australian anti-discrimination laws: What Happened to the Legal Protections for People Using Guide or Assistance Dogs?’ (2010) 29 </w:t>
      </w:r>
      <w:r w:rsidRPr="008A51DC">
        <w:rPr>
          <w:rFonts w:ascii="Times New Roman" w:hAnsi="Times New Roman" w:cs="Times New Roman"/>
          <w:bCs/>
          <w:i/>
          <w:sz w:val="24"/>
          <w:szCs w:val="24"/>
        </w:rPr>
        <w:t>University of Tasmania Law Review</w:t>
      </w:r>
      <w:r w:rsidRPr="008A51DC">
        <w:rPr>
          <w:rFonts w:ascii="Times New Roman" w:hAnsi="Times New Roman" w:cs="Times New Roman"/>
          <w:bCs/>
          <w:sz w:val="24"/>
          <w:szCs w:val="24"/>
        </w:rPr>
        <w:t xml:space="preserve"> 1, 49-77.</w:t>
      </w:r>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'Ensuring equality in education: How Australian laws are leaving students with print disabilities behind' (2010) 15 </w:t>
      </w:r>
      <w:r w:rsidRPr="008A51DC">
        <w:rPr>
          <w:rFonts w:ascii="Times New Roman" w:hAnsi="Times New Roman" w:cs="Times New Roman"/>
          <w:i/>
          <w:sz w:val="24"/>
          <w:szCs w:val="24"/>
        </w:rPr>
        <w:t xml:space="preserve">Media and Arts Law </w:t>
      </w:r>
      <w:r w:rsidRPr="008A51DC">
        <w:rPr>
          <w:rFonts w:ascii="Times New Roman" w:hAnsi="Times New Roman" w:cs="Times New Roman"/>
          <w:sz w:val="24"/>
          <w:szCs w:val="24"/>
        </w:rPr>
        <w:t>Review 1, 70-83.</w:t>
      </w:r>
    </w:p>
    <w:p w:rsidR="001A7243" w:rsidRPr="008A51DC" w:rsidRDefault="001A7243" w:rsidP="00C844CD">
      <w:pPr>
        <w:numPr>
          <w:ilvl w:val="0"/>
          <w:numId w:val="4"/>
        </w:numPr>
        <w:spacing w:after="0" w:line="480" w:lineRule="auto"/>
        <w:rPr>
          <w:rFonts w:ascii="Times New Roman" w:hAnsi="Times New Roman" w:cs="Times New Roman"/>
          <w:sz w:val="24"/>
          <w:szCs w:val="24"/>
        </w:rPr>
      </w:pPr>
      <w:proofErr w:type="spellStart"/>
      <w:r w:rsidRPr="008A51DC">
        <w:rPr>
          <w:rFonts w:ascii="Times New Roman" w:hAnsi="Times New Roman" w:cs="Times New Roman"/>
          <w:bCs/>
          <w:sz w:val="24"/>
          <w:szCs w:val="24"/>
        </w:rPr>
        <w:t>Jackbeth</w:t>
      </w:r>
      <w:proofErr w:type="spellEnd"/>
      <w:r w:rsidRPr="008A51DC">
        <w:rPr>
          <w:rFonts w:ascii="Times New Roman" w:hAnsi="Times New Roman" w:cs="Times New Roman"/>
          <w:bCs/>
          <w:sz w:val="24"/>
          <w:szCs w:val="24"/>
        </w:rPr>
        <w:t xml:space="preserve"> K. </w:t>
      </w:r>
      <w:proofErr w:type="spellStart"/>
      <w:r w:rsidRPr="008A51DC">
        <w:rPr>
          <w:rFonts w:ascii="Times New Roman" w:hAnsi="Times New Roman" w:cs="Times New Roman"/>
          <w:bCs/>
          <w:sz w:val="24"/>
          <w:szCs w:val="24"/>
        </w:rPr>
        <w:t>Mapulanga-Hulston</w:t>
      </w:r>
      <w:proofErr w:type="spellEnd"/>
      <w:r w:rsidRPr="008A51DC">
        <w:rPr>
          <w:rFonts w:ascii="Times New Roman" w:hAnsi="Times New Roman" w:cs="Times New Roman"/>
          <w:bCs/>
          <w:sz w:val="24"/>
          <w:szCs w:val="24"/>
        </w:rPr>
        <w:t xml:space="preserve"> and Paul D.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‘Examining Australia's Compliance to the International Covenant on Economic, Social and Cultural Rights: Problems and Potential’ (2009) 10 </w:t>
      </w:r>
      <w:r w:rsidRPr="008A51DC">
        <w:rPr>
          <w:rFonts w:ascii="Times New Roman" w:hAnsi="Times New Roman" w:cs="Times New Roman"/>
          <w:bCs/>
          <w:i/>
          <w:sz w:val="24"/>
          <w:szCs w:val="24"/>
        </w:rPr>
        <w:t>Asia-Pacific Journal on Human Rights</w:t>
      </w:r>
      <w:r w:rsidRPr="008A51DC">
        <w:rPr>
          <w:rFonts w:ascii="Times New Roman" w:hAnsi="Times New Roman" w:cs="Times New Roman"/>
          <w:bCs/>
          <w:sz w:val="24"/>
          <w:szCs w:val="24"/>
        </w:rPr>
        <w:t xml:space="preserve"> </w:t>
      </w:r>
      <w:r w:rsidRPr="008A51DC">
        <w:rPr>
          <w:rFonts w:ascii="Times New Roman" w:hAnsi="Times New Roman" w:cs="Times New Roman"/>
          <w:bCs/>
          <w:i/>
          <w:sz w:val="24"/>
          <w:szCs w:val="24"/>
        </w:rPr>
        <w:t>and the Law</w:t>
      </w:r>
      <w:r w:rsidRPr="008A51DC">
        <w:rPr>
          <w:rFonts w:ascii="Times New Roman" w:hAnsi="Times New Roman" w:cs="Times New Roman"/>
          <w:bCs/>
          <w:sz w:val="24"/>
          <w:szCs w:val="24"/>
        </w:rPr>
        <w:t xml:space="preserve"> 1, 48-66.</w:t>
      </w:r>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‘Developments in Chinese Labour Laws: Enforcing people with disabilities’ right to work?’ (2009) </w:t>
      </w:r>
      <w:proofErr w:type="spellStart"/>
      <w:r w:rsidRPr="008A51DC">
        <w:rPr>
          <w:rFonts w:ascii="Times New Roman" w:hAnsi="Times New Roman" w:cs="Times New Roman"/>
          <w:bCs/>
          <w:i/>
          <w:sz w:val="24"/>
          <w:szCs w:val="24"/>
        </w:rPr>
        <w:t>Lawasia</w:t>
      </w:r>
      <w:proofErr w:type="spellEnd"/>
      <w:r w:rsidRPr="008A51DC">
        <w:rPr>
          <w:rFonts w:ascii="Times New Roman" w:hAnsi="Times New Roman" w:cs="Times New Roman"/>
          <w:bCs/>
          <w:i/>
          <w:sz w:val="24"/>
          <w:szCs w:val="24"/>
        </w:rPr>
        <w:t xml:space="preserve"> Journal: journal of law association for </w:t>
      </w:r>
      <w:proofErr w:type="spellStart"/>
      <w:proofErr w:type="gramStart"/>
      <w:r w:rsidRPr="008A51DC">
        <w:rPr>
          <w:rFonts w:ascii="Times New Roman" w:hAnsi="Times New Roman" w:cs="Times New Roman"/>
          <w:bCs/>
          <w:i/>
          <w:sz w:val="24"/>
          <w:szCs w:val="24"/>
        </w:rPr>
        <w:t>asia</w:t>
      </w:r>
      <w:proofErr w:type="spellEnd"/>
      <w:proofErr w:type="gramEnd"/>
      <w:r w:rsidRPr="008A51DC">
        <w:rPr>
          <w:rFonts w:ascii="Times New Roman" w:hAnsi="Times New Roman" w:cs="Times New Roman"/>
          <w:bCs/>
          <w:i/>
          <w:sz w:val="24"/>
          <w:szCs w:val="24"/>
        </w:rPr>
        <w:t xml:space="preserve"> and the pacific</w:t>
      </w:r>
      <w:r w:rsidRPr="008A51DC">
        <w:rPr>
          <w:rFonts w:ascii="Times New Roman" w:hAnsi="Times New Roman" w:cs="Times New Roman"/>
          <w:bCs/>
          <w:sz w:val="24"/>
          <w:szCs w:val="24"/>
        </w:rPr>
        <w:t>, 26-43.</w:t>
      </w:r>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‘Sexism and Racism, why not </w:t>
      </w:r>
      <w:proofErr w:type="spellStart"/>
      <w:r w:rsidRPr="008A51DC">
        <w:rPr>
          <w:rFonts w:ascii="Times New Roman" w:hAnsi="Times New Roman" w:cs="Times New Roman"/>
          <w:bCs/>
          <w:sz w:val="24"/>
          <w:szCs w:val="24"/>
        </w:rPr>
        <w:t>Ableism</w:t>
      </w:r>
      <w:proofErr w:type="spellEnd"/>
      <w:r w:rsidRPr="008A51DC">
        <w:rPr>
          <w:rFonts w:ascii="Times New Roman" w:hAnsi="Times New Roman" w:cs="Times New Roman"/>
          <w:bCs/>
          <w:sz w:val="24"/>
          <w:szCs w:val="24"/>
        </w:rPr>
        <w:t xml:space="preserve">? Calling for a cultural shift in the approach to disability discrimination’ (2009) 35 </w:t>
      </w:r>
      <w:r w:rsidRPr="008A51DC">
        <w:rPr>
          <w:rFonts w:ascii="Times New Roman" w:hAnsi="Times New Roman" w:cs="Times New Roman"/>
          <w:bCs/>
          <w:i/>
          <w:sz w:val="24"/>
          <w:szCs w:val="24"/>
        </w:rPr>
        <w:t>Alternative Law Journal</w:t>
      </w:r>
      <w:r w:rsidRPr="008A51DC">
        <w:rPr>
          <w:rFonts w:ascii="Times New Roman" w:hAnsi="Times New Roman" w:cs="Times New Roman"/>
          <w:bCs/>
          <w:sz w:val="24"/>
          <w:szCs w:val="24"/>
        </w:rPr>
        <w:t xml:space="preserve"> 3-8. </w:t>
      </w:r>
      <w:bookmarkStart w:id="10" w:name="OLE_LINK608"/>
      <w:bookmarkStart w:id="11" w:name="OLE_LINK607"/>
    </w:p>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xml:space="preserve">, ‘Clothing Manufacturing Supply Chains, Contractual Layers and Hold Harmless Clauses: How OHS Duties can be Imposed </w:t>
      </w:r>
      <w:proofErr w:type="gramStart"/>
      <w:r w:rsidRPr="008A51DC">
        <w:rPr>
          <w:rFonts w:ascii="Times New Roman" w:hAnsi="Times New Roman" w:cs="Times New Roman"/>
          <w:bCs/>
          <w:sz w:val="24"/>
          <w:szCs w:val="24"/>
        </w:rPr>
        <w:t>Over</w:t>
      </w:r>
      <w:proofErr w:type="gramEnd"/>
      <w:r w:rsidRPr="008A51DC">
        <w:rPr>
          <w:rFonts w:ascii="Times New Roman" w:hAnsi="Times New Roman" w:cs="Times New Roman"/>
          <w:bCs/>
          <w:sz w:val="24"/>
          <w:szCs w:val="24"/>
        </w:rPr>
        <w:t xml:space="preserve"> Retailers’ (2008) 21 </w:t>
      </w:r>
      <w:r w:rsidRPr="008A51DC">
        <w:rPr>
          <w:rFonts w:ascii="Times New Roman" w:hAnsi="Times New Roman" w:cs="Times New Roman"/>
          <w:bCs/>
          <w:i/>
          <w:sz w:val="24"/>
          <w:szCs w:val="24"/>
        </w:rPr>
        <w:t>Australian Journal of Labour Law</w:t>
      </w:r>
      <w:r w:rsidRPr="008A51DC">
        <w:rPr>
          <w:rFonts w:ascii="Times New Roman" w:hAnsi="Times New Roman" w:cs="Times New Roman"/>
          <w:bCs/>
          <w:sz w:val="24"/>
          <w:szCs w:val="24"/>
        </w:rPr>
        <w:t xml:space="preserve"> 3, 316-339.</w:t>
      </w:r>
      <w:bookmarkEnd w:id="3"/>
    </w:p>
    <w:bookmarkEnd w:id="10"/>
    <w:bookmarkEnd w:id="11"/>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sz w:val="24"/>
          <w:szCs w:val="24"/>
        </w:rPr>
        <w:t xml:space="preserve">Nic </w:t>
      </w:r>
      <w:bookmarkStart w:id="12" w:name="OLE_LINK38"/>
      <w:bookmarkStart w:id="13" w:name="OLE_LINK39"/>
      <w:proofErr w:type="spellStart"/>
      <w:r w:rsidRPr="008A51DC">
        <w:rPr>
          <w:rFonts w:ascii="Times New Roman" w:hAnsi="Times New Roman" w:cs="Times New Roman"/>
          <w:sz w:val="24"/>
          <w:szCs w:val="24"/>
        </w:rPr>
        <w:t>Suzor</w:t>
      </w:r>
      <w:proofErr w:type="spellEnd"/>
      <w:r w:rsidRPr="008A51DC">
        <w:rPr>
          <w:rFonts w:ascii="Times New Roman" w:hAnsi="Times New Roman" w:cs="Times New Roman"/>
          <w:sz w:val="24"/>
          <w:szCs w:val="24"/>
        </w:rPr>
        <w:t xml:space="preserve">, 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and Dylan </w:t>
      </w:r>
      <w:proofErr w:type="spellStart"/>
      <w:r w:rsidRPr="008A51DC">
        <w:rPr>
          <w:rFonts w:ascii="Times New Roman" w:hAnsi="Times New Roman" w:cs="Times New Roman"/>
          <w:sz w:val="24"/>
          <w:szCs w:val="24"/>
        </w:rPr>
        <w:t>Thampapillai</w:t>
      </w:r>
      <w:proofErr w:type="spellEnd"/>
      <w:r w:rsidRPr="008A51DC">
        <w:rPr>
          <w:rFonts w:ascii="Times New Roman" w:hAnsi="Times New Roman" w:cs="Times New Roman"/>
          <w:sz w:val="24"/>
          <w:szCs w:val="24"/>
        </w:rPr>
        <w:t xml:space="preserve">, ‘Digital Copyright and Disability Discrimination: From Braille Books to </w:t>
      </w:r>
      <w:proofErr w:type="spellStart"/>
      <w:r w:rsidRPr="008A51DC">
        <w:rPr>
          <w:rFonts w:ascii="Times New Roman" w:hAnsi="Times New Roman" w:cs="Times New Roman"/>
          <w:sz w:val="24"/>
          <w:szCs w:val="24"/>
        </w:rPr>
        <w:t>Bookshare</w:t>
      </w:r>
      <w:proofErr w:type="spellEnd"/>
      <w:r w:rsidRPr="008A51DC">
        <w:rPr>
          <w:rFonts w:ascii="Times New Roman" w:hAnsi="Times New Roman" w:cs="Times New Roman"/>
          <w:sz w:val="24"/>
          <w:szCs w:val="24"/>
        </w:rPr>
        <w:t xml:space="preserve">’ (2008) 13 </w:t>
      </w:r>
      <w:r w:rsidRPr="008A51DC">
        <w:rPr>
          <w:rFonts w:ascii="Times New Roman" w:hAnsi="Times New Roman" w:cs="Times New Roman"/>
          <w:i/>
          <w:sz w:val="24"/>
          <w:szCs w:val="24"/>
        </w:rPr>
        <w:t>Media and Arts Law Review</w:t>
      </w:r>
      <w:r w:rsidRPr="008A51DC">
        <w:rPr>
          <w:rFonts w:ascii="Times New Roman" w:hAnsi="Times New Roman" w:cs="Times New Roman"/>
          <w:sz w:val="24"/>
          <w:szCs w:val="24"/>
        </w:rPr>
        <w:t xml:space="preserve"> 1-17.</w:t>
      </w:r>
    </w:p>
    <w:bookmarkEnd w:id="12"/>
    <w:bookmarkEnd w:id="13"/>
    <w:p w:rsidR="001A7243" w:rsidRPr="008A51DC" w:rsidRDefault="001A7243" w:rsidP="00C844CD">
      <w:pPr>
        <w:numPr>
          <w:ilvl w:val="0"/>
          <w:numId w:val="4"/>
        </w:numPr>
        <w:spacing w:after="0" w:line="480" w:lineRule="auto"/>
        <w:rPr>
          <w:rFonts w:ascii="Times New Roman" w:hAnsi="Times New Roman" w:cs="Times New Roman"/>
          <w:sz w:val="24"/>
          <w:szCs w:val="24"/>
        </w:rPr>
      </w:pPr>
      <w:r w:rsidRPr="008A51DC">
        <w:rPr>
          <w:rFonts w:ascii="Times New Roman" w:hAnsi="Times New Roman" w:cs="Times New Roman"/>
          <w:bCs/>
          <w:sz w:val="24"/>
          <w:szCs w:val="24"/>
        </w:rPr>
        <w:t xml:space="preserve">Paul </w:t>
      </w:r>
      <w:proofErr w:type="spellStart"/>
      <w:r w:rsidRPr="008A51DC">
        <w:rPr>
          <w:rFonts w:ascii="Times New Roman" w:hAnsi="Times New Roman" w:cs="Times New Roman"/>
          <w:bCs/>
          <w:sz w:val="24"/>
          <w:szCs w:val="24"/>
        </w:rPr>
        <w:t>Harpur</w:t>
      </w:r>
      <w:proofErr w:type="spellEnd"/>
      <w:r w:rsidRPr="008A51DC">
        <w:rPr>
          <w:rFonts w:ascii="Times New Roman" w:hAnsi="Times New Roman" w:cs="Times New Roman"/>
          <w:bCs/>
          <w:sz w:val="24"/>
          <w:szCs w:val="24"/>
        </w:rPr>
        <w:t>, ‘</w:t>
      </w:r>
      <w:r w:rsidRPr="008A51DC">
        <w:rPr>
          <w:rFonts w:ascii="Times New Roman" w:hAnsi="Times New Roman" w:cs="Times New Roman"/>
          <w:sz w:val="24"/>
          <w:szCs w:val="24"/>
        </w:rPr>
        <w:t xml:space="preserve">Occupational Health and Safety Issues and the Boardroom: Company Directors Face Jail and Fines </w:t>
      </w:r>
      <w:proofErr w:type="gramStart"/>
      <w:r w:rsidRPr="008A51DC">
        <w:rPr>
          <w:rFonts w:ascii="Times New Roman" w:hAnsi="Times New Roman" w:cs="Times New Roman"/>
          <w:sz w:val="24"/>
          <w:szCs w:val="24"/>
        </w:rPr>
        <w:t>For</w:t>
      </w:r>
      <w:proofErr w:type="gramEnd"/>
      <w:r w:rsidRPr="008A51DC">
        <w:rPr>
          <w:rFonts w:ascii="Times New Roman" w:hAnsi="Times New Roman" w:cs="Times New Roman"/>
          <w:sz w:val="24"/>
          <w:szCs w:val="24"/>
        </w:rPr>
        <w:t xml:space="preserve"> Their Companies’ Lack Of Safety’ (2008) </w:t>
      </w:r>
      <w:r w:rsidRPr="008A51DC">
        <w:rPr>
          <w:rFonts w:ascii="Times New Roman" w:hAnsi="Times New Roman" w:cs="Times New Roman"/>
          <w:i/>
          <w:sz w:val="24"/>
          <w:szCs w:val="24"/>
        </w:rPr>
        <w:t>Bond University Corporate Governance</w:t>
      </w:r>
      <w:r w:rsidRPr="008A51DC">
        <w:rPr>
          <w:rFonts w:ascii="Times New Roman" w:hAnsi="Times New Roman" w:cs="Times New Roman"/>
          <w:sz w:val="24"/>
          <w:szCs w:val="24"/>
        </w:rPr>
        <w:t xml:space="preserve"> </w:t>
      </w:r>
      <w:r w:rsidRPr="008A51DC">
        <w:rPr>
          <w:rFonts w:ascii="Times New Roman" w:hAnsi="Times New Roman" w:cs="Times New Roman"/>
          <w:i/>
          <w:sz w:val="24"/>
          <w:szCs w:val="24"/>
        </w:rPr>
        <w:t>E-Journal, 1-9</w:t>
      </w:r>
      <w:r w:rsidRPr="008A51DC">
        <w:rPr>
          <w:rFonts w:ascii="Times New Roman" w:hAnsi="Times New Roman" w:cs="Times New Roman"/>
          <w:sz w:val="24"/>
          <w:szCs w:val="24"/>
        </w:rPr>
        <w:t>.</w:t>
      </w:r>
    </w:p>
    <w:p w:rsidR="001A7243" w:rsidRPr="008A51DC" w:rsidRDefault="001A7243" w:rsidP="00C844CD">
      <w:pPr>
        <w:numPr>
          <w:ilvl w:val="0"/>
          <w:numId w:val="4"/>
        </w:numPr>
        <w:tabs>
          <w:tab w:val="left" w:pos="851"/>
        </w:tabs>
        <w:spacing w:after="0" w:line="480" w:lineRule="auto"/>
        <w:rPr>
          <w:rFonts w:ascii="Times New Roman" w:hAnsi="Times New Roman" w:cs="Times New Roman"/>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w:t>
      </w:r>
      <w:proofErr w:type="gramStart"/>
      <w:r w:rsidRPr="008A51DC">
        <w:rPr>
          <w:rFonts w:ascii="Times New Roman" w:hAnsi="Times New Roman" w:cs="Times New Roman"/>
          <w:sz w:val="24"/>
          <w:szCs w:val="24"/>
        </w:rPr>
        <w:t>The</w:t>
      </w:r>
      <w:proofErr w:type="gramEnd"/>
      <w:r w:rsidRPr="008A51DC">
        <w:rPr>
          <w:rFonts w:ascii="Times New Roman" w:hAnsi="Times New Roman" w:cs="Times New Roman"/>
          <w:sz w:val="24"/>
          <w:szCs w:val="24"/>
        </w:rPr>
        <w:t xml:space="preserve"> Evolving Nature of the Right to Life: The Impact of Positive Human Rights Obligations’</w:t>
      </w:r>
      <w:r w:rsidRPr="008A51DC">
        <w:rPr>
          <w:rFonts w:ascii="Times New Roman" w:hAnsi="Times New Roman" w:cs="Times New Roman"/>
          <w:i/>
          <w:sz w:val="24"/>
          <w:szCs w:val="24"/>
        </w:rPr>
        <w:t xml:space="preserve"> </w:t>
      </w:r>
      <w:r w:rsidRPr="008A51DC">
        <w:rPr>
          <w:rFonts w:ascii="Times New Roman" w:hAnsi="Times New Roman" w:cs="Times New Roman"/>
          <w:sz w:val="24"/>
          <w:szCs w:val="24"/>
        </w:rPr>
        <w:t xml:space="preserve">(2007) 9 </w:t>
      </w:r>
      <w:r w:rsidRPr="008A51DC">
        <w:rPr>
          <w:rFonts w:ascii="Times New Roman" w:hAnsi="Times New Roman" w:cs="Times New Roman"/>
          <w:i/>
          <w:sz w:val="24"/>
          <w:szCs w:val="24"/>
        </w:rPr>
        <w:t>The University of Notre Dame Law Journal</w:t>
      </w:r>
      <w:r w:rsidRPr="008A51DC">
        <w:rPr>
          <w:rFonts w:ascii="Times New Roman" w:hAnsi="Times New Roman" w:cs="Times New Roman"/>
          <w:sz w:val="24"/>
          <w:szCs w:val="24"/>
        </w:rPr>
        <w:t>, 95-125.</w:t>
      </w:r>
    </w:p>
    <w:p w:rsidR="001A7243" w:rsidRPr="008A51DC" w:rsidRDefault="001A7243" w:rsidP="00C844CD">
      <w:pPr>
        <w:numPr>
          <w:ilvl w:val="0"/>
          <w:numId w:val="4"/>
        </w:numPr>
        <w:tabs>
          <w:tab w:val="left" w:pos="851"/>
          <w:tab w:val="left" w:pos="1134"/>
          <w:tab w:val="left" w:pos="1276"/>
        </w:tabs>
        <w:spacing w:after="0" w:line="480" w:lineRule="auto"/>
        <w:rPr>
          <w:rFonts w:ascii="Times New Roman" w:hAnsi="Times New Roman" w:cs="Times New Roman"/>
          <w:i/>
          <w:sz w:val="24"/>
          <w:szCs w:val="24"/>
        </w:rPr>
      </w:pPr>
      <w:r w:rsidRPr="008A51DC">
        <w:rPr>
          <w:rFonts w:ascii="Times New Roman" w:hAnsi="Times New Roman" w:cs="Times New Roman"/>
          <w:sz w:val="24"/>
          <w:szCs w:val="24"/>
        </w:rPr>
        <w:lastRenderedPageBreak/>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w:t>
      </w:r>
      <w:r w:rsidRPr="008A51DC">
        <w:rPr>
          <w:rFonts w:ascii="Times New Roman" w:hAnsi="Times New Roman" w:cs="Times New Roman"/>
          <w:sz w:val="24"/>
          <w:szCs w:val="24"/>
          <w:lang w:val="en-US"/>
        </w:rPr>
        <w:t xml:space="preserve">Occupational Health and Safety Duties to Protect Outworkers: The Failure of Regulatory Intervention and Calls for Reform’ (2007) 12 </w:t>
      </w:r>
      <w:proofErr w:type="spellStart"/>
      <w:r w:rsidRPr="008A51DC">
        <w:rPr>
          <w:rFonts w:ascii="Times New Roman" w:hAnsi="Times New Roman" w:cs="Times New Roman"/>
          <w:i/>
          <w:sz w:val="24"/>
          <w:szCs w:val="24"/>
          <w:lang w:val="en-US"/>
        </w:rPr>
        <w:t>Deakin</w:t>
      </w:r>
      <w:proofErr w:type="spellEnd"/>
      <w:r w:rsidRPr="008A51DC">
        <w:rPr>
          <w:rFonts w:ascii="Times New Roman" w:hAnsi="Times New Roman" w:cs="Times New Roman"/>
          <w:i/>
          <w:sz w:val="24"/>
          <w:szCs w:val="24"/>
          <w:lang w:val="en-US"/>
        </w:rPr>
        <w:t xml:space="preserve"> Law Review </w:t>
      </w:r>
      <w:r w:rsidRPr="008A51DC">
        <w:rPr>
          <w:rFonts w:ascii="Times New Roman" w:hAnsi="Times New Roman" w:cs="Times New Roman"/>
          <w:sz w:val="24"/>
          <w:szCs w:val="24"/>
          <w:lang w:val="en-US"/>
        </w:rPr>
        <w:t>2, 48-87.</w:t>
      </w:r>
    </w:p>
    <w:p w:rsidR="001A7243" w:rsidRPr="008A51DC" w:rsidRDefault="001A7243" w:rsidP="00C844CD">
      <w:pPr>
        <w:numPr>
          <w:ilvl w:val="0"/>
          <w:numId w:val="4"/>
        </w:numPr>
        <w:tabs>
          <w:tab w:val="left" w:pos="851"/>
          <w:tab w:val="left" w:pos="1134"/>
        </w:tabs>
        <w:spacing w:after="0" w:line="480" w:lineRule="auto"/>
        <w:rPr>
          <w:rFonts w:ascii="Times New Roman" w:hAnsi="Times New Roman" w:cs="Times New Roman"/>
          <w:i/>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‘Regulating Multi-National Corporations Through State-Based Laws: Problems with Enforcing Human Rights Under The Alien Tort Statute’ (2006) 13 </w:t>
      </w:r>
      <w:r w:rsidRPr="008A51DC">
        <w:rPr>
          <w:rFonts w:ascii="Times New Roman" w:hAnsi="Times New Roman" w:cs="Times New Roman"/>
          <w:i/>
          <w:sz w:val="24"/>
          <w:szCs w:val="24"/>
        </w:rPr>
        <w:t>Australian</w:t>
      </w:r>
      <w:r w:rsidRPr="008A51DC">
        <w:rPr>
          <w:rFonts w:ascii="Times New Roman" w:hAnsi="Times New Roman" w:cs="Times New Roman"/>
          <w:sz w:val="24"/>
          <w:szCs w:val="24"/>
        </w:rPr>
        <w:t xml:space="preserve"> </w:t>
      </w:r>
      <w:r w:rsidRPr="008A51DC">
        <w:rPr>
          <w:rFonts w:ascii="Times New Roman" w:hAnsi="Times New Roman" w:cs="Times New Roman"/>
          <w:i/>
          <w:sz w:val="24"/>
          <w:szCs w:val="24"/>
        </w:rPr>
        <w:t>International Law Journal</w:t>
      </w:r>
      <w:r w:rsidRPr="008A51DC">
        <w:rPr>
          <w:rFonts w:ascii="Times New Roman" w:hAnsi="Times New Roman" w:cs="Times New Roman"/>
          <w:sz w:val="24"/>
          <w:szCs w:val="24"/>
        </w:rPr>
        <w:t>, 233-246.</w:t>
      </w:r>
    </w:p>
    <w:p w:rsidR="001A7243" w:rsidRPr="008A51DC" w:rsidRDefault="001A7243" w:rsidP="00C844CD">
      <w:pPr>
        <w:numPr>
          <w:ilvl w:val="0"/>
          <w:numId w:val="4"/>
        </w:numPr>
        <w:tabs>
          <w:tab w:val="left" w:pos="851"/>
          <w:tab w:val="left" w:pos="993"/>
        </w:tabs>
        <w:spacing w:after="0" w:line="480" w:lineRule="auto"/>
        <w:rPr>
          <w:rFonts w:ascii="Times New Roman" w:hAnsi="Times New Roman" w:cs="Times New Roman"/>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‘Work Choices: An International Comparison’ (2007) 6 </w:t>
      </w:r>
      <w:r w:rsidRPr="008A51DC">
        <w:rPr>
          <w:rFonts w:ascii="Times New Roman" w:hAnsi="Times New Roman" w:cs="Times New Roman"/>
          <w:i/>
          <w:sz w:val="24"/>
          <w:szCs w:val="24"/>
        </w:rPr>
        <w:t xml:space="preserve">QUT Law and Justice Journal </w:t>
      </w:r>
      <w:r w:rsidRPr="008A51DC">
        <w:rPr>
          <w:rFonts w:ascii="Times New Roman" w:hAnsi="Times New Roman" w:cs="Times New Roman"/>
          <w:sz w:val="24"/>
          <w:szCs w:val="24"/>
        </w:rPr>
        <w:t>1, 89-106.</w:t>
      </w:r>
    </w:p>
    <w:p w:rsidR="001A7243" w:rsidRPr="008A51DC" w:rsidRDefault="001A7243" w:rsidP="00C844CD">
      <w:pPr>
        <w:numPr>
          <w:ilvl w:val="0"/>
          <w:numId w:val="4"/>
        </w:numPr>
        <w:tabs>
          <w:tab w:val="left" w:pos="851"/>
        </w:tabs>
        <w:spacing w:after="0" w:line="480" w:lineRule="auto"/>
        <w:rPr>
          <w:rFonts w:ascii="Times New Roman" w:hAnsi="Times New Roman" w:cs="Times New Roman"/>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w:t>
      </w:r>
      <w:proofErr w:type="gramStart"/>
      <w:r w:rsidRPr="008A51DC">
        <w:rPr>
          <w:rFonts w:ascii="Times New Roman" w:hAnsi="Times New Roman" w:cs="Times New Roman"/>
          <w:sz w:val="24"/>
          <w:szCs w:val="24"/>
        </w:rPr>
        <w:t>The</w:t>
      </w:r>
      <w:proofErr w:type="gramEnd"/>
      <w:r w:rsidRPr="008A51DC">
        <w:rPr>
          <w:rFonts w:ascii="Times New Roman" w:hAnsi="Times New Roman" w:cs="Times New Roman"/>
          <w:sz w:val="24"/>
          <w:szCs w:val="24"/>
        </w:rPr>
        <w:t xml:space="preserve"> Financial Benefit For Insurers: Mediate in Personal Injuries Disputes’ (2004) 2 </w:t>
      </w:r>
      <w:r w:rsidRPr="008A51DC">
        <w:rPr>
          <w:rFonts w:ascii="Times New Roman" w:hAnsi="Times New Roman" w:cs="Times New Roman"/>
          <w:i/>
          <w:sz w:val="24"/>
          <w:szCs w:val="24"/>
        </w:rPr>
        <w:t>Australasian Dispute Resolution Journal</w:t>
      </w:r>
      <w:r w:rsidRPr="008A51DC">
        <w:rPr>
          <w:rFonts w:ascii="Times New Roman" w:hAnsi="Times New Roman" w:cs="Times New Roman"/>
          <w:sz w:val="24"/>
          <w:szCs w:val="24"/>
        </w:rPr>
        <w:t>,</w:t>
      </w:r>
      <w:r w:rsidRPr="008A51DC">
        <w:rPr>
          <w:rFonts w:ascii="Times New Roman" w:hAnsi="Times New Roman" w:cs="Times New Roman"/>
          <w:i/>
          <w:sz w:val="24"/>
          <w:szCs w:val="24"/>
        </w:rPr>
        <w:t xml:space="preserve"> </w:t>
      </w:r>
      <w:r w:rsidRPr="008A51DC">
        <w:rPr>
          <w:rFonts w:ascii="Times New Roman" w:hAnsi="Times New Roman" w:cs="Times New Roman"/>
          <w:sz w:val="24"/>
          <w:szCs w:val="24"/>
        </w:rPr>
        <w:t>70-80.</w:t>
      </w:r>
    </w:p>
    <w:p w:rsidR="001A7243" w:rsidRPr="008A51DC" w:rsidRDefault="001A7243" w:rsidP="00C844CD">
      <w:pPr>
        <w:numPr>
          <w:ilvl w:val="0"/>
          <w:numId w:val="4"/>
        </w:numPr>
        <w:tabs>
          <w:tab w:val="left" w:pos="851"/>
        </w:tabs>
        <w:spacing w:after="0" w:line="480" w:lineRule="auto"/>
        <w:rPr>
          <w:rFonts w:ascii="Times New Roman" w:hAnsi="Times New Roman" w:cs="Times New Roman"/>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‘Charity Law’s Public Benefit Test: Is Legislative Reform in the Public Interest?’ (2003) 3 </w:t>
      </w:r>
      <w:r w:rsidRPr="008A51DC">
        <w:rPr>
          <w:rFonts w:ascii="Times New Roman" w:hAnsi="Times New Roman" w:cs="Times New Roman"/>
          <w:i/>
          <w:sz w:val="24"/>
          <w:szCs w:val="24"/>
        </w:rPr>
        <w:t>QUT Law &amp; Justice Journal</w:t>
      </w:r>
      <w:r w:rsidRPr="008A51DC">
        <w:rPr>
          <w:rFonts w:ascii="Times New Roman" w:hAnsi="Times New Roman" w:cs="Times New Roman"/>
          <w:sz w:val="24"/>
          <w:szCs w:val="24"/>
        </w:rPr>
        <w:t xml:space="preserve"> 422-439.</w:t>
      </w:r>
    </w:p>
    <w:p w:rsidR="001A7243" w:rsidRPr="008A51DC" w:rsidRDefault="008A51DC" w:rsidP="00C844CD">
      <w:pPr>
        <w:tabs>
          <w:tab w:val="left" w:pos="3060"/>
        </w:tabs>
        <w:spacing w:line="480" w:lineRule="auto"/>
        <w:ind w:left="720" w:hanging="294"/>
        <w:rPr>
          <w:rFonts w:ascii="Times New Roman" w:hAnsi="Times New Roman" w:cs="Times New Roman"/>
          <w:sz w:val="24"/>
          <w:szCs w:val="24"/>
        </w:rPr>
      </w:pPr>
      <w:r w:rsidRPr="008A51DC">
        <w:rPr>
          <w:rFonts w:ascii="Times New Roman" w:hAnsi="Times New Roman" w:cs="Times New Roman"/>
          <w:sz w:val="24"/>
          <w:szCs w:val="24"/>
        </w:rPr>
        <w:tab/>
      </w:r>
      <w:r w:rsidRPr="008A51DC">
        <w:rPr>
          <w:rFonts w:ascii="Times New Roman" w:hAnsi="Times New Roman" w:cs="Times New Roman"/>
          <w:sz w:val="24"/>
          <w:szCs w:val="24"/>
        </w:rPr>
        <w:tab/>
      </w:r>
    </w:p>
    <w:p w:rsidR="001A7243" w:rsidRPr="008A51DC" w:rsidRDefault="001A7243" w:rsidP="00C844CD">
      <w:pPr>
        <w:spacing w:line="480" w:lineRule="auto"/>
        <w:ind w:left="720" w:hanging="294"/>
        <w:rPr>
          <w:rFonts w:ascii="Times New Roman" w:hAnsi="Times New Roman" w:cs="Times New Roman"/>
          <w:b/>
          <w:sz w:val="24"/>
          <w:szCs w:val="24"/>
        </w:rPr>
      </w:pPr>
      <w:r w:rsidRPr="008A51DC">
        <w:rPr>
          <w:rFonts w:ascii="Times New Roman" w:hAnsi="Times New Roman" w:cs="Times New Roman"/>
          <w:b/>
          <w:sz w:val="24"/>
          <w:szCs w:val="24"/>
        </w:rPr>
        <w:t>Books and Chapters</w:t>
      </w:r>
    </w:p>
    <w:p w:rsidR="001A7243" w:rsidRPr="008A51DC" w:rsidRDefault="001A7243" w:rsidP="00C844CD">
      <w:pPr>
        <w:spacing w:line="480" w:lineRule="auto"/>
        <w:ind w:left="720" w:hanging="294"/>
        <w:rPr>
          <w:rFonts w:ascii="Times New Roman" w:hAnsi="Times New Roman" w:cs="Times New Roman"/>
          <w:sz w:val="24"/>
          <w:szCs w:val="24"/>
        </w:rPr>
      </w:pPr>
    </w:p>
    <w:p w:rsidR="001A7243" w:rsidRPr="008A51DC" w:rsidRDefault="001A7243" w:rsidP="00C844CD">
      <w:pPr>
        <w:numPr>
          <w:ilvl w:val="0"/>
          <w:numId w:val="3"/>
        </w:numPr>
        <w:spacing w:after="0" w:line="480" w:lineRule="auto"/>
        <w:ind w:hanging="294"/>
        <w:rPr>
          <w:rFonts w:ascii="Times New Roman" w:hAnsi="Times New Roman" w:cs="Times New Roman"/>
          <w:sz w:val="24"/>
          <w:szCs w:val="24"/>
        </w:rPr>
      </w:pPr>
      <w:r w:rsidRPr="008A51DC">
        <w:rPr>
          <w:rFonts w:ascii="Times New Roman" w:hAnsi="Times New Roman" w:cs="Times New Roman"/>
          <w:sz w:val="24"/>
          <w:szCs w:val="24"/>
        </w:rPr>
        <w:t xml:space="preserve">Tom Devine, 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and David Lewis, 'Civil and Employment Law Remedies' in Edited by A. J. Brown, David Lewis and Richard Moberly (Eds.) </w:t>
      </w:r>
      <w:r w:rsidRPr="008A51DC">
        <w:rPr>
          <w:rFonts w:ascii="Times New Roman" w:hAnsi="Times New Roman" w:cs="Times New Roman"/>
          <w:i/>
          <w:sz w:val="24"/>
          <w:szCs w:val="24"/>
        </w:rPr>
        <w:t xml:space="preserve">International Handbook on </w:t>
      </w:r>
      <w:proofErr w:type="spellStart"/>
      <w:r w:rsidRPr="008A51DC">
        <w:rPr>
          <w:rFonts w:ascii="Times New Roman" w:hAnsi="Times New Roman" w:cs="Times New Roman"/>
          <w:i/>
          <w:sz w:val="24"/>
          <w:szCs w:val="24"/>
        </w:rPr>
        <w:t>Whistleblowing</w:t>
      </w:r>
      <w:proofErr w:type="spellEnd"/>
      <w:r w:rsidRPr="008A51DC">
        <w:rPr>
          <w:rFonts w:ascii="Times New Roman" w:hAnsi="Times New Roman" w:cs="Times New Roman"/>
          <w:i/>
          <w:sz w:val="24"/>
          <w:szCs w:val="24"/>
        </w:rPr>
        <w:t xml:space="preserve"> Research </w:t>
      </w:r>
      <w:r w:rsidRPr="008A51DC">
        <w:rPr>
          <w:rFonts w:ascii="Times New Roman" w:hAnsi="Times New Roman" w:cs="Times New Roman"/>
          <w:sz w:val="24"/>
          <w:szCs w:val="24"/>
        </w:rPr>
        <w:t>(2013) Edward Elgar, Chapter 18.</w:t>
      </w:r>
    </w:p>
    <w:p w:rsidR="001A7243" w:rsidRPr="008A51DC" w:rsidRDefault="001A7243" w:rsidP="00C844CD">
      <w:pPr>
        <w:numPr>
          <w:ilvl w:val="0"/>
          <w:numId w:val="3"/>
        </w:numPr>
        <w:spacing w:after="0" w:line="480" w:lineRule="auto"/>
        <w:ind w:hanging="294"/>
        <w:rPr>
          <w:rFonts w:ascii="Times New Roman" w:hAnsi="Times New Roman" w:cs="Times New Roman"/>
          <w:sz w:val="24"/>
          <w:szCs w:val="24"/>
        </w:rPr>
      </w:pPr>
      <w:r w:rsidRPr="008A51DC">
        <w:rPr>
          <w:rFonts w:ascii="Times New Roman" w:hAnsi="Times New Roman" w:cs="Times New Roman"/>
          <w:sz w:val="24"/>
          <w:szCs w:val="24"/>
        </w:rPr>
        <w:t xml:space="preserve">Ben French, 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and Olav </w:t>
      </w:r>
      <w:proofErr w:type="spellStart"/>
      <w:r w:rsidRPr="008A51DC">
        <w:rPr>
          <w:rFonts w:ascii="Times New Roman" w:hAnsi="Times New Roman" w:cs="Times New Roman"/>
          <w:sz w:val="24"/>
          <w:szCs w:val="24"/>
        </w:rPr>
        <w:t>Muurlink</w:t>
      </w:r>
      <w:proofErr w:type="spellEnd"/>
      <w:r w:rsidRPr="008A51DC">
        <w:rPr>
          <w:rFonts w:ascii="Times New Roman" w:hAnsi="Times New Roman" w:cs="Times New Roman"/>
          <w:sz w:val="24"/>
          <w:szCs w:val="24"/>
        </w:rPr>
        <w:t xml:space="preserve"> 'A Pandora’s Box of General Protections under the Fair Work Act 2009' in Bruce Hearn-Mackinnon, Leanne Morris and Kerrie </w:t>
      </w:r>
      <w:proofErr w:type="spellStart"/>
      <w:r w:rsidRPr="008A51DC">
        <w:rPr>
          <w:rFonts w:ascii="Times New Roman" w:hAnsi="Times New Roman" w:cs="Times New Roman"/>
          <w:sz w:val="24"/>
          <w:szCs w:val="24"/>
        </w:rPr>
        <w:t>Saville</w:t>
      </w:r>
      <w:proofErr w:type="spellEnd"/>
      <w:r w:rsidRPr="008A51DC">
        <w:rPr>
          <w:rFonts w:ascii="Times New Roman" w:hAnsi="Times New Roman" w:cs="Times New Roman"/>
          <w:sz w:val="24"/>
          <w:szCs w:val="24"/>
        </w:rPr>
        <w:t xml:space="preserve">, (eds.) </w:t>
      </w:r>
      <w:r w:rsidRPr="008A51DC">
        <w:rPr>
          <w:rFonts w:ascii="Times New Roman" w:hAnsi="Times New Roman" w:cs="Times New Roman"/>
          <w:i/>
          <w:sz w:val="24"/>
          <w:szCs w:val="24"/>
        </w:rPr>
        <w:t>The Fair Work Act: Revision or Restitution</w:t>
      </w:r>
      <w:r w:rsidRPr="008A51DC">
        <w:rPr>
          <w:rFonts w:ascii="Times New Roman" w:hAnsi="Times New Roman" w:cs="Times New Roman"/>
          <w:sz w:val="24"/>
          <w:szCs w:val="24"/>
        </w:rPr>
        <w:t xml:space="preserve"> (2012), Heidelberg Press Australia.</w:t>
      </w:r>
    </w:p>
    <w:p w:rsidR="001A7243" w:rsidRPr="008A51DC" w:rsidRDefault="001A7243" w:rsidP="00C844CD">
      <w:pPr>
        <w:numPr>
          <w:ilvl w:val="0"/>
          <w:numId w:val="3"/>
        </w:numPr>
        <w:spacing w:after="0" w:line="480" w:lineRule="auto"/>
        <w:ind w:hanging="294"/>
        <w:rPr>
          <w:rFonts w:ascii="Times New Roman" w:hAnsi="Times New Roman" w:cs="Times New Roman"/>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'When is There Sufficient Information to Decide if There is an R2P Situation or Not? </w:t>
      </w:r>
      <w:proofErr w:type="gramStart"/>
      <w:r w:rsidRPr="008A51DC">
        <w:rPr>
          <w:rFonts w:ascii="Times New Roman" w:hAnsi="Times New Roman" w:cs="Times New Roman"/>
          <w:sz w:val="24"/>
          <w:szCs w:val="24"/>
        </w:rPr>
        <w:t>from</w:t>
      </w:r>
      <w:proofErr w:type="gramEnd"/>
      <w:r w:rsidRPr="008A51DC">
        <w:rPr>
          <w:rFonts w:ascii="Times New Roman" w:hAnsi="Times New Roman" w:cs="Times New Roman"/>
          <w:sz w:val="24"/>
          <w:szCs w:val="24"/>
        </w:rPr>
        <w:t xml:space="preserve"> the Intervention in Timor </w:t>
      </w:r>
      <w:proofErr w:type="spellStart"/>
      <w:r w:rsidRPr="008A51DC">
        <w:rPr>
          <w:rFonts w:ascii="Times New Roman" w:hAnsi="Times New Roman" w:cs="Times New Roman"/>
          <w:sz w:val="24"/>
          <w:szCs w:val="24"/>
        </w:rPr>
        <w:t>Leste</w:t>
      </w:r>
      <w:proofErr w:type="spellEnd"/>
      <w:r w:rsidRPr="008A51DC">
        <w:rPr>
          <w:rFonts w:ascii="Times New Roman" w:hAnsi="Times New Roman" w:cs="Times New Roman"/>
          <w:sz w:val="24"/>
          <w:szCs w:val="24"/>
        </w:rPr>
        <w:t xml:space="preserve"> to the Crisis in Sri Lanka' in Charles </w:t>
      </w:r>
      <w:proofErr w:type="spellStart"/>
      <w:r w:rsidRPr="008A51DC">
        <w:rPr>
          <w:rFonts w:ascii="Times New Roman" w:hAnsi="Times New Roman" w:cs="Times New Roman"/>
          <w:sz w:val="24"/>
          <w:szCs w:val="24"/>
        </w:rPr>
        <w:t>Sampford</w:t>
      </w:r>
      <w:proofErr w:type="spellEnd"/>
      <w:r w:rsidRPr="008A51DC">
        <w:rPr>
          <w:rFonts w:ascii="Times New Roman" w:hAnsi="Times New Roman" w:cs="Times New Roman"/>
          <w:sz w:val="24"/>
          <w:szCs w:val="24"/>
        </w:rPr>
        <w:t xml:space="preserve"> and </w:t>
      </w:r>
      <w:proofErr w:type="spellStart"/>
      <w:r w:rsidRPr="008A51DC">
        <w:rPr>
          <w:rFonts w:ascii="Times New Roman" w:hAnsi="Times New Roman" w:cs="Times New Roman"/>
          <w:sz w:val="24"/>
          <w:szCs w:val="24"/>
        </w:rPr>
        <w:t>Ramesh</w:t>
      </w:r>
      <w:proofErr w:type="spellEnd"/>
      <w:r w:rsidRPr="008A51DC">
        <w:rPr>
          <w:rFonts w:ascii="Times New Roman" w:hAnsi="Times New Roman" w:cs="Times New Roman"/>
          <w:sz w:val="24"/>
          <w:szCs w:val="24"/>
        </w:rPr>
        <w:t xml:space="preserve">  </w:t>
      </w:r>
      <w:proofErr w:type="spellStart"/>
      <w:r w:rsidRPr="008A51DC">
        <w:rPr>
          <w:rFonts w:ascii="Times New Roman" w:hAnsi="Times New Roman" w:cs="Times New Roman"/>
          <w:sz w:val="24"/>
          <w:szCs w:val="24"/>
        </w:rPr>
        <w:t>Thakur</w:t>
      </w:r>
      <w:proofErr w:type="spellEnd"/>
      <w:r w:rsidRPr="008A51DC">
        <w:rPr>
          <w:rFonts w:ascii="Times New Roman" w:hAnsi="Times New Roman" w:cs="Times New Roman"/>
          <w:sz w:val="24"/>
          <w:szCs w:val="24"/>
        </w:rPr>
        <w:t xml:space="preserve"> (</w:t>
      </w:r>
      <w:proofErr w:type="spellStart"/>
      <w:r w:rsidRPr="008A51DC">
        <w:rPr>
          <w:rFonts w:ascii="Times New Roman" w:hAnsi="Times New Roman" w:cs="Times New Roman"/>
          <w:sz w:val="24"/>
          <w:szCs w:val="24"/>
        </w:rPr>
        <w:t>Eds</w:t>
      </w:r>
      <w:proofErr w:type="spellEnd"/>
      <w:r w:rsidRPr="008A51DC">
        <w:rPr>
          <w:rFonts w:ascii="Times New Roman" w:hAnsi="Times New Roman" w:cs="Times New Roman"/>
          <w:sz w:val="24"/>
          <w:szCs w:val="24"/>
        </w:rPr>
        <w:t xml:space="preserve">), </w:t>
      </w:r>
      <w:r w:rsidRPr="008A51DC">
        <w:rPr>
          <w:rFonts w:ascii="Times New Roman" w:hAnsi="Times New Roman" w:cs="Times New Roman"/>
          <w:i/>
          <w:sz w:val="24"/>
          <w:szCs w:val="24"/>
        </w:rPr>
        <w:t xml:space="preserve">R2P and Sovereignty: A Decade after Kosovo and East Timor </w:t>
      </w:r>
      <w:r w:rsidRPr="008A51DC">
        <w:rPr>
          <w:rFonts w:ascii="Times New Roman" w:hAnsi="Times New Roman" w:cs="Times New Roman"/>
          <w:sz w:val="24"/>
          <w:szCs w:val="24"/>
        </w:rPr>
        <w:t xml:space="preserve">(2012) </w:t>
      </w:r>
      <w:proofErr w:type="spellStart"/>
      <w:r w:rsidRPr="008A51DC">
        <w:rPr>
          <w:rFonts w:ascii="Times New Roman" w:hAnsi="Times New Roman" w:cs="Times New Roman"/>
          <w:sz w:val="24"/>
          <w:szCs w:val="24"/>
        </w:rPr>
        <w:t>Ashgate</w:t>
      </w:r>
      <w:proofErr w:type="spellEnd"/>
      <w:r w:rsidRPr="008A51DC">
        <w:rPr>
          <w:rFonts w:ascii="Times New Roman" w:hAnsi="Times New Roman" w:cs="Times New Roman"/>
          <w:sz w:val="24"/>
          <w:szCs w:val="24"/>
        </w:rPr>
        <w:t>, chapter 4.</w:t>
      </w:r>
    </w:p>
    <w:p w:rsidR="001A7243" w:rsidRPr="008A51DC" w:rsidRDefault="001A7243" w:rsidP="00C844CD">
      <w:pPr>
        <w:numPr>
          <w:ilvl w:val="0"/>
          <w:numId w:val="3"/>
        </w:numPr>
        <w:spacing w:after="0" w:line="480" w:lineRule="auto"/>
        <w:ind w:hanging="294"/>
        <w:rPr>
          <w:rFonts w:ascii="Times New Roman" w:hAnsi="Times New Roman" w:cs="Times New Roman"/>
          <w:sz w:val="24"/>
          <w:szCs w:val="24"/>
        </w:rPr>
      </w:pPr>
      <w:r w:rsidRPr="008A51DC">
        <w:rPr>
          <w:rFonts w:ascii="Times New Roman" w:hAnsi="Times New Roman" w:cs="Times New Roman"/>
          <w:sz w:val="24"/>
          <w:szCs w:val="24"/>
        </w:rPr>
        <w:lastRenderedPageBreak/>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w:t>
      </w:r>
      <w:r w:rsidRPr="008A51DC">
        <w:rPr>
          <w:rFonts w:ascii="Times New Roman" w:hAnsi="Times New Roman" w:cs="Times New Roman"/>
          <w:i/>
          <w:sz w:val="24"/>
          <w:szCs w:val="24"/>
        </w:rPr>
        <w:t>Governance of Information in Public Tendering: Balancing the Right to Information and Commercial Affairs in Queensland</w:t>
      </w:r>
      <w:r w:rsidRPr="008A51DC">
        <w:rPr>
          <w:rFonts w:ascii="Times New Roman" w:hAnsi="Times New Roman" w:cs="Times New Roman"/>
          <w:sz w:val="24"/>
          <w:szCs w:val="24"/>
        </w:rPr>
        <w:t xml:space="preserve"> (2010) VDM Publishing House Ltd.</w:t>
      </w:r>
    </w:p>
    <w:p w:rsidR="001A7243" w:rsidRPr="008A51DC" w:rsidRDefault="001A7243" w:rsidP="00C844CD">
      <w:pPr>
        <w:numPr>
          <w:ilvl w:val="0"/>
          <w:numId w:val="3"/>
        </w:numPr>
        <w:spacing w:after="0" w:line="480" w:lineRule="auto"/>
        <w:ind w:hanging="294"/>
        <w:rPr>
          <w:rFonts w:ascii="Times New Roman" w:hAnsi="Times New Roman" w:cs="Times New Roman"/>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‘OHS issues to the Board: Company Directors Face Jail and fines for their Companies’ Lack of Safety’ in Institute of Chartered Financial Analysts of India (Ed) Directors Liability (2008) Amicus Books. </w:t>
      </w:r>
    </w:p>
    <w:p w:rsidR="001A7243" w:rsidRPr="008A51DC" w:rsidRDefault="001A7243" w:rsidP="00C844CD">
      <w:pPr>
        <w:numPr>
          <w:ilvl w:val="0"/>
          <w:numId w:val="3"/>
        </w:numPr>
        <w:spacing w:after="0" w:line="480" w:lineRule="auto"/>
        <w:ind w:hanging="294"/>
        <w:rPr>
          <w:rFonts w:ascii="Times New Roman" w:hAnsi="Times New Roman" w:cs="Times New Roman"/>
          <w:sz w:val="24"/>
          <w:szCs w:val="24"/>
        </w:rPr>
      </w:pPr>
      <w:r w:rsidRPr="008A51DC">
        <w:rPr>
          <w:rFonts w:ascii="Times New Roman" w:hAnsi="Times New Roman" w:cs="Times New Roman"/>
          <w:sz w:val="24"/>
          <w:szCs w:val="24"/>
        </w:rPr>
        <w:t xml:space="preserve">Paul </w:t>
      </w:r>
      <w:proofErr w:type="spellStart"/>
      <w:r w:rsidRPr="008A51DC">
        <w:rPr>
          <w:rFonts w:ascii="Times New Roman" w:hAnsi="Times New Roman" w:cs="Times New Roman"/>
          <w:sz w:val="24"/>
          <w:szCs w:val="24"/>
        </w:rPr>
        <w:t>Harpur</w:t>
      </w:r>
      <w:proofErr w:type="spellEnd"/>
      <w:r w:rsidRPr="008A51DC">
        <w:rPr>
          <w:rFonts w:ascii="Times New Roman" w:hAnsi="Times New Roman" w:cs="Times New Roman"/>
          <w:sz w:val="24"/>
          <w:szCs w:val="24"/>
        </w:rPr>
        <w:t xml:space="preserve">, ’Private Fears, Public Monies: FOI Disclosure of Private Sector Tender Information’ (2005) shaping administrative law for the next generation: fresh perspectives, Australian Institute of Administrative Law, 130. </w:t>
      </w:r>
    </w:p>
    <w:p w:rsidR="00AA5265" w:rsidRPr="00C03BAE" w:rsidRDefault="00AA5265" w:rsidP="00C844CD">
      <w:pPr>
        <w:pStyle w:val="PlainText"/>
        <w:spacing w:line="480" w:lineRule="auto"/>
        <w:jc w:val="center"/>
        <w:rPr>
          <w:rFonts w:ascii="Times New Roman" w:hAnsi="Times New Roman" w:cs="Courier New"/>
          <w:sz w:val="24"/>
        </w:rPr>
      </w:pPr>
    </w:p>
    <w:sectPr w:rsidR="00AA5265" w:rsidRPr="00C03BAE" w:rsidSect="00504DE7">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70F" w:rsidRDefault="00B8470F" w:rsidP="00AC3D8A">
      <w:pPr>
        <w:spacing w:after="0" w:line="240" w:lineRule="auto"/>
      </w:pPr>
      <w:r>
        <w:separator/>
      </w:r>
    </w:p>
  </w:endnote>
  <w:endnote w:type="continuationSeparator" w:id="0">
    <w:p w:rsidR="00B8470F" w:rsidRDefault="00B8470F" w:rsidP="00AC3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88" w:rsidRDefault="00BB04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88" w:rsidRDefault="00BB04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88" w:rsidRDefault="00BB0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70F" w:rsidRDefault="00B8470F" w:rsidP="00AC3D8A">
      <w:pPr>
        <w:spacing w:after="0" w:line="240" w:lineRule="auto"/>
      </w:pPr>
      <w:r>
        <w:separator/>
      </w:r>
    </w:p>
  </w:footnote>
  <w:footnote w:type="continuationSeparator" w:id="0">
    <w:p w:rsidR="00B8470F" w:rsidRDefault="00B8470F" w:rsidP="00AC3D8A">
      <w:pPr>
        <w:spacing w:after="0" w:line="240" w:lineRule="auto"/>
      </w:pPr>
      <w:r>
        <w:continuationSeparator/>
      </w:r>
    </w:p>
  </w:footnote>
  <w:footnote w:id="1">
    <w:p w:rsidR="00C03BAE" w:rsidRDefault="00C03BAE" w:rsidP="00AC3D8A">
      <w:pPr>
        <w:pStyle w:val="FootnoteText"/>
      </w:pPr>
      <w:r>
        <w:rPr>
          <w:rStyle w:val="FootnoteReference"/>
        </w:rPr>
        <w:footnoteRef/>
      </w:r>
      <w:r>
        <w:t xml:space="preserve"> </w:t>
      </w:r>
      <w:r w:rsidRPr="00DE2D32">
        <w:t xml:space="preserve">(2003) 217 </w:t>
      </w:r>
      <w:r w:rsidRPr="00DE2D32">
        <w:rPr>
          <w:i/>
        </w:rPr>
        <w:t>CLR</w:t>
      </w:r>
      <w:r w:rsidRPr="00DE2D32">
        <w:t xml:space="preserve"> 92, [11] (Gleeson CJ), [224] (</w:t>
      </w:r>
      <w:proofErr w:type="spellStart"/>
      <w:r w:rsidRPr="00DE2D32">
        <w:t>Gummow</w:t>
      </w:r>
      <w:proofErr w:type="spellEnd"/>
      <w:r w:rsidRPr="00DE2D32">
        <w:t xml:space="preserve">, Hayne and </w:t>
      </w:r>
      <w:proofErr w:type="spellStart"/>
      <w:r w:rsidRPr="00DE2D32">
        <w:t>Heydon</w:t>
      </w:r>
      <w:proofErr w:type="spellEnd"/>
      <w:r w:rsidRPr="00DE2D32">
        <w:t xml:space="preserve"> JJ); see for discussion: Colin Campbell, ‘A Hard Case Making Bad Law: </w:t>
      </w:r>
      <w:r w:rsidRPr="00DE2D32">
        <w:rPr>
          <w:i/>
        </w:rPr>
        <w:t>Purvis v New South Wales</w:t>
      </w:r>
      <w:r w:rsidRPr="00DE2D32">
        <w:t xml:space="preserve"> and the Role of the Comparator under the </w:t>
      </w:r>
      <w:r w:rsidRPr="00DE2D32">
        <w:rPr>
          <w:i/>
        </w:rPr>
        <w:t>Disability Discrimination Act 1992</w:t>
      </w:r>
      <w:r w:rsidRPr="00DE2D32">
        <w:t xml:space="preserve"> (</w:t>
      </w:r>
      <w:proofErr w:type="spellStart"/>
      <w:r w:rsidRPr="00DE2D32">
        <w:t>Cth</w:t>
      </w:r>
      <w:proofErr w:type="spellEnd"/>
      <w:r w:rsidRPr="00DE2D32">
        <w:t xml:space="preserve">)’, (2007) 35 </w:t>
      </w:r>
      <w:r w:rsidRPr="00B72890">
        <w:rPr>
          <w:i/>
        </w:rPr>
        <w:t xml:space="preserve">Federal Law Review </w:t>
      </w:r>
      <w:r w:rsidRPr="00B72890">
        <w:t>111</w:t>
      </w:r>
      <w:r w:rsidRPr="00DE2D32">
        <w:t xml:space="preserve">, 113-115; General academic analysis: Elizabeth Dickson, ‘Disability Discrimination in Education: </w:t>
      </w:r>
      <w:r w:rsidRPr="00B72890">
        <w:rPr>
          <w:i/>
        </w:rPr>
        <w:t>Purvis v New South Wales (Department of Education and Training</w:t>
      </w:r>
      <w:r w:rsidRPr="00DE2D32">
        <w:t xml:space="preserve">), Amendment of the Education Provisions of the </w:t>
      </w:r>
      <w:r w:rsidRPr="00B72890">
        <w:rPr>
          <w:i/>
        </w:rPr>
        <w:t>Disability Discrimination Act 1992</w:t>
      </w:r>
      <w:r w:rsidRPr="00DE2D32">
        <w:t xml:space="preserve"> (</w:t>
      </w:r>
      <w:proofErr w:type="spellStart"/>
      <w:r w:rsidRPr="00DE2D32">
        <w:t>Cth</w:t>
      </w:r>
      <w:proofErr w:type="spellEnd"/>
      <w:r w:rsidRPr="00DE2D32">
        <w:t xml:space="preserve">) and the Formulation of Disability Standards For Education’ (2005) 24 The </w:t>
      </w:r>
      <w:r w:rsidRPr="00B72890">
        <w:rPr>
          <w:i/>
        </w:rPr>
        <w:t>University of Queensland Law Journal</w:t>
      </w:r>
      <w:r w:rsidRPr="00DE2D32">
        <w:t xml:space="preserve"> 213, 219; Susan Roberts, ‘The Inequality of Treating </w:t>
      </w:r>
      <w:proofErr w:type="spellStart"/>
      <w:r w:rsidRPr="00DE2D32">
        <w:t>Unequals</w:t>
      </w:r>
      <w:proofErr w:type="spellEnd"/>
      <w:r w:rsidRPr="00DE2D32">
        <w:t xml:space="preserve"> Equally: The Future of Direct Discrimination Under the </w:t>
      </w:r>
      <w:r w:rsidRPr="00B72890">
        <w:rPr>
          <w:i/>
        </w:rPr>
        <w:t>Disability Discrimination Act 1992</w:t>
      </w:r>
      <w:r w:rsidRPr="00DE2D32">
        <w:t xml:space="preserve"> (</w:t>
      </w:r>
      <w:proofErr w:type="spellStart"/>
      <w:r w:rsidRPr="00DE2D32">
        <w:t>Cth</w:t>
      </w:r>
      <w:proofErr w:type="spellEnd"/>
      <w:r w:rsidRPr="00DE2D32">
        <w:t xml:space="preserve">)?’ (Speech delivered at ANU Public Law Weekend, Canberra, 6 November 2004) at 30; Belinda Smith, ‘From </w:t>
      </w:r>
      <w:proofErr w:type="spellStart"/>
      <w:r w:rsidRPr="00B72890">
        <w:rPr>
          <w:i/>
        </w:rPr>
        <w:t>Wardley</w:t>
      </w:r>
      <w:proofErr w:type="spellEnd"/>
      <w:r w:rsidRPr="00DE2D32">
        <w:t xml:space="preserve"> to </w:t>
      </w:r>
      <w:r w:rsidRPr="00B72890">
        <w:rPr>
          <w:i/>
        </w:rPr>
        <w:t>Purvis</w:t>
      </w:r>
      <w:r w:rsidRPr="00DE2D32">
        <w:t xml:space="preserve"> – How far has Australian Anti-Discrimination L</w:t>
      </w:r>
      <w:r>
        <w:t xml:space="preserve">aw come in 30 years?’ </w:t>
      </w:r>
      <w:proofErr w:type="gramStart"/>
      <w:r>
        <w:t xml:space="preserve">(2008) 21 </w:t>
      </w:r>
      <w:r>
        <w:rPr>
          <w:i/>
        </w:rPr>
        <w:t xml:space="preserve">Australian Journal of </w:t>
      </w:r>
      <w:proofErr w:type="spellStart"/>
      <w:r>
        <w:rPr>
          <w:i/>
        </w:rPr>
        <w:t>Labour</w:t>
      </w:r>
      <w:proofErr w:type="spellEnd"/>
      <w:r>
        <w:rPr>
          <w:i/>
        </w:rPr>
        <w:t xml:space="preserve"> Law</w:t>
      </w:r>
      <w:r>
        <w:t>, 3.</w:t>
      </w:r>
      <w:proofErr w:type="gramEnd"/>
    </w:p>
  </w:footnote>
  <w:footnote w:id="2">
    <w:p w:rsidR="00C03BAE" w:rsidRDefault="00C03BAE" w:rsidP="00AC3D8A">
      <w:pPr>
        <w:pStyle w:val="FootnoteText"/>
      </w:pPr>
      <w:r>
        <w:rPr>
          <w:rStyle w:val="FootnoteReference"/>
        </w:rPr>
        <w:footnoteRef/>
      </w:r>
      <w:r>
        <w:t xml:space="preserve"> </w:t>
      </w:r>
      <w:r w:rsidRPr="00B72890">
        <w:t xml:space="preserve">(2003) 217 </w:t>
      </w:r>
      <w:r w:rsidRPr="00B72890">
        <w:rPr>
          <w:i/>
        </w:rPr>
        <w:t>CLR</w:t>
      </w:r>
      <w:r w:rsidRPr="00B72890">
        <w:t xml:space="preserve"> 92, [11] (Gleeson CJ), [224</w:t>
      </w:r>
      <w:proofErr w:type="gramStart"/>
      <w:r w:rsidRPr="00B72890">
        <w:t>](</w:t>
      </w:r>
      <w:proofErr w:type="spellStart"/>
      <w:proofErr w:type="gramEnd"/>
      <w:r w:rsidRPr="00B72890">
        <w:t>Gummow</w:t>
      </w:r>
      <w:proofErr w:type="spellEnd"/>
      <w:r w:rsidRPr="00B72890">
        <w:t xml:space="preserve">, Hayne and </w:t>
      </w:r>
      <w:proofErr w:type="spellStart"/>
      <w:r w:rsidRPr="00B72890">
        <w:t>Heydon</w:t>
      </w:r>
      <w:proofErr w:type="spellEnd"/>
      <w:r w:rsidRPr="00B72890">
        <w:t xml:space="preserve"> JJ); see for discussion: Colin Campbell, ‘A Hard Case Making Bad Law: </w:t>
      </w:r>
      <w:r w:rsidRPr="00B72890">
        <w:rPr>
          <w:i/>
        </w:rPr>
        <w:t>Purvis v New South</w:t>
      </w:r>
      <w:r w:rsidRPr="00B72890">
        <w:t xml:space="preserve"> Wales and the Role of the Comparator under the </w:t>
      </w:r>
      <w:r w:rsidRPr="00B72890">
        <w:rPr>
          <w:i/>
        </w:rPr>
        <w:t>Disability Discrimination Act 1992</w:t>
      </w:r>
      <w:r w:rsidRPr="00B72890">
        <w:t xml:space="preserve"> (</w:t>
      </w:r>
      <w:proofErr w:type="spellStart"/>
      <w:r w:rsidRPr="00B72890">
        <w:t>Cth</w:t>
      </w:r>
      <w:proofErr w:type="spellEnd"/>
      <w:r w:rsidRPr="00B72890">
        <w:t xml:space="preserve">)’, (2007) 35 </w:t>
      </w:r>
      <w:r w:rsidRPr="00B72890">
        <w:rPr>
          <w:i/>
        </w:rPr>
        <w:t>Federal Law Review</w:t>
      </w:r>
      <w:r w:rsidRPr="00B72890">
        <w:t xml:space="preserve"> 111, 113-115 for an interesting discussion </w:t>
      </w:r>
      <w:r>
        <w:t>of this issue.</w:t>
      </w:r>
    </w:p>
  </w:footnote>
  <w:footnote w:id="3">
    <w:p w:rsidR="00C03BAE" w:rsidRDefault="00C03BAE" w:rsidP="00AC3D8A">
      <w:pPr>
        <w:pStyle w:val="FootnoteText"/>
      </w:pPr>
      <w:r>
        <w:rPr>
          <w:rStyle w:val="FootnoteReference"/>
        </w:rPr>
        <w:footnoteRef/>
      </w:r>
      <w:r>
        <w:t xml:space="preserve"> </w:t>
      </w:r>
      <w:r w:rsidRPr="00B72890">
        <w:t xml:space="preserve">(2003) 217 </w:t>
      </w:r>
      <w:r w:rsidRPr="00B72890">
        <w:rPr>
          <w:i/>
        </w:rPr>
        <w:t>CLR</w:t>
      </w:r>
      <w:r w:rsidRPr="00B72890">
        <w:t xml:space="preserve"> 92, [11] (Gleeson CJ), [224</w:t>
      </w:r>
      <w:proofErr w:type="gramStart"/>
      <w:r w:rsidRPr="00B72890">
        <w:t>](</w:t>
      </w:r>
      <w:proofErr w:type="spellStart"/>
      <w:proofErr w:type="gramEnd"/>
      <w:r w:rsidRPr="00B72890">
        <w:t>Gummow</w:t>
      </w:r>
      <w:proofErr w:type="spellEnd"/>
      <w:r w:rsidRPr="00B72890">
        <w:t xml:space="preserve">, Hayne and </w:t>
      </w:r>
      <w:proofErr w:type="spellStart"/>
      <w:r w:rsidRPr="00B72890">
        <w:t>Heydon</w:t>
      </w:r>
      <w:proofErr w:type="spellEnd"/>
      <w:r w:rsidRPr="00B72890">
        <w:t xml:space="preserve"> JJ).</w:t>
      </w:r>
    </w:p>
  </w:footnote>
  <w:footnote w:id="4">
    <w:p w:rsidR="00C03BAE" w:rsidRDefault="00C03BAE" w:rsidP="00AC3D8A">
      <w:pPr>
        <w:pStyle w:val="FootnoteText"/>
      </w:pPr>
      <w:r>
        <w:rPr>
          <w:rStyle w:val="FootnoteReference"/>
        </w:rPr>
        <w:footnoteRef/>
      </w:r>
      <w:r>
        <w:t xml:space="preserve"> For the Forest litigation </w:t>
      </w:r>
      <w:proofErr w:type="gramStart"/>
      <w:r>
        <w:t>see</w:t>
      </w:r>
      <w:proofErr w:type="gramEnd"/>
      <w:r>
        <w:t>: Full Court of the Federal Court in</w:t>
      </w:r>
      <w:r>
        <w:rPr>
          <w:i/>
        </w:rPr>
        <w:t xml:space="preserve"> Queensland Health v Forest</w:t>
      </w:r>
      <w:r>
        <w:t xml:space="preserve"> (2008) 249 </w:t>
      </w:r>
      <w:r>
        <w:rPr>
          <w:i/>
        </w:rPr>
        <w:t>ALR</w:t>
      </w:r>
      <w:r>
        <w:t xml:space="preserve"> 145.</w:t>
      </w:r>
    </w:p>
  </w:footnote>
  <w:footnote w:id="5">
    <w:p w:rsidR="00C03BAE" w:rsidRDefault="00C03BAE" w:rsidP="00AC3D8A">
      <w:pPr>
        <w:pStyle w:val="FootnoteText"/>
      </w:pPr>
      <w:r>
        <w:rPr>
          <w:rStyle w:val="FootnoteReference"/>
        </w:rPr>
        <w:footnoteRef/>
      </w:r>
      <w:r>
        <w:t xml:space="preserve"> </w:t>
      </w:r>
      <w:proofErr w:type="gramStart"/>
      <w:r>
        <w:t xml:space="preserve">(2008) 249 </w:t>
      </w:r>
      <w:r w:rsidRPr="00305406">
        <w:rPr>
          <w:i/>
        </w:rPr>
        <w:t>ALR</w:t>
      </w:r>
      <w:r>
        <w:t xml:space="preserve"> 145, 168.</w:t>
      </w:r>
      <w:proofErr w:type="gramEnd"/>
    </w:p>
  </w:footnote>
  <w:footnote w:id="6">
    <w:p w:rsidR="00C03BAE" w:rsidRDefault="00C03BAE" w:rsidP="00AC3D8A">
      <w:pPr>
        <w:pStyle w:val="FootnoteText"/>
      </w:pPr>
      <w:r>
        <w:rPr>
          <w:rStyle w:val="FootnoteReference"/>
        </w:rPr>
        <w:footnoteRef/>
      </w:r>
      <w:r>
        <w:t xml:space="preserve"> </w:t>
      </w:r>
      <w:proofErr w:type="gramStart"/>
      <w:r>
        <w:t>(2008)</w:t>
      </w:r>
      <w:r w:rsidRPr="00305406">
        <w:t xml:space="preserve"> 249 </w:t>
      </w:r>
      <w:r w:rsidRPr="00305406">
        <w:rPr>
          <w:i/>
        </w:rPr>
        <w:t>ALR</w:t>
      </w:r>
      <w:r w:rsidRPr="00305406">
        <w:t xml:space="preserve"> 145</w:t>
      </w:r>
      <w:r>
        <w:t>,</w:t>
      </w:r>
      <w:r w:rsidRPr="00305406">
        <w:t xml:space="preserve"> 154</w:t>
      </w:r>
      <w:r>
        <w:t>.</w:t>
      </w:r>
      <w:proofErr w:type="gramEnd"/>
    </w:p>
  </w:footnote>
  <w:footnote w:id="7">
    <w:p w:rsidR="00C03BAE" w:rsidRDefault="00C03BAE" w:rsidP="00AC3D8A">
      <w:pPr>
        <w:pStyle w:val="FootnoteText"/>
      </w:pPr>
      <w:r>
        <w:rPr>
          <w:rStyle w:val="FootnoteReference"/>
        </w:rPr>
        <w:footnoteRef/>
      </w:r>
      <w:r>
        <w:t xml:space="preserve"> </w:t>
      </w:r>
      <w:r w:rsidRPr="00305406">
        <w:t>Standing Committee on Legal and Constitutional Affairs, ‘Disability Discrimination and Other Human Rights Legislation Amendment Bil</w:t>
      </w:r>
      <w:r>
        <w:t>l 2008’ (Final report, 2009) 43.</w:t>
      </w:r>
    </w:p>
  </w:footnote>
  <w:footnote w:id="8">
    <w:p w:rsidR="00C03BAE" w:rsidRDefault="00C03BAE" w:rsidP="00AC3D8A">
      <w:pPr>
        <w:pStyle w:val="FootnoteText"/>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88" w:rsidRDefault="00BB04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88" w:rsidRDefault="00BB0488">
    <w:pPr>
      <w:pStyle w:val="Header"/>
    </w:pPr>
    <w:r>
      <w:t xml:space="preserve">36. P </w:t>
    </w:r>
    <w:proofErr w:type="spellStart"/>
    <w:r>
      <w:t>Harpur</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88" w:rsidRDefault="00BB0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40"/>
    <w:multiLevelType w:val="hybridMultilevel"/>
    <w:tmpl w:val="9BAA343C"/>
    <w:lvl w:ilvl="0" w:tplc="DD2A350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9E7655"/>
    <w:multiLevelType w:val="hybridMultilevel"/>
    <w:tmpl w:val="D7800A84"/>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2EFE079C"/>
    <w:multiLevelType w:val="hybridMultilevel"/>
    <w:tmpl w:val="5A642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C0A60"/>
    <w:multiLevelType w:val="hybridMultilevel"/>
    <w:tmpl w:val="48901354"/>
    <w:lvl w:ilvl="0" w:tplc="B322C6E2">
      <w:start w:val="1"/>
      <w:numFmt w:val="decimal"/>
      <w:lvlText w:val="%1."/>
      <w:lvlJc w:val="left"/>
      <w:pPr>
        <w:tabs>
          <w:tab w:val="num" w:pos="644"/>
        </w:tabs>
        <w:ind w:left="644" w:hanging="360"/>
      </w:pPr>
      <w:rPr>
        <w:rFonts w:hint="default"/>
        <w:b w:val="0"/>
        <w:i w:val="0"/>
      </w:rPr>
    </w:lvl>
    <w:lvl w:ilvl="1" w:tplc="04090019">
      <w:start w:val="1"/>
      <w:numFmt w:val="lowerLetter"/>
      <w:lvlText w:val="%2."/>
      <w:lvlJc w:val="left"/>
      <w:pPr>
        <w:tabs>
          <w:tab w:val="num" w:pos="2444"/>
        </w:tabs>
        <w:ind w:left="2444" w:hanging="360"/>
      </w:pPr>
      <w:rPr>
        <w:rFonts w:cs="Times New Roman"/>
      </w:rPr>
    </w:lvl>
    <w:lvl w:ilvl="2" w:tplc="5E8C7644">
      <w:start w:val="10"/>
      <w:numFmt w:val="decimal"/>
      <w:lvlText w:val="%3"/>
      <w:lvlJc w:val="left"/>
      <w:pPr>
        <w:tabs>
          <w:tab w:val="num" w:pos="3344"/>
        </w:tabs>
        <w:ind w:left="3344" w:hanging="360"/>
      </w:pPr>
      <w:rPr>
        <w:rFonts w:cs="Times New Roman"/>
      </w:r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4">
    <w:nsid w:val="6D9D7B9F"/>
    <w:multiLevelType w:val="hybridMultilevel"/>
    <w:tmpl w:val="AD982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137F"/>
    <w:rsid w:val="000548CA"/>
    <w:rsid w:val="001A7243"/>
    <w:rsid w:val="001D40C1"/>
    <w:rsid w:val="00214A66"/>
    <w:rsid w:val="00261A8D"/>
    <w:rsid w:val="002F2754"/>
    <w:rsid w:val="003B42B4"/>
    <w:rsid w:val="003F50E4"/>
    <w:rsid w:val="00466B8C"/>
    <w:rsid w:val="004F23CE"/>
    <w:rsid w:val="00504DE7"/>
    <w:rsid w:val="0058383C"/>
    <w:rsid w:val="006604B8"/>
    <w:rsid w:val="007F2715"/>
    <w:rsid w:val="00826287"/>
    <w:rsid w:val="008A51DC"/>
    <w:rsid w:val="008B05CB"/>
    <w:rsid w:val="00920E52"/>
    <w:rsid w:val="00A1137F"/>
    <w:rsid w:val="00AA5265"/>
    <w:rsid w:val="00AC3D8A"/>
    <w:rsid w:val="00B8470F"/>
    <w:rsid w:val="00BB0488"/>
    <w:rsid w:val="00C03BAE"/>
    <w:rsid w:val="00C844CD"/>
    <w:rsid w:val="00D37DEA"/>
    <w:rsid w:val="00DC098D"/>
    <w:rsid w:val="00F723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1137F"/>
  </w:style>
  <w:style w:type="paragraph" w:styleId="PlainText">
    <w:name w:val="Plain Text"/>
    <w:basedOn w:val="Normal"/>
    <w:link w:val="PlainTextChar"/>
    <w:uiPriority w:val="99"/>
    <w:unhideWhenUsed/>
    <w:rsid w:val="00AC3D8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C3D8A"/>
    <w:rPr>
      <w:rFonts w:ascii="Consolas" w:hAnsi="Consolas"/>
      <w:sz w:val="21"/>
      <w:szCs w:val="21"/>
      <w:lang w:val="en-US"/>
    </w:rPr>
  </w:style>
  <w:style w:type="paragraph" w:styleId="FootnoteText">
    <w:name w:val="footnote text"/>
    <w:basedOn w:val="Normal"/>
    <w:link w:val="FootnoteTextChar"/>
    <w:uiPriority w:val="99"/>
    <w:semiHidden/>
    <w:unhideWhenUsed/>
    <w:rsid w:val="00AC3D8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C3D8A"/>
    <w:rPr>
      <w:sz w:val="20"/>
      <w:szCs w:val="20"/>
      <w:lang w:val="en-US"/>
    </w:rPr>
  </w:style>
  <w:style w:type="character" w:styleId="FootnoteReference">
    <w:name w:val="footnote reference"/>
    <w:basedOn w:val="DefaultParagraphFont"/>
    <w:uiPriority w:val="99"/>
    <w:semiHidden/>
    <w:unhideWhenUsed/>
    <w:rsid w:val="00AC3D8A"/>
    <w:rPr>
      <w:vertAlign w:val="superscript"/>
    </w:rPr>
  </w:style>
  <w:style w:type="paragraph" w:styleId="ListParagraph">
    <w:name w:val="List Paragraph"/>
    <w:basedOn w:val="Normal"/>
    <w:uiPriority w:val="34"/>
    <w:qFormat/>
    <w:rsid w:val="001A7243"/>
    <w:pPr>
      <w:spacing w:after="0" w:line="36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F2715"/>
    <w:rPr>
      <w:color w:val="0000FF" w:themeColor="hyperlink"/>
      <w:u w:val="single"/>
    </w:rPr>
  </w:style>
  <w:style w:type="paragraph" w:styleId="Header">
    <w:name w:val="header"/>
    <w:basedOn w:val="Normal"/>
    <w:link w:val="HeaderChar"/>
    <w:uiPriority w:val="99"/>
    <w:semiHidden/>
    <w:unhideWhenUsed/>
    <w:rsid w:val="00BB04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0488"/>
  </w:style>
  <w:style w:type="paragraph" w:styleId="Footer">
    <w:name w:val="footer"/>
    <w:basedOn w:val="Normal"/>
    <w:link w:val="FooterChar"/>
    <w:uiPriority w:val="99"/>
    <w:semiHidden/>
    <w:unhideWhenUsed/>
    <w:rsid w:val="00BB0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0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1137F"/>
  </w:style>
  <w:style w:type="paragraph" w:styleId="PlainText">
    <w:name w:val="Plain Text"/>
    <w:basedOn w:val="Normal"/>
    <w:link w:val="PlainTextChar"/>
    <w:uiPriority w:val="99"/>
    <w:unhideWhenUsed/>
    <w:rsid w:val="00AC3D8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C3D8A"/>
    <w:rPr>
      <w:rFonts w:ascii="Consolas" w:hAnsi="Consolas"/>
      <w:sz w:val="21"/>
      <w:szCs w:val="21"/>
      <w:lang w:val="en-US"/>
    </w:rPr>
  </w:style>
  <w:style w:type="paragraph" w:styleId="FootnoteText">
    <w:name w:val="footnote text"/>
    <w:basedOn w:val="Normal"/>
    <w:link w:val="FootnoteTextChar"/>
    <w:uiPriority w:val="99"/>
    <w:semiHidden/>
    <w:unhideWhenUsed/>
    <w:rsid w:val="00AC3D8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C3D8A"/>
    <w:rPr>
      <w:sz w:val="20"/>
      <w:szCs w:val="20"/>
      <w:lang w:val="en-US"/>
    </w:rPr>
  </w:style>
  <w:style w:type="character" w:styleId="FootnoteReference">
    <w:name w:val="footnote reference"/>
    <w:basedOn w:val="DefaultParagraphFont"/>
    <w:uiPriority w:val="99"/>
    <w:semiHidden/>
    <w:unhideWhenUsed/>
    <w:rsid w:val="00AC3D8A"/>
    <w:rPr>
      <w:vertAlign w:val="superscript"/>
    </w:rPr>
  </w:style>
  <w:style w:type="paragraph" w:styleId="ListParagraph">
    <w:name w:val="List Paragraph"/>
    <w:basedOn w:val="Normal"/>
    <w:uiPriority w:val="34"/>
    <w:qFormat/>
    <w:rsid w:val="001A7243"/>
    <w:pPr>
      <w:spacing w:after="0" w:line="36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F2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8917687">
      <w:bodyDiv w:val="1"/>
      <w:marLeft w:val="0"/>
      <w:marRight w:val="0"/>
      <w:marTop w:val="0"/>
      <w:marBottom w:val="0"/>
      <w:divBdr>
        <w:top w:val="none" w:sz="0" w:space="0" w:color="auto"/>
        <w:left w:val="none" w:sz="0" w:space="0" w:color="auto"/>
        <w:bottom w:val="none" w:sz="0" w:space="0" w:color="auto"/>
        <w:right w:val="none" w:sz="0" w:space="0" w:color="auto"/>
      </w:divBdr>
    </w:div>
    <w:div w:id="15651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marie-claire.muir</cp:lastModifiedBy>
  <cp:revision>2</cp:revision>
  <dcterms:created xsi:type="dcterms:W3CDTF">2014-01-06T03:53:00Z</dcterms:created>
  <dcterms:modified xsi:type="dcterms:W3CDTF">2014-01-06T03:53:00Z</dcterms:modified>
</cp:coreProperties>
</file>